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9BBB1BB" w:rsidR="00EC2AB3" w:rsidRDefault="007F7F24" w:rsidP="00891CE6">
      <w:pPr>
        <w:pStyle w:val="ac"/>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w:t>
      </w:r>
      <w:proofErr w:type="gramStart"/>
      <w:r w:rsidR="008A7072">
        <w:rPr>
          <w:rFonts w:eastAsiaTheme="minorEastAsia"/>
          <w:lang w:eastAsia="zh-CN"/>
        </w:rPr>
        <w:t>LG</w:t>
      </w:r>
      <w:proofErr w:type="gramEnd"/>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A8708B2"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p>
        </w:tc>
        <w:tc>
          <w:tcPr>
            <w:tcW w:w="1046" w:type="pct"/>
          </w:tcPr>
          <w:p w14:paraId="0D4BC5C5" w14:textId="293858CF" w:rsidR="00EC2B26" w:rsidRDefault="007707A2" w:rsidP="004A33D5">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7341E754" w:rsidR="00EC2B26" w:rsidRDefault="00FD6140" w:rsidP="004A33D5">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p>
        </w:tc>
        <w:tc>
          <w:tcPr>
            <w:tcW w:w="956" w:type="pct"/>
          </w:tcPr>
          <w:p w14:paraId="49A2F495" w14:textId="7116A395" w:rsidR="00EC2B26" w:rsidRDefault="004C7BD4" w:rsidP="004A33D5">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7"/>
                <w:rFonts w:ascii="Times New Roman" w:hAnsi="Times New Roman"/>
              </w:rPr>
              <w:commentReference w:id="2"/>
            </w:r>
            <w:r w:rsidR="00A9417A">
              <w:rPr>
                <w:iCs/>
                <w:lang w:eastAsia="zh-CN"/>
              </w:rPr>
              <w:t>, CMCC</w:t>
            </w: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32D6A6E3"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p>
        </w:tc>
        <w:tc>
          <w:tcPr>
            <w:tcW w:w="1046" w:type="pct"/>
          </w:tcPr>
          <w:p w14:paraId="1C5C1C0E" w14:textId="059D9C25" w:rsidR="00EC2B26" w:rsidRDefault="007707A2"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4A33D5">
            <w:pPr>
              <w:overflowPunct/>
              <w:autoSpaceDE/>
              <w:autoSpaceDN/>
              <w:adjustRightInd/>
              <w:spacing w:beforeLines="50" w:afterLines="50" w:after="120"/>
              <w:jc w:val="center"/>
              <w:textAlignment w:val="auto"/>
              <w:rPr>
                <w:rFonts w:hint="eastAsia"/>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2B791B5B"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7061E287"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lastRenderedPageBreak/>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7"/>
                <w:rFonts w:ascii="Times New Roman" w:hAnsi="Times New Roman"/>
              </w:rPr>
              <w:commentReference w:id="3"/>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AE68E81"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688ABF67"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3F055A7C" w:rsidR="00EC2B26" w:rsidRDefault="008E16E2" w:rsidP="00FD6140">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4"/>
            <w:r w:rsidR="004C7BD4">
              <w:rPr>
                <w:iCs/>
                <w:lang w:eastAsia="zh-CN"/>
              </w:rPr>
              <w:t>Nokia</w:t>
            </w:r>
            <w:commentRangeEnd w:id="4"/>
            <w:r w:rsidR="004C7BD4">
              <w:rPr>
                <w:rStyle w:val="af7"/>
                <w:rFonts w:ascii="Times New Roman" w:hAnsi="Times New Roman"/>
              </w:rPr>
              <w:commentReference w:id="4"/>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p>
        </w:tc>
        <w:tc>
          <w:tcPr>
            <w:tcW w:w="1046" w:type="pct"/>
          </w:tcPr>
          <w:p w14:paraId="04352599" w14:textId="7D373F34"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p>
        </w:tc>
        <w:tc>
          <w:tcPr>
            <w:tcW w:w="907" w:type="pct"/>
          </w:tcPr>
          <w:p w14:paraId="1CAB0B12" w14:textId="2B849D45" w:rsidR="00EC2B26" w:rsidRDefault="0039498E" w:rsidP="004A33D5">
            <w:pPr>
              <w:overflowPunct/>
              <w:autoSpaceDE/>
              <w:autoSpaceDN/>
              <w:adjustRightInd/>
              <w:spacing w:beforeLines="50" w:afterLines="50" w:after="120"/>
              <w:jc w:val="center"/>
              <w:textAlignment w:val="auto"/>
              <w:rPr>
                <w:iCs/>
                <w:lang w:eastAsia="zh-CN"/>
              </w:rPr>
            </w:pPr>
            <w:commentRangeStart w:id="5"/>
            <w:r>
              <w:rPr>
                <w:iCs/>
                <w:lang w:eastAsia="zh-CN"/>
              </w:rPr>
              <w:t xml:space="preserve">APT </w:t>
            </w:r>
            <w:commentRangeEnd w:id="5"/>
            <w:r>
              <w:rPr>
                <w:rStyle w:val="af7"/>
                <w:rFonts w:ascii="Times New Roman" w:hAnsi="Times New Roman"/>
              </w:rPr>
              <w:commentReference w:id="5"/>
            </w:r>
            <w:r w:rsidR="00C6251F">
              <w:rPr>
                <w:iCs/>
                <w:lang w:eastAsia="zh-CN"/>
              </w:rPr>
              <w:t>, OPPO</w:t>
            </w:r>
            <w:r w:rsidR="008E16E2">
              <w:rPr>
                <w:iCs/>
                <w:lang w:eastAsia="zh-CN"/>
              </w:rPr>
              <w:t>, Samsung</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r w:rsidR="003F4EF3">
              <w:rPr>
                <w:iCs/>
                <w:lang w:eastAsia="zh-CN"/>
              </w:rPr>
              <w:t>, LG</w:t>
            </w:r>
          </w:p>
        </w:tc>
        <w:tc>
          <w:tcPr>
            <w:tcW w:w="956" w:type="pct"/>
          </w:tcPr>
          <w:p w14:paraId="6ACD7856" w14:textId="77777777"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p>
          <w:p w14:paraId="04B32889" w14:textId="77CFB25D" w:rsidR="0073545C" w:rsidRDefault="0073545C" w:rsidP="0073545C">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 xml:space="preserve">DCI 0_0/1_0/0_1/1_1) should be kept fixed.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lastRenderedPageBreak/>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proofErr w:type="gramStart"/>
      <w:r w:rsidR="00740829" w:rsidRPr="002E44C8">
        <w:rPr>
          <w:b/>
          <w:i/>
          <w:u w:val="single"/>
          <w:lang w:eastAsia="x-none"/>
        </w:rPr>
        <w:t>:</w:t>
      </w:r>
      <w:r w:rsidR="004B33E4" w:rsidRPr="00D258C1">
        <w:rPr>
          <w:rFonts w:eastAsiaTheme="minorEastAsia"/>
          <w:lang w:eastAsia="zh-CN"/>
        </w:rPr>
        <w:t>:</w:t>
      </w:r>
      <w:proofErr w:type="gramEnd"/>
    </w:p>
    <w:p w14:paraId="066CE6A6" w14:textId="0DAEEEAE" w:rsidR="00D17DA3" w:rsidRDefault="00F545C5" w:rsidP="00D258C1">
      <w:pPr>
        <w:pStyle w:val="afa"/>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a"/>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a"/>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a"/>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a"/>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a"/>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a"/>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a"/>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a"/>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a"/>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a"/>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a"/>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a"/>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a"/>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a"/>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a"/>
        <w:numPr>
          <w:ilvl w:val="1"/>
          <w:numId w:val="57"/>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afa"/>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a"/>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afa"/>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lastRenderedPageBreak/>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lastRenderedPageBreak/>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w:t>
            </w:r>
            <w:proofErr w:type="spellStart"/>
            <w:r>
              <w:t>codework</w:t>
            </w:r>
            <w:proofErr w:type="spellEnd"/>
            <w:r>
              <w:t xml:space="preserve">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lastRenderedPageBreak/>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w:t>
            </w:r>
            <w:r>
              <w:rPr>
                <w:lang w:eastAsia="zh-CN"/>
              </w:rPr>
              <w:lastRenderedPageBreak/>
              <w:t xml:space="preserve">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lastRenderedPageBreak/>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afa"/>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afa"/>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lastRenderedPageBreak/>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05pt;height:117.85pt;mso-width-percent:0;mso-height-percent:0;mso-width-percent:0;mso-height-percent:0" o:ole="">
                  <v:imagedata r:id="rId14" o:title=""/>
                </v:shape>
                <o:OLEObject Type="Embed" ProgID="Visio.Drawing.15" ShapeID="_x0000_i1025" DrawAspect="Content" ObjectID="_1683043360"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afa"/>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afa"/>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05pt;height:138.05pt;mso-width-percent:0;mso-height-percent:0;mso-width-percent:0;mso-height-percent:0" o:ole="">
                  <v:imagedata r:id="rId16" o:title=""/>
                </v:shape>
                <o:OLEObject Type="Embed" ProgID="Visio.Drawing.15" ShapeID="_x0000_i1026" DrawAspect="Content" ObjectID="_1683043361"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w:t>
            </w:r>
            <w:proofErr w:type="spellStart"/>
            <w:r>
              <w:rPr>
                <w:rFonts w:eastAsia="MS Mincho"/>
                <w:lang w:eastAsia="zh-CN"/>
              </w:rPr>
              <w:t>mis</w:t>
            </w:r>
            <w:proofErr w:type="spellEnd"/>
            <w:r>
              <w:rPr>
                <w:rFonts w:eastAsia="MS Mincho"/>
                <w:lang w:eastAsia="zh-CN"/>
              </w:rPr>
              <w:t xml:space="preserve">-alignment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76AEE">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76AEE">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bookmarkStart w:id="6" w:name="_GoBack"/>
            <w:bookmarkEnd w:id="6"/>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a"/>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afa"/>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w:t>
      </w:r>
      <w:proofErr w:type="gramStart"/>
      <w:r w:rsidRPr="00965230">
        <w:rPr>
          <w:color w:val="000000"/>
          <w:highlight w:val="yellow"/>
          <w:lang w:eastAsia="zh-CN"/>
        </w:rPr>
        <w:t>,1</w:t>
      </w:r>
      <w:proofErr w:type="gramEnd"/>
      <w:r w:rsidRPr="00965230">
        <w:rPr>
          <w:color w:val="000000"/>
          <w:highlight w:val="yellow"/>
          <w:lang w:eastAsia="zh-CN"/>
        </w:rPr>
        <w:t>;</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X=T_proc</w:t>
            </w:r>
            <w:proofErr w:type="gramStart"/>
            <w:r w:rsidR="00C0530D">
              <w:t>,1</w:t>
            </w:r>
            <w:proofErr w:type="gramEnd"/>
            <w:r w:rsidR="00C0530D">
              <w:t xml:space="preserve">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rFonts w:hint="eastAsia"/>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1.8pt;height:186.45pt;mso-width-percent:0;mso-height-percent:0;mso-width-percent:0;mso-height-percent:0" o:ole="">
            <v:imagedata r:id="rId18" o:title=""/>
          </v:shape>
          <o:OLEObject Type="Embed" ProgID="Visio.Drawing.15" ShapeID="_x0000_i1027" DrawAspect="Content" ObjectID="_1683043362"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lastRenderedPageBreak/>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w:t>
      </w:r>
      <w:proofErr w:type="gramStart"/>
      <w:r w:rsidR="00831690">
        <w:rPr>
          <w:rFonts w:eastAsiaTheme="minorEastAsia"/>
          <w:lang w:eastAsia="zh-CN"/>
        </w:rPr>
        <w:t>,2</w:t>
      </w:r>
      <w:proofErr w:type="gramEnd"/>
      <w:r w:rsidR="00831690">
        <w:rPr>
          <w:rFonts w:eastAsiaTheme="minorEastAsia"/>
          <w:lang w:eastAsia="zh-CN"/>
        </w:rPr>
        <w:t>.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7" w:name="_Hlk496824026"/>
      <w:bookmarkEnd w:id="7"/>
      <w:r w:rsidRPr="00EC13AF">
        <w:rPr>
          <w:rFonts w:ascii="Times New Roman" w:eastAsia="等线" w:hAnsi="Times New Roman"/>
          <w:i/>
          <w:color w:val="000000"/>
          <w:sz w:val="20"/>
          <w:szCs w:val="20"/>
        </w:rPr>
        <w:t xml:space="preserve">L2 is defined as the next uplink symbol with its CP starting </w:t>
      </w:r>
      <w:bookmarkStart w:id="8" w:name="_Hlk45746554"/>
      <w:bookmarkEnd w:id="8"/>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7pt;height:162.25pt;mso-width-percent:0;mso-height-percent:0;mso-width-percent:0;mso-height-percent:0" o:ole="">
                  <v:imagedata r:id="rId18" o:title=""/>
                </v:shape>
                <o:OLEObject Type="Embed" ProgID="Visio.Drawing.15" ShapeID="_x0000_i1028" DrawAspect="Content" ObjectID="_1683043363"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lastRenderedPageBreak/>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rFonts w:hint="eastAsia"/>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rFonts w:hint="eastAsia"/>
                <w:lang w:eastAsia="zh-CN"/>
              </w:rPr>
            </w:pPr>
            <w:r w:rsidRPr="00C319E8">
              <w:rPr>
                <w:lang w:eastAsia="zh-CN"/>
              </w:rPr>
              <w:t>Agree with moderator view.</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hint="eastAsia"/>
                <w:lang w:eastAsia="ko-KR"/>
              </w:rPr>
            </w:pPr>
            <w:r w:rsidRPr="00C319E8">
              <w:rPr>
                <w:rFonts w:eastAsia="Malgun Gothic"/>
                <w:lang w:eastAsia="ko-KR"/>
              </w:rPr>
              <w:t>Fine with initial proposal 4-1.</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lastRenderedPageBreak/>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w:t>
            </w:r>
            <w:r>
              <w:rPr>
                <w:rFonts w:eastAsia="MS Mincho"/>
                <w:lang w:eastAsia="zh-CN"/>
              </w:rPr>
              <w:lastRenderedPageBreak/>
              <w:t>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lastRenderedPageBreak/>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a"/>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afa"/>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a"/>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lastRenderedPageBreak/>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a"/>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a"/>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w:t>
            </w:r>
            <w:proofErr w:type="spellStart"/>
            <w:r w:rsidRPr="002F09DC">
              <w:rPr>
                <w:lang w:eastAsia="ko-KR"/>
              </w:rPr>
              <w:t>fallback</w:t>
            </w:r>
            <w:proofErr w:type="spellEnd"/>
            <w:r w:rsidRPr="002F09DC">
              <w:rPr>
                <w:lang w:eastAsia="ko-KR"/>
              </w:rPr>
              <w:t xml:space="preserve">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lastRenderedPageBreak/>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a"/>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a"/>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w:t>
            </w:r>
            <w:proofErr w:type="spellStart"/>
            <w:r w:rsidRPr="002F09DC">
              <w:rPr>
                <w:bCs/>
              </w:rPr>
              <w:t>unknow</w:t>
            </w:r>
            <w:proofErr w:type="spellEnd"/>
            <w:r w:rsidRPr="002F09DC">
              <w:rPr>
                <w:bCs/>
              </w:rPr>
              <w:t xml:space="preserve">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w:t>
            </w:r>
            <w:proofErr w:type="gramStart"/>
            <w:r w:rsidRPr="002F09DC">
              <w:rPr>
                <w:bCs/>
              </w:rPr>
              <w:t>,1</w:t>
            </w:r>
            <w:proofErr w:type="gramEnd"/>
            <w:r w:rsidRPr="002F09DC">
              <w:rPr>
                <w:bCs/>
              </w:rPr>
              <w:t>.</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lastRenderedPageBreak/>
              <w:t>Proposal 1: When 32 HARQ processes is configured, UE determines the HARQ ID as 16*mod(n,2) +k where</w:t>
            </w:r>
          </w:p>
          <w:p w14:paraId="068E365F" w14:textId="77777777" w:rsidR="00D27109" w:rsidRPr="002F09DC" w:rsidRDefault="00D27109" w:rsidP="00D27109">
            <w:pPr>
              <w:pStyle w:val="afa"/>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a"/>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a"/>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a"/>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a"/>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lastRenderedPageBreak/>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0508C0"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 xml:space="preserve">Proposal 2: Configure two subsets of HARQ processes for enabled HARQ processes and disabled HARQ processes respectively via RRC </w:t>
            </w:r>
            <w:proofErr w:type="spellStart"/>
            <w:r w:rsidRPr="002F09DC">
              <w:t>signaling</w:t>
            </w:r>
            <w:proofErr w:type="spellEnd"/>
            <w:r w:rsidRPr="002F09DC">
              <w:t>.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5: Confirm the working assumption that X = T_proc</w:t>
            </w:r>
            <w:proofErr w:type="gramStart"/>
            <w:r w:rsidRPr="002F09DC">
              <w:rPr>
                <w:rFonts w:ascii="Times New Roman" w:hAnsi="Times New Roman"/>
                <w:szCs w:val="20"/>
              </w:rPr>
              <w:t>,1</w:t>
            </w:r>
            <w:proofErr w:type="gramEnd"/>
            <w:r w:rsidRPr="002F09DC">
              <w:rPr>
                <w:rFonts w:ascii="Times New Roman" w:hAnsi="Times New Roman"/>
                <w:szCs w:val="20"/>
              </w:rPr>
              <w:t xml:space="preserve">.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ac"/>
              <w:numPr>
                <w:ilvl w:val="0"/>
                <w:numId w:val="62"/>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 xml:space="preserve">Time window-based method (and its variations) for supporting 32 HARQ processes is not aligned with asynchronous NR HARQ design principle, introduces </w:t>
              </w:r>
              <w:r w:rsidR="004A170E" w:rsidRPr="002F09DC">
                <w:rPr>
                  <w:rStyle w:val="af6"/>
                  <w:rFonts w:ascii="Times New Roman" w:hAnsi="Times New Roman" w:cs="Times New Roman"/>
                  <w:b w:val="0"/>
                  <w:noProof/>
                  <w:sz w:val="20"/>
                  <w:szCs w:val="20"/>
                </w:rPr>
                <w:lastRenderedPageBreak/>
                <w:t>unnecessary scheduling restriction, and thus is against the RAN1 agreement of “minimizing the impacts on specification and scheduling.”</w:t>
              </w:r>
            </w:hyperlink>
          </w:p>
          <w:p w14:paraId="05D3CAFD"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 xml:space="preserve">In case of Type-2 HARQ codebook, when HARQ processes are enabled/disabled on a per HARQ process basis, C-DAI/T-DAI count only PDSCH with feedback-enabled </w:t>
              </w:r>
              <w:r w:rsidR="004A170E" w:rsidRPr="002F09DC">
                <w:rPr>
                  <w:rStyle w:val="af6"/>
                  <w:rFonts w:ascii="Times New Roman" w:hAnsi="Times New Roman" w:cs="Times New Roman"/>
                  <w:b w:val="0"/>
                  <w:noProof/>
                  <w:sz w:val="20"/>
                  <w:szCs w:val="20"/>
                </w:rPr>
                <w:lastRenderedPageBreak/>
                <w:t>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0508C0"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w:t>
            </w:r>
            <w:proofErr w:type="gramStart"/>
            <w:r w:rsidRPr="002F09DC">
              <w:rPr>
                <w:bCs/>
              </w:rPr>
              <w:t>a would</w:t>
            </w:r>
            <w:proofErr w:type="gramEnd"/>
            <w:r w:rsidRPr="002F09DC">
              <w:rPr>
                <w:bCs/>
              </w:rPr>
              <w:t xml:space="preserve">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lastRenderedPageBreak/>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a"/>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a"/>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lastRenderedPageBreak/>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a"/>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afa"/>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a"/>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a"/>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lastRenderedPageBreak/>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Tpro</w:t>
            </w:r>
            <w:proofErr w:type="gramStart"/>
            <w:r w:rsidRPr="002F09DC">
              <w:rPr>
                <w:lang w:eastAsia="zh-CN"/>
              </w:rPr>
              <w:t>,1</w:t>
            </w:r>
            <w:proofErr w:type="gramEnd"/>
            <w:r w:rsidRPr="002F09DC">
              <w:rPr>
                <w:lang w:eastAsia="zh-CN"/>
              </w:rPr>
              <w:t xml:space="preserve">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a"/>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afa"/>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afa"/>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316635">
            <w:pPr>
              <w:pStyle w:val="afa"/>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a"/>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if</w:t>
            </w:r>
            <w:proofErr w:type="gramEnd"/>
            <w:r w:rsidRPr="002F09DC">
              <w:rPr>
                <w:rFonts w:ascii="Times New Roman" w:hAnsi="Times New Roman"/>
                <w:sz w:val="20"/>
                <w:szCs w:val="20"/>
                <w:lang w:eastAsia="ko-KR"/>
              </w:rPr>
              <w:t xml:space="preserve">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lastRenderedPageBreak/>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316635">
            <w:pPr>
              <w:pStyle w:val="afa"/>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a"/>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afa"/>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gNB cannot distinguish between just proper parameter and too reliable parameter, if the slot aggregation is used. </w:t>
            </w:r>
          </w:p>
          <w:p w14:paraId="484480CC"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gNB cannot optimally react to some cases, if the slot aggregation is used.</w:t>
            </w:r>
          </w:p>
          <w:p w14:paraId="6CA22329"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afa"/>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for</w:t>
            </w:r>
            <w:proofErr w:type="gramEnd"/>
            <w:r w:rsidRPr="002F09DC">
              <w:rPr>
                <w:rFonts w:ascii="Times New Roman" w:hAnsi="Times New Roman"/>
                <w:sz w:val="20"/>
                <w:szCs w:val="20"/>
                <w:lang w:eastAsia="ko-KR"/>
              </w:rPr>
              <w:t xml:space="preserve"> PDSCH: from 20.8% to 45.7%.</w:t>
            </w:r>
          </w:p>
          <w:p w14:paraId="49E8C01C" w14:textId="77777777" w:rsidR="00316635" w:rsidRPr="002F09DC" w:rsidRDefault="00316635" w:rsidP="00316635">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lastRenderedPageBreak/>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316635">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316635">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minimizing specification impact.</w:t>
            </w:r>
          </w:p>
          <w:p w14:paraId="3133B48D" w14:textId="5C9BC899" w:rsidR="000311D2"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lastRenderedPageBreak/>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w:t>
            </w:r>
            <w:proofErr w:type="gramStart"/>
            <w:r w:rsidRPr="002F09DC">
              <w:rPr>
                <w:rFonts w:ascii="Times New Roman" w:hAnsi="Times New Roman"/>
                <w:sz w:val="20"/>
                <w:szCs w:val="20"/>
              </w:rPr>
              <w:t>gNB</w:t>
            </w:r>
            <w:proofErr w:type="gramEnd"/>
            <w:r w:rsidRPr="002F09DC">
              <w:rPr>
                <w:rFonts w:ascii="Times New Roman" w:hAnsi="Times New Roman"/>
                <w:sz w:val="20"/>
                <w:szCs w:val="20"/>
              </w:rPr>
              <w:t xml:space="preserve">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w:t>
            </w:r>
            <w:proofErr w:type="spellStart"/>
            <w:r w:rsidRPr="002F09DC">
              <w:rPr>
                <w:rFonts w:ascii="Times New Roman" w:hAnsi="Times New Roman"/>
                <w:iCs/>
                <w:sz w:val="20"/>
                <w:szCs w:val="20"/>
                <w:lang w:eastAsia="zh-CN"/>
              </w:rPr>
              <w:t>signalling</w:t>
            </w:r>
            <w:proofErr w:type="spellEnd"/>
            <w:r w:rsidRPr="002F09DC">
              <w:rPr>
                <w:rFonts w:ascii="Times New Roman" w:hAnsi="Times New Roman"/>
                <w:iCs/>
                <w:sz w:val="20"/>
                <w:szCs w:val="20"/>
                <w:lang w:eastAsia="zh-CN"/>
              </w:rPr>
              <w:t xml:space="preserve">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w:t>
            </w:r>
            <w:proofErr w:type="gramStart"/>
            <w:r w:rsidRPr="002F09DC">
              <w:rPr>
                <w:rFonts w:ascii="Times New Roman" w:hAnsi="Times New Roman"/>
                <w:iCs/>
                <w:sz w:val="20"/>
                <w:szCs w:val="20"/>
                <w:vertAlign w:val="subscript"/>
                <w:lang w:val="en-GB" w:eastAsia="zh-CN"/>
              </w:rPr>
              <w:t>,c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A151A">
            <w:pPr>
              <w:pStyle w:val="afa"/>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w:t>
            </w:r>
            <w:proofErr w:type="spellStart"/>
            <w:r w:rsidRPr="002F09DC">
              <w:rPr>
                <w:iCs/>
                <w:lang w:eastAsia="zh-CN"/>
              </w:rPr>
              <w:t>fallback</w:t>
            </w:r>
            <w:proofErr w:type="spellEnd"/>
            <w:r w:rsidRPr="002F09DC">
              <w:rPr>
                <w:iCs/>
                <w:lang w:eastAsia="zh-CN"/>
              </w:rPr>
              <w:t xml:space="preserve"> DCI formats:</w:t>
            </w:r>
          </w:p>
          <w:p w14:paraId="07744E07" w14:textId="77777777" w:rsidR="004A151A" w:rsidRPr="002F09DC" w:rsidRDefault="004A151A" w:rsidP="004A151A">
            <w:pPr>
              <w:pStyle w:val="afa"/>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afa"/>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a"/>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a"/>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a"/>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a"/>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X = T_proc</w:t>
            </w:r>
            <w:proofErr w:type="gramStart"/>
            <w:r w:rsidRPr="002F09DC">
              <w:rPr>
                <w:rFonts w:eastAsia="Batang"/>
                <w:color w:val="000000"/>
                <w:lang w:eastAsia="zh-CN"/>
              </w:rPr>
              <w:t>,1</w:t>
            </w:r>
            <w:proofErr w:type="gramEnd"/>
            <w:r w:rsidRPr="002F09DC">
              <w:rPr>
                <w:rFonts w:eastAsia="Batang"/>
                <w:color w:val="000000"/>
                <w:lang w:eastAsia="zh-CN"/>
              </w:rPr>
              <w:t xml:space="preserve">.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lastRenderedPageBreak/>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w:t>
            </w:r>
            <w:proofErr w:type="gramStart"/>
            <w:r w:rsidRPr="002F09DC">
              <w:rPr>
                <w:color w:val="000000"/>
                <w:lang w:eastAsia="zh-CN"/>
              </w:rPr>
              <w:t>,1</w:t>
            </w:r>
            <w:proofErr w:type="gramEnd"/>
            <w:r w:rsidRPr="002F09DC">
              <w:rPr>
                <w:color w:val="000000"/>
                <w:lang w:eastAsia="zh-CN"/>
              </w:rPr>
              <w:t>.</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0508C0"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lastRenderedPageBreak/>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lastRenderedPageBreak/>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0508C0"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0508C0"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0508C0"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0508C0"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0508C0" w:rsidRDefault="000508C0">
      <w:pPr>
        <w:pStyle w:val="a7"/>
      </w:pPr>
      <w:r>
        <w:rPr>
          <w:rStyle w:val="af7"/>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ZTE" w:date="2021-05-20T17:37:00Z" w:initials="MSOffice">
    <w:p w14:paraId="5BED857D" w14:textId="11395E26" w:rsidR="000508C0" w:rsidRDefault="000508C0">
      <w:pPr>
        <w:pStyle w:val="a7"/>
        <w:rPr>
          <w:lang w:eastAsia="zh-CN"/>
        </w:rPr>
      </w:pPr>
      <w:r>
        <w:rPr>
          <w:rStyle w:val="af7"/>
        </w:rPr>
        <w:annotationRef/>
      </w:r>
      <w:r>
        <w:rPr>
          <w:rFonts w:hint="eastAsia"/>
          <w:lang w:eastAsia="zh-CN"/>
        </w:rPr>
        <w:t>T</w:t>
      </w:r>
      <w:r>
        <w:rPr>
          <w:lang w:eastAsia="zh-CN"/>
        </w:rPr>
        <w:t>his option can only be applied for DCI 0-2/1-2 with same principle.</w:t>
      </w:r>
    </w:p>
  </w:comment>
  <w:comment w:id="4" w:author="Nokia, Frank" w:date="2021-05-20T00:54:00Z" w:initials="FF">
    <w:p w14:paraId="1EDFC73B" w14:textId="153F04BB" w:rsidR="000508C0" w:rsidRDefault="000508C0">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5" w:author="Chien-Chun" w:date="2021-05-19T14:09:00Z" w:initials="C">
    <w:p w14:paraId="60F73370" w14:textId="108F82AE" w:rsidR="000508C0" w:rsidRDefault="000508C0">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E8AF" w14:textId="77777777" w:rsidR="008444A0" w:rsidRDefault="008444A0">
      <w:pPr>
        <w:spacing w:after="0"/>
      </w:pPr>
      <w:r>
        <w:separator/>
      </w:r>
    </w:p>
  </w:endnote>
  <w:endnote w:type="continuationSeparator" w:id="0">
    <w:p w14:paraId="02CAF400" w14:textId="77777777" w:rsidR="008444A0" w:rsidRDefault="008444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0508C0" w:rsidRDefault="000508C0">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0508C0" w:rsidRDefault="000508C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B957A75" w:rsidR="000508C0" w:rsidRDefault="000508C0">
    <w:pPr>
      <w:pStyle w:val="ae"/>
      <w:ind w:right="360"/>
    </w:pPr>
    <w:r>
      <w:rPr>
        <w:rStyle w:val="af3"/>
      </w:rPr>
      <w:fldChar w:fldCharType="begin"/>
    </w:r>
    <w:r>
      <w:rPr>
        <w:rStyle w:val="af3"/>
      </w:rPr>
      <w:instrText xml:space="preserve"> PAGE </w:instrText>
    </w:r>
    <w:r>
      <w:rPr>
        <w:rStyle w:val="af3"/>
      </w:rPr>
      <w:fldChar w:fldCharType="separate"/>
    </w:r>
    <w:r w:rsidR="009F7A7A">
      <w:rPr>
        <w:rStyle w:val="af3"/>
        <w:noProof/>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F7A7A">
      <w:rPr>
        <w:rStyle w:val="af3"/>
        <w:noProof/>
      </w:rPr>
      <w:t>33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990DB" w14:textId="77777777" w:rsidR="008444A0" w:rsidRDefault="008444A0">
      <w:pPr>
        <w:spacing w:after="0"/>
      </w:pPr>
      <w:r>
        <w:separator/>
      </w:r>
    </w:p>
  </w:footnote>
  <w:footnote w:type="continuationSeparator" w:id="0">
    <w:p w14:paraId="43D313ED" w14:textId="77777777" w:rsidR="008444A0" w:rsidRDefault="008444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3"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5"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7"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1"/>
  </w:num>
  <w:num w:numId="12">
    <w:abstractNumId w:val="63"/>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2"/>
  </w:num>
  <w:num w:numId="21">
    <w:abstractNumId w:val="48"/>
  </w:num>
  <w:num w:numId="22">
    <w:abstractNumId w:val="7"/>
  </w:num>
  <w:num w:numId="23">
    <w:abstractNumId w:val="21"/>
  </w:num>
  <w:num w:numId="24">
    <w:abstractNumId w:val="71"/>
  </w:num>
  <w:num w:numId="25">
    <w:abstractNumId w:val="68"/>
  </w:num>
  <w:num w:numId="26">
    <w:abstractNumId w:val="32"/>
  </w:num>
  <w:num w:numId="27">
    <w:abstractNumId w:val="62"/>
  </w:num>
  <w:num w:numId="28">
    <w:abstractNumId w:val="9"/>
  </w:num>
  <w:num w:numId="29">
    <w:abstractNumId w:val="14"/>
  </w:num>
  <w:num w:numId="30">
    <w:abstractNumId w:val="60"/>
  </w:num>
  <w:num w:numId="31">
    <w:abstractNumId w:val="65"/>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69"/>
  </w:num>
  <w:num w:numId="68">
    <w:abstractNumId w:val="64"/>
  </w:num>
  <w:num w:numId="69">
    <w:abstractNumId w:val="45"/>
  </w:num>
  <w:num w:numId="70">
    <w:abstractNumId w:val="66"/>
  </w:num>
  <w:num w:numId="71">
    <w:abstractNumId w:val="67"/>
  </w:num>
  <w:num w:numId="72">
    <w:abstractNumId w:val="3"/>
  </w:num>
  <w:num w:numId="73">
    <w:abstractNumId w:val="2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3.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EE45209-18FF-427D-81F5-3A2BC724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33</Pages>
  <Words>13024</Words>
  <Characters>74239</Characters>
  <Application>Microsoft Office Word</Application>
  <DocSecurity>0</DocSecurity>
  <Lines>618</Lines>
  <Paragraphs>174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87089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Lei, Reven (雷珍珠)</cp:lastModifiedBy>
  <cp:revision>18</cp:revision>
  <cp:lastPrinted>2011-11-09T07:49:00Z</cp:lastPrinted>
  <dcterms:created xsi:type="dcterms:W3CDTF">2021-05-20T09:17:00Z</dcterms:created>
  <dcterms:modified xsi:type="dcterms:W3CDTF">2021-05-20T11:16:00Z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