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7777777" w:rsidR="000E15D8" w:rsidRPr="0000192F" w:rsidRDefault="000E15D8" w:rsidP="000E15D8">
            <w:pPr>
              <w:rPr>
                <w:sz w:val="20"/>
              </w:rPr>
            </w:pPr>
          </w:p>
        </w:tc>
        <w:tc>
          <w:tcPr>
            <w:tcW w:w="2835" w:type="dxa"/>
          </w:tcPr>
          <w:p w14:paraId="67B362AF" w14:textId="77777777" w:rsidR="000E15D8" w:rsidRPr="0000192F" w:rsidRDefault="000E15D8" w:rsidP="000E15D8">
            <w:pPr>
              <w:rPr>
                <w:sz w:val="20"/>
                <w:lang w:eastAsia="zh-CN"/>
              </w:rPr>
            </w:pPr>
          </w:p>
        </w:tc>
        <w:tc>
          <w:tcPr>
            <w:tcW w:w="9356" w:type="dxa"/>
          </w:tcPr>
          <w:p w14:paraId="3A72C012" w14:textId="77777777" w:rsidR="000E15D8" w:rsidRPr="0000192F" w:rsidRDefault="000E15D8"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527E5">
        <w:tc>
          <w:tcPr>
            <w:tcW w:w="2405" w:type="dxa"/>
            <w:shd w:val="clear" w:color="auto" w:fill="FFC000"/>
          </w:tcPr>
          <w:p w14:paraId="4C421060" w14:textId="77777777" w:rsidR="00E3349A" w:rsidRDefault="00E3349A" w:rsidP="00A527E5">
            <w:pPr>
              <w:rPr>
                <w:b/>
                <w:bCs/>
              </w:rPr>
            </w:pPr>
            <w:r>
              <w:rPr>
                <w:b/>
                <w:bCs/>
              </w:rPr>
              <w:t>Company</w:t>
            </w:r>
          </w:p>
        </w:tc>
        <w:tc>
          <w:tcPr>
            <w:tcW w:w="2835" w:type="dxa"/>
            <w:shd w:val="clear" w:color="auto" w:fill="FFC000"/>
          </w:tcPr>
          <w:p w14:paraId="1D7B2392" w14:textId="77777777" w:rsidR="00E3349A" w:rsidRDefault="00E3349A" w:rsidP="00A527E5">
            <w:pPr>
              <w:rPr>
                <w:b/>
                <w:bCs/>
              </w:rPr>
            </w:pPr>
            <w:r>
              <w:rPr>
                <w:b/>
                <w:bCs/>
              </w:rPr>
              <w:t>Agree/Disagree</w:t>
            </w:r>
          </w:p>
        </w:tc>
        <w:tc>
          <w:tcPr>
            <w:tcW w:w="9356" w:type="dxa"/>
            <w:shd w:val="clear" w:color="auto" w:fill="FFC000"/>
          </w:tcPr>
          <w:p w14:paraId="181052B6" w14:textId="77777777" w:rsidR="00E3349A" w:rsidRDefault="00E3349A" w:rsidP="00A527E5">
            <w:pPr>
              <w:rPr>
                <w:b/>
                <w:bCs/>
              </w:rPr>
            </w:pPr>
            <w:r>
              <w:rPr>
                <w:b/>
                <w:bCs/>
              </w:rPr>
              <w:t>Additional Comment</w:t>
            </w:r>
          </w:p>
        </w:tc>
      </w:tr>
      <w:tr w:rsidR="00E3349A" w14:paraId="19F7E53B" w14:textId="77777777" w:rsidTr="00A527E5">
        <w:tc>
          <w:tcPr>
            <w:tcW w:w="2405" w:type="dxa"/>
          </w:tcPr>
          <w:p w14:paraId="08440106" w14:textId="1D7903F0" w:rsidR="00E3349A" w:rsidRDefault="001136B4" w:rsidP="00A527E5">
            <w:r>
              <w:t>Intel</w:t>
            </w:r>
          </w:p>
        </w:tc>
        <w:tc>
          <w:tcPr>
            <w:tcW w:w="2835" w:type="dxa"/>
          </w:tcPr>
          <w:p w14:paraId="33E7E8A5" w14:textId="2268DA45" w:rsidR="00E3349A" w:rsidRDefault="001136B4" w:rsidP="00A527E5">
            <w:pPr>
              <w:rPr>
                <w:lang w:eastAsia="zh-CN"/>
              </w:rPr>
            </w:pPr>
            <w:r>
              <w:rPr>
                <w:lang w:eastAsia="zh-CN"/>
              </w:rPr>
              <w:t>Agree</w:t>
            </w:r>
          </w:p>
        </w:tc>
        <w:tc>
          <w:tcPr>
            <w:tcW w:w="9356" w:type="dxa"/>
          </w:tcPr>
          <w:p w14:paraId="62D4D4E3" w14:textId="755B993C" w:rsidR="00E3349A" w:rsidRDefault="00E3349A" w:rsidP="00A527E5">
            <w:pPr>
              <w:rPr>
                <w:lang w:eastAsia="zh-CN"/>
              </w:rPr>
            </w:pPr>
          </w:p>
        </w:tc>
      </w:tr>
      <w:tr w:rsidR="00E3349A" w:rsidRPr="0000192F" w14:paraId="530241C4" w14:textId="77777777" w:rsidTr="00A527E5">
        <w:tc>
          <w:tcPr>
            <w:tcW w:w="2405" w:type="dxa"/>
          </w:tcPr>
          <w:p w14:paraId="5621B6F7" w14:textId="77777777" w:rsidR="00E3349A" w:rsidRPr="0000192F" w:rsidRDefault="00E3349A" w:rsidP="00A527E5">
            <w:pPr>
              <w:rPr>
                <w:sz w:val="20"/>
              </w:rPr>
            </w:pPr>
          </w:p>
        </w:tc>
        <w:tc>
          <w:tcPr>
            <w:tcW w:w="2835" w:type="dxa"/>
          </w:tcPr>
          <w:p w14:paraId="6674F3DA" w14:textId="77777777" w:rsidR="00E3349A" w:rsidRPr="0000192F" w:rsidRDefault="00E3349A" w:rsidP="00A527E5">
            <w:pPr>
              <w:rPr>
                <w:sz w:val="20"/>
                <w:lang w:eastAsia="zh-CN"/>
              </w:rPr>
            </w:pPr>
          </w:p>
        </w:tc>
        <w:tc>
          <w:tcPr>
            <w:tcW w:w="9356" w:type="dxa"/>
          </w:tcPr>
          <w:p w14:paraId="2FBBCF08" w14:textId="77777777" w:rsidR="00E3349A" w:rsidRPr="0000192F" w:rsidRDefault="00E3349A" w:rsidP="00A527E5">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lastRenderedPageBreak/>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527E5">
        <w:tc>
          <w:tcPr>
            <w:tcW w:w="2405" w:type="dxa"/>
            <w:shd w:val="clear" w:color="auto" w:fill="FFC000"/>
          </w:tcPr>
          <w:p w14:paraId="77BF2118" w14:textId="77777777" w:rsidR="00E3349A" w:rsidRDefault="00E3349A" w:rsidP="00A527E5">
            <w:pPr>
              <w:rPr>
                <w:b/>
                <w:bCs/>
              </w:rPr>
            </w:pPr>
            <w:r>
              <w:rPr>
                <w:b/>
                <w:bCs/>
              </w:rPr>
              <w:t>Company</w:t>
            </w:r>
          </w:p>
        </w:tc>
        <w:tc>
          <w:tcPr>
            <w:tcW w:w="2835" w:type="dxa"/>
            <w:shd w:val="clear" w:color="auto" w:fill="FFC000"/>
          </w:tcPr>
          <w:p w14:paraId="7A6598EA" w14:textId="77777777" w:rsidR="00E3349A" w:rsidRDefault="00E3349A" w:rsidP="00A527E5">
            <w:pPr>
              <w:rPr>
                <w:b/>
                <w:bCs/>
              </w:rPr>
            </w:pPr>
            <w:r>
              <w:rPr>
                <w:b/>
                <w:bCs/>
              </w:rPr>
              <w:t>Agree/Disagree</w:t>
            </w:r>
          </w:p>
        </w:tc>
        <w:tc>
          <w:tcPr>
            <w:tcW w:w="9356" w:type="dxa"/>
            <w:shd w:val="clear" w:color="auto" w:fill="FFC000"/>
          </w:tcPr>
          <w:p w14:paraId="26A84B4F" w14:textId="77777777" w:rsidR="00E3349A" w:rsidRDefault="00E3349A" w:rsidP="00A527E5">
            <w:pPr>
              <w:rPr>
                <w:b/>
                <w:bCs/>
              </w:rPr>
            </w:pPr>
            <w:r>
              <w:rPr>
                <w:b/>
                <w:bCs/>
              </w:rPr>
              <w:t>Additional Comment</w:t>
            </w:r>
          </w:p>
        </w:tc>
      </w:tr>
      <w:tr w:rsidR="00E3349A" w14:paraId="276F8CBF" w14:textId="77777777" w:rsidTr="00A527E5">
        <w:tc>
          <w:tcPr>
            <w:tcW w:w="2405" w:type="dxa"/>
          </w:tcPr>
          <w:p w14:paraId="2B035B15" w14:textId="79C402B2" w:rsidR="00E3349A" w:rsidRDefault="0035027C" w:rsidP="00A527E5">
            <w:r>
              <w:t>Intel</w:t>
            </w:r>
          </w:p>
        </w:tc>
        <w:tc>
          <w:tcPr>
            <w:tcW w:w="2835" w:type="dxa"/>
          </w:tcPr>
          <w:p w14:paraId="3ACA0939" w14:textId="1347E4DD" w:rsidR="00E3349A" w:rsidRDefault="0035027C" w:rsidP="00A527E5">
            <w:pPr>
              <w:rPr>
                <w:lang w:eastAsia="zh-CN"/>
              </w:rPr>
            </w:pPr>
            <w:r>
              <w:rPr>
                <w:lang w:eastAsia="zh-CN"/>
              </w:rPr>
              <w:t>Agree</w:t>
            </w:r>
          </w:p>
        </w:tc>
        <w:tc>
          <w:tcPr>
            <w:tcW w:w="9356" w:type="dxa"/>
          </w:tcPr>
          <w:p w14:paraId="380E1B3D" w14:textId="77777777" w:rsidR="00E3349A" w:rsidRDefault="0035027C" w:rsidP="00A527E5">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527E5">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527E5">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527E5">
        <w:tc>
          <w:tcPr>
            <w:tcW w:w="2405" w:type="dxa"/>
          </w:tcPr>
          <w:p w14:paraId="7D7755D2" w14:textId="77777777" w:rsidR="00E3349A" w:rsidRPr="0000192F" w:rsidRDefault="00E3349A" w:rsidP="00A527E5">
            <w:pPr>
              <w:rPr>
                <w:sz w:val="20"/>
              </w:rPr>
            </w:pPr>
          </w:p>
        </w:tc>
        <w:tc>
          <w:tcPr>
            <w:tcW w:w="2835" w:type="dxa"/>
          </w:tcPr>
          <w:p w14:paraId="662462B5" w14:textId="77777777" w:rsidR="00E3349A" w:rsidRPr="0000192F" w:rsidRDefault="00E3349A" w:rsidP="00A527E5">
            <w:pPr>
              <w:rPr>
                <w:sz w:val="20"/>
                <w:lang w:eastAsia="zh-CN"/>
              </w:rPr>
            </w:pPr>
          </w:p>
        </w:tc>
        <w:tc>
          <w:tcPr>
            <w:tcW w:w="9356" w:type="dxa"/>
          </w:tcPr>
          <w:p w14:paraId="1CEB98B1" w14:textId="77777777" w:rsidR="00E3349A" w:rsidRPr="0000192F" w:rsidRDefault="00E3349A" w:rsidP="00A527E5">
            <w:pPr>
              <w:rPr>
                <w:sz w:val="20"/>
                <w:lang w:eastAsia="zh-CN"/>
              </w:rPr>
            </w:pP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527E5">
        <w:tc>
          <w:tcPr>
            <w:tcW w:w="2405" w:type="dxa"/>
            <w:shd w:val="clear" w:color="auto" w:fill="FFC000"/>
          </w:tcPr>
          <w:p w14:paraId="7356E61D" w14:textId="77777777" w:rsidR="00E3349A" w:rsidRDefault="00E3349A" w:rsidP="00A527E5">
            <w:pPr>
              <w:rPr>
                <w:b/>
                <w:bCs/>
              </w:rPr>
            </w:pPr>
            <w:r>
              <w:rPr>
                <w:b/>
                <w:bCs/>
              </w:rPr>
              <w:t>Company</w:t>
            </w:r>
          </w:p>
        </w:tc>
        <w:tc>
          <w:tcPr>
            <w:tcW w:w="2835" w:type="dxa"/>
            <w:shd w:val="clear" w:color="auto" w:fill="FFC000"/>
          </w:tcPr>
          <w:p w14:paraId="67C6EA7B" w14:textId="77777777" w:rsidR="00E3349A" w:rsidRDefault="00E3349A" w:rsidP="00A527E5">
            <w:pPr>
              <w:rPr>
                <w:b/>
                <w:bCs/>
              </w:rPr>
            </w:pPr>
            <w:r>
              <w:rPr>
                <w:b/>
                <w:bCs/>
              </w:rPr>
              <w:t>Agree/Disagree</w:t>
            </w:r>
          </w:p>
        </w:tc>
        <w:tc>
          <w:tcPr>
            <w:tcW w:w="9356" w:type="dxa"/>
            <w:shd w:val="clear" w:color="auto" w:fill="FFC000"/>
          </w:tcPr>
          <w:p w14:paraId="551E6BF1" w14:textId="77777777" w:rsidR="00E3349A" w:rsidRDefault="00E3349A" w:rsidP="00A527E5">
            <w:pPr>
              <w:rPr>
                <w:b/>
                <w:bCs/>
              </w:rPr>
            </w:pPr>
            <w:r>
              <w:rPr>
                <w:b/>
                <w:bCs/>
              </w:rPr>
              <w:t>Additional Comment</w:t>
            </w:r>
          </w:p>
        </w:tc>
      </w:tr>
      <w:tr w:rsidR="00E3349A" w14:paraId="385DEB55" w14:textId="77777777" w:rsidTr="00A527E5">
        <w:tc>
          <w:tcPr>
            <w:tcW w:w="2405" w:type="dxa"/>
          </w:tcPr>
          <w:p w14:paraId="5E487952" w14:textId="788EACAC" w:rsidR="00E3349A" w:rsidRDefault="00383CF4" w:rsidP="00A527E5">
            <w:r>
              <w:lastRenderedPageBreak/>
              <w:t>Intel</w:t>
            </w:r>
          </w:p>
        </w:tc>
        <w:tc>
          <w:tcPr>
            <w:tcW w:w="2835" w:type="dxa"/>
          </w:tcPr>
          <w:p w14:paraId="1D631AA7" w14:textId="3092CA63" w:rsidR="00E3349A" w:rsidRDefault="00383CF4" w:rsidP="00A527E5">
            <w:pPr>
              <w:rPr>
                <w:lang w:eastAsia="zh-CN"/>
              </w:rPr>
            </w:pPr>
            <w:r>
              <w:rPr>
                <w:lang w:eastAsia="zh-CN"/>
              </w:rPr>
              <w:t>Agree</w:t>
            </w:r>
          </w:p>
        </w:tc>
        <w:tc>
          <w:tcPr>
            <w:tcW w:w="9356" w:type="dxa"/>
          </w:tcPr>
          <w:p w14:paraId="7E0246AA" w14:textId="77777777" w:rsidR="00E3349A" w:rsidRDefault="00E3349A" w:rsidP="00A527E5">
            <w:pPr>
              <w:rPr>
                <w:lang w:eastAsia="zh-CN"/>
              </w:rPr>
            </w:pPr>
          </w:p>
        </w:tc>
      </w:tr>
      <w:tr w:rsidR="00E3349A" w:rsidRPr="0000192F" w14:paraId="21588424" w14:textId="77777777" w:rsidTr="00A527E5">
        <w:tc>
          <w:tcPr>
            <w:tcW w:w="2405" w:type="dxa"/>
          </w:tcPr>
          <w:p w14:paraId="0619F439" w14:textId="77777777" w:rsidR="00E3349A" w:rsidRPr="0000192F" w:rsidRDefault="00E3349A" w:rsidP="00A527E5">
            <w:pPr>
              <w:rPr>
                <w:sz w:val="20"/>
              </w:rPr>
            </w:pPr>
          </w:p>
        </w:tc>
        <w:tc>
          <w:tcPr>
            <w:tcW w:w="2835" w:type="dxa"/>
          </w:tcPr>
          <w:p w14:paraId="2CBAE81B" w14:textId="77777777" w:rsidR="00E3349A" w:rsidRPr="0000192F" w:rsidRDefault="00E3349A" w:rsidP="00A527E5">
            <w:pPr>
              <w:rPr>
                <w:sz w:val="20"/>
                <w:lang w:eastAsia="zh-CN"/>
              </w:rPr>
            </w:pPr>
          </w:p>
        </w:tc>
        <w:tc>
          <w:tcPr>
            <w:tcW w:w="9356" w:type="dxa"/>
          </w:tcPr>
          <w:p w14:paraId="19670C88" w14:textId="77777777" w:rsidR="00E3349A" w:rsidRPr="0000192F" w:rsidRDefault="00E3349A" w:rsidP="00A527E5">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val="en-GB"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527E5">
        <w:tc>
          <w:tcPr>
            <w:tcW w:w="2405" w:type="dxa"/>
            <w:shd w:val="clear" w:color="auto" w:fill="FFC000"/>
          </w:tcPr>
          <w:p w14:paraId="32281ED2" w14:textId="77777777" w:rsidR="00987BF4" w:rsidRDefault="00987BF4" w:rsidP="00A527E5">
            <w:pPr>
              <w:rPr>
                <w:b/>
                <w:bCs/>
              </w:rPr>
            </w:pPr>
            <w:r>
              <w:rPr>
                <w:b/>
                <w:bCs/>
              </w:rPr>
              <w:t>Company</w:t>
            </w:r>
          </w:p>
        </w:tc>
        <w:tc>
          <w:tcPr>
            <w:tcW w:w="2835" w:type="dxa"/>
            <w:shd w:val="clear" w:color="auto" w:fill="FFC000"/>
          </w:tcPr>
          <w:p w14:paraId="483322D9" w14:textId="77777777" w:rsidR="00987BF4" w:rsidRDefault="00987BF4" w:rsidP="00A527E5">
            <w:pPr>
              <w:rPr>
                <w:b/>
                <w:bCs/>
              </w:rPr>
            </w:pPr>
            <w:r>
              <w:rPr>
                <w:b/>
                <w:bCs/>
              </w:rPr>
              <w:t>Agree/Disagree</w:t>
            </w:r>
          </w:p>
        </w:tc>
        <w:tc>
          <w:tcPr>
            <w:tcW w:w="9356" w:type="dxa"/>
            <w:shd w:val="clear" w:color="auto" w:fill="FFC000"/>
          </w:tcPr>
          <w:p w14:paraId="6CCCC063" w14:textId="77777777" w:rsidR="00987BF4" w:rsidRDefault="00987BF4" w:rsidP="00A527E5">
            <w:pPr>
              <w:rPr>
                <w:b/>
                <w:bCs/>
              </w:rPr>
            </w:pPr>
            <w:r>
              <w:rPr>
                <w:b/>
                <w:bCs/>
              </w:rPr>
              <w:t>Additional Comment</w:t>
            </w:r>
          </w:p>
        </w:tc>
      </w:tr>
      <w:tr w:rsidR="00987BF4" w14:paraId="43DA77E1" w14:textId="77777777" w:rsidTr="00A527E5">
        <w:tc>
          <w:tcPr>
            <w:tcW w:w="2405" w:type="dxa"/>
          </w:tcPr>
          <w:p w14:paraId="699122BB" w14:textId="77777777" w:rsidR="00987BF4" w:rsidRDefault="00987BF4" w:rsidP="00A527E5"/>
        </w:tc>
        <w:tc>
          <w:tcPr>
            <w:tcW w:w="2835" w:type="dxa"/>
          </w:tcPr>
          <w:p w14:paraId="7FEE5BB6" w14:textId="77777777" w:rsidR="00987BF4" w:rsidRDefault="00987BF4" w:rsidP="00A527E5">
            <w:pPr>
              <w:rPr>
                <w:lang w:eastAsia="zh-CN"/>
              </w:rPr>
            </w:pPr>
          </w:p>
        </w:tc>
        <w:tc>
          <w:tcPr>
            <w:tcW w:w="9356" w:type="dxa"/>
          </w:tcPr>
          <w:p w14:paraId="76415804" w14:textId="77777777" w:rsidR="00987BF4" w:rsidRDefault="00987BF4" w:rsidP="00A527E5">
            <w:pPr>
              <w:rPr>
                <w:lang w:eastAsia="zh-CN"/>
              </w:rPr>
            </w:pPr>
          </w:p>
        </w:tc>
      </w:tr>
      <w:tr w:rsidR="00987BF4" w:rsidRPr="0000192F" w14:paraId="5A8ABA1F" w14:textId="77777777" w:rsidTr="00A527E5">
        <w:tc>
          <w:tcPr>
            <w:tcW w:w="2405" w:type="dxa"/>
          </w:tcPr>
          <w:p w14:paraId="2F35D844" w14:textId="77777777" w:rsidR="00987BF4" w:rsidRPr="0000192F" w:rsidRDefault="00987BF4" w:rsidP="00A527E5">
            <w:pPr>
              <w:rPr>
                <w:sz w:val="20"/>
              </w:rPr>
            </w:pPr>
          </w:p>
        </w:tc>
        <w:tc>
          <w:tcPr>
            <w:tcW w:w="2835" w:type="dxa"/>
          </w:tcPr>
          <w:p w14:paraId="3FB68743" w14:textId="77777777" w:rsidR="00987BF4" w:rsidRPr="0000192F" w:rsidRDefault="00987BF4" w:rsidP="00A527E5">
            <w:pPr>
              <w:rPr>
                <w:sz w:val="20"/>
                <w:lang w:eastAsia="zh-CN"/>
              </w:rPr>
            </w:pPr>
          </w:p>
        </w:tc>
        <w:tc>
          <w:tcPr>
            <w:tcW w:w="9356" w:type="dxa"/>
          </w:tcPr>
          <w:p w14:paraId="586FF805" w14:textId="77777777" w:rsidR="00987BF4" w:rsidRPr="0000192F" w:rsidRDefault="00987BF4" w:rsidP="00A527E5">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 xml:space="preserve">During RAN#91e plenary meeting discussion [2], a variation of the latter approach was </w:t>
            </w:r>
            <w:r>
              <w:rPr>
                <w:lang w:eastAsia="zh-CN"/>
              </w:rPr>
              <w:lastRenderedPageBreak/>
              <w:t>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lastRenderedPageBreak/>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lastRenderedPageBreak/>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5C7B" w14:textId="77777777" w:rsidR="00642FCD" w:rsidRDefault="00642FCD" w:rsidP="00642FCD">
      <w:pPr>
        <w:spacing w:after="0" w:line="240" w:lineRule="auto"/>
      </w:pPr>
      <w:r>
        <w:separator/>
      </w:r>
    </w:p>
  </w:endnote>
  <w:endnote w:type="continuationSeparator" w:id="0">
    <w:p w14:paraId="7F5AD933" w14:textId="77777777" w:rsidR="00642FCD" w:rsidRDefault="00642FCD"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20002A87" w:usb1="00000000" w:usb2="00000000"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AE471" w14:textId="77777777" w:rsidR="00642FCD" w:rsidRDefault="00642FCD" w:rsidP="00642FCD">
      <w:pPr>
        <w:spacing w:after="0" w:line="240" w:lineRule="auto"/>
      </w:pPr>
      <w:r>
        <w:separator/>
      </w:r>
    </w:p>
  </w:footnote>
  <w:footnote w:type="continuationSeparator" w:id="0">
    <w:p w14:paraId="6EAB03C7" w14:textId="77777777" w:rsidR="00642FCD" w:rsidRDefault="00642FCD"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b813fb6-1347-4985-ab36-6575371b00b3"/>
    <ds:schemaRef ds:uri="2ff76fbf-12b9-4337-ad3b-122e2d975ade"/>
    <ds:schemaRef ds:uri="http://www.w3.org/XML/1998/namespace"/>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8221</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Lee, Daewon</cp:lastModifiedBy>
  <cp:revision>2</cp:revision>
  <cp:lastPrinted>2016-08-13T07:06:00Z</cp:lastPrinted>
  <dcterms:created xsi:type="dcterms:W3CDTF">2021-05-20T17:28:00Z</dcterms:created>
  <dcterms:modified xsi:type="dcterms:W3CDTF">2021-05-20T17:28:00Z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