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r w:rsidRPr="002574BD">
              <w:rPr>
                <w:rFonts w:ascii="Times New Roman" w:eastAsiaTheme="minorEastAsia" w:hAnsi="Times New Roman"/>
                <w:sz w:val="22"/>
                <w:szCs w:val="22"/>
                <w:lang w:eastAsia="zh-CN"/>
              </w:rPr>
              <w:lastRenderedPageBreak/>
              <w:t>Convida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lastRenderedPageBreak/>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hint="eastAsia"/>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00AF5F50" w14:textId="3CD44D6C" w:rsidR="002574BD" w:rsidRPr="002574BD" w:rsidRDefault="002574BD" w:rsidP="002574BD">
            <w:pPr>
              <w:pStyle w:val="BodyText"/>
              <w:spacing w:after="0"/>
              <w:rPr>
                <w:rFonts w:hint="eastAsia"/>
                <w:sz w:val="22"/>
                <w:szCs w:val="22"/>
                <w:lang w:eastAsia="zh-CN"/>
              </w:rPr>
            </w:pPr>
            <w:r w:rsidRPr="002574BD">
              <w:rPr>
                <w:rFonts w:ascii="Times New Roman" w:hAnsi="Times New Roman"/>
                <w:sz w:val="22"/>
                <w:szCs w:val="22"/>
                <w:lang w:eastAsia="zh-CN"/>
              </w:rPr>
              <w:t xml:space="preserve">We prefer Alt 1. </w:t>
            </w: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lastRenderedPageBreak/>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055AC7">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 xml:space="preserve">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7"/>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hint="eastAsia"/>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hint="eastAsia"/>
                <w:sz w:val="22"/>
                <w:szCs w:val="22"/>
                <w:lang w:eastAsia="ja-JP"/>
              </w:rPr>
            </w:pPr>
            <w:r w:rsidRPr="002574BD">
              <w:rPr>
                <w:rFonts w:ascii="Times New Roman" w:hAnsi="Times New Roman"/>
                <w:sz w:val="22"/>
                <w:szCs w:val="22"/>
                <w:lang w:eastAsia="zh-CN"/>
              </w:rPr>
              <w:t xml:space="preserve">Q4) We are fine with </w:t>
            </w:r>
            <w:proofErr w:type="gramStart"/>
            <w:r w:rsidRPr="002574BD">
              <w:rPr>
                <w:rFonts w:ascii="Times New Roman" w:hAnsi="Times New Roman"/>
                <w:sz w:val="22"/>
                <w:szCs w:val="22"/>
                <w:lang w:eastAsia="zh-CN"/>
              </w:rPr>
              <w:t>SSB</w:t>
            </w:r>
            <w:proofErr w:type="gramEnd"/>
            <w:r w:rsidRPr="002574BD">
              <w:rPr>
                <w:rFonts w:ascii="Times New Roman" w:hAnsi="Times New Roman"/>
                <w:sz w:val="22"/>
                <w:szCs w:val="22"/>
                <w:lang w:eastAsia="zh-CN"/>
              </w:rPr>
              <w:t xml:space="preserve">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055AC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055AC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hint="eastAsia"/>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coverage enhancement can be studied. </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lastRenderedPageBreak/>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lastRenderedPageBreak/>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 xml:space="preserve">5-6) </w:t>
            </w:r>
            <w:proofErr w:type="spellStart"/>
            <w:r w:rsidRPr="002574BD">
              <w:rPr>
                <w:sz w:val="22"/>
                <w:szCs w:val="22"/>
                <w:lang w:val="fr-FR" w:eastAsia="zh-CN"/>
              </w:rPr>
              <w:t>Reuse</w:t>
            </w:r>
            <w:proofErr w:type="spellEnd"/>
            <w:r w:rsidRPr="002574BD">
              <w:rPr>
                <w:sz w:val="22"/>
                <w:szCs w:val="22"/>
                <w:lang w:val="fr-FR" w:eastAsia="zh-CN"/>
              </w:rPr>
              <w:t xml:space="preserv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lastRenderedPageBreak/>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9A7727">
        <w:tc>
          <w:tcPr>
            <w:tcW w:w="180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9A7727">
        <w:tc>
          <w:tcPr>
            <w:tcW w:w="180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lastRenderedPageBreak/>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9A7727">
        <w:tc>
          <w:tcPr>
            <w:tcW w:w="180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9A7727">
        <w:tc>
          <w:tcPr>
            <w:tcW w:w="180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lastRenderedPageBreak/>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lastRenderedPageBreak/>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825C" w14:textId="77777777" w:rsidR="00055AC7" w:rsidRDefault="00055AC7">
      <w:pPr>
        <w:spacing w:after="0" w:line="240" w:lineRule="auto"/>
      </w:pPr>
      <w:r>
        <w:separator/>
      </w:r>
    </w:p>
  </w:endnote>
  <w:endnote w:type="continuationSeparator" w:id="0">
    <w:p w14:paraId="0F15B72D" w14:textId="77777777" w:rsidR="00055AC7" w:rsidRDefault="000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32" w14:textId="77777777" w:rsidR="00627C11" w:rsidRDefault="00627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627C11" w:rsidRDefault="00627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721" w14:textId="5EBD4AEF" w:rsidR="00627C11" w:rsidRDefault="00627C1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FEE2" w14:textId="77777777" w:rsidR="00055AC7" w:rsidRDefault="00055AC7">
      <w:pPr>
        <w:spacing w:after="0" w:line="240" w:lineRule="auto"/>
      </w:pPr>
      <w:r>
        <w:separator/>
      </w:r>
    </w:p>
  </w:footnote>
  <w:footnote w:type="continuationSeparator" w:id="0">
    <w:p w14:paraId="75083CBF" w14:textId="77777777" w:rsidR="00055AC7" w:rsidRDefault="0005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FED" w14:textId="77777777" w:rsidR="00627C11" w:rsidRDefault="00627C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6"/>
  </w:num>
  <w:num w:numId="7">
    <w:abstractNumId w:val="5"/>
  </w:num>
  <w:num w:numId="8">
    <w:abstractNumId w:val="13"/>
  </w:num>
  <w:num w:numId="9">
    <w:abstractNumId w:val="8"/>
  </w:num>
  <w:num w:numId="10">
    <w:abstractNumId w:val="22"/>
  </w:num>
  <w:num w:numId="11">
    <w:abstractNumId w:val="11"/>
  </w:num>
  <w:num w:numId="12">
    <w:abstractNumId w:val="24"/>
  </w:num>
  <w:num w:numId="13">
    <w:abstractNumId w:val="25"/>
  </w:num>
  <w:num w:numId="14">
    <w:abstractNumId w:val="9"/>
  </w:num>
  <w:num w:numId="15">
    <w:abstractNumId w:val="2"/>
  </w:num>
  <w:num w:numId="16">
    <w:abstractNumId w:val="15"/>
  </w:num>
  <w:num w:numId="17">
    <w:abstractNumId w:val="3"/>
  </w:num>
  <w:num w:numId="18">
    <w:abstractNumId w:val="21"/>
  </w:num>
  <w:num w:numId="19">
    <w:abstractNumId w:val="1"/>
  </w:num>
  <w:num w:numId="20">
    <w:abstractNumId w:val="12"/>
  </w:num>
  <w:num w:numId="21">
    <w:abstractNumId w:val="28"/>
  </w:num>
  <w:num w:numId="22">
    <w:abstractNumId w:val="6"/>
  </w:num>
  <w:num w:numId="23">
    <w:abstractNumId w:val="29"/>
  </w:num>
  <w:num w:numId="24">
    <w:abstractNumId w:val="23"/>
  </w:num>
  <w:num w:numId="25">
    <w:abstractNumId w:val="7"/>
  </w:num>
  <w:num w:numId="26">
    <w:abstractNumId w:val="4"/>
  </w:num>
  <w:num w:numId="27">
    <w:abstractNumId w:val="16"/>
  </w:num>
  <w:num w:numId="28">
    <w:abstractNumId w:val="27"/>
  </w:num>
  <w:num w:numId="29">
    <w:abstractNumId w:val="17"/>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04000"/>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0CBEE1B1-948A-4887-8CD0-7ADCC0A103A9}">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163D486-15C0-49DC-9E53-E9924BBC7C37}">
  <ds:schemaRefs>
    <ds:schemaRef ds:uri="http://schemas.openxmlformats.org/officeDocument/2006/bibliography"/>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71</Pages>
  <Words>23808</Words>
  <Characters>135707</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159197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Kyle Pan</cp:lastModifiedBy>
  <cp:revision>3</cp:revision>
  <cp:lastPrinted>2011-11-09T07:49:00Z</cp:lastPrinted>
  <dcterms:created xsi:type="dcterms:W3CDTF">2021-05-21T04:52:00Z</dcterms:created>
  <dcterms:modified xsi:type="dcterms:W3CDTF">2021-05-21T04:57:00Z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