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E654CC" w:rsidRPr="00231B58" w:rsidRDefault="00E654C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654CC" w:rsidRPr="00787267" w:rsidRDefault="00E654CC"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E654CC" w:rsidRPr="00231B58" w:rsidRDefault="00E654C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654CC" w:rsidRPr="00787267" w:rsidRDefault="00E654CC"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w:t>
            </w:r>
            <w:proofErr w:type="spellStart"/>
            <w:r w:rsidRPr="005C0A93">
              <w:rPr>
                <w:lang w:eastAsia="zh-CN"/>
              </w:rPr>
              <w:t>CEmodeA</w:t>
            </w:r>
            <w:proofErr w:type="spellEnd"/>
            <w:r w:rsidRPr="005C0A93">
              <w:rPr>
                <w:lang w:eastAsia="zh-CN"/>
              </w:rPr>
              <w:t xml:space="preserve">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w:t>
            </w:r>
            <w:proofErr w:type="spellStart"/>
            <w:r w:rsidRPr="005C0A93">
              <w:rPr>
                <w:lang w:eastAsia="zh-CN"/>
              </w:rPr>
              <w:t>CEmodeA</w:t>
            </w:r>
            <w:proofErr w:type="spellEnd"/>
            <w:r w:rsidRPr="005C0A93">
              <w:rPr>
                <w:lang w:eastAsia="zh-CN"/>
              </w:rPr>
              <w:t xml:space="preserve">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491A58"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491A58"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491A5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xml:space="preserve">, CATT (for NB-IoT and eMTC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 xml:space="preserve">l, Lenovo, Motorola Mobility, Ericsson, </w:t>
      </w:r>
      <w:proofErr w:type="spellStart"/>
      <w:r w:rsidR="003D0A8E" w:rsidRPr="00675026">
        <w:rPr>
          <w:rFonts w:ascii="Times New Roman" w:eastAsia="DengXian"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r>
              <w:rPr>
                <w:rFonts w:eastAsia="DengXian" w:hint="eastAsia"/>
                <w:lang w:eastAsia="zh-CN"/>
              </w:rPr>
              <w:t xml:space="preserve">eMTC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DengXian"/>
                <w:color w:val="FF0000"/>
                <w:sz w:val="18"/>
                <w:szCs w:val="18"/>
                <w:lang w:eastAsia="zh-CN"/>
              </w:rPr>
            </w:pPr>
            <w:r w:rsidRPr="00BC056B">
              <w:rPr>
                <w:rFonts w:eastAsia="DengXian"/>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Rel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proofErr w:type="spellStart"/>
            <w:r>
              <w:rPr>
                <w:rFonts w:eastAsia="DengXian"/>
                <w:sz w:val="18"/>
                <w:szCs w:val="18"/>
                <w:lang w:eastAsia="zh-CN"/>
              </w:rPr>
              <w:t>Spreadtrum</w:t>
            </w:r>
            <w:proofErr w:type="spellEnd"/>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w:t>
            </w:r>
            <w:r>
              <w:rPr>
                <w:rFonts w:eastAsia="DengXian"/>
                <w:lang w:eastAsia="zh-CN"/>
              </w:rPr>
              <w:t xml:space="preserve">upport moderator’s </w:t>
            </w:r>
            <w:r>
              <w:rPr>
                <w:rFonts w:eastAsia="DengXian"/>
                <w:lang w:eastAsia="zh-CN"/>
              </w:rPr>
              <w:t xml:space="preserve">proposal </w:t>
            </w:r>
            <w:r>
              <w:rPr>
                <w:rFonts w:eastAsia="DengXian"/>
                <w:lang w:eastAsia="zh-CN"/>
              </w:rPr>
              <w:t>of not introducing the disabling of HARQ feedback in Release 17 timeframe.</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491A58"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491A58"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DengXian"/>
                <w:color w:val="FF0000"/>
                <w:sz w:val="18"/>
                <w:szCs w:val="18"/>
                <w:lang w:eastAsia="zh-CN"/>
              </w:rPr>
            </w:pPr>
            <w:r w:rsidRPr="00E27DF1">
              <w:rPr>
                <w:rFonts w:eastAsia="DengXian"/>
                <w:color w:val="FF0000"/>
                <w:sz w:val="18"/>
                <w:szCs w:val="18"/>
                <w:lang w:eastAsia="zh-CN"/>
              </w:rPr>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timer already ensures that the PDCCH for the HARQ process in question isn’t monitored before </w:t>
            </w:r>
            <w:r>
              <w:rPr>
                <w:color w:val="FF0000"/>
              </w:rPr>
              <w:t>the timer expires</w:t>
            </w:r>
            <w:r w:rsidRPr="00E27DF1">
              <w:rPr>
                <w:color w:val="FF0000"/>
              </w:rPr>
              <w:t>.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DengXian"/>
                <w:color w:val="FF0000"/>
                <w:sz w:val="18"/>
                <w:szCs w:val="18"/>
                <w:lang w:eastAsia="zh-CN"/>
              </w:rPr>
            </w:pPr>
            <w:r w:rsidRPr="001803A1">
              <w:rPr>
                <w:rFonts w:eastAsia="DengXian"/>
                <w:color w:val="FF0000"/>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77777777" w:rsidR="00AF0E8B" w:rsidRDefault="00AF0E8B" w:rsidP="00A92364">
            <w:pPr>
              <w:snapToGrid w:val="0"/>
              <w:ind w:firstLineChars="0" w:firstLine="0"/>
              <w:jc w:val="left"/>
              <w:rPr>
                <w:rFonts w:eastAsia="DengXi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259098E" w14:textId="77777777" w:rsidR="00AF0E8B" w:rsidRDefault="00AF0E8B" w:rsidP="00A92364">
            <w:pPr>
              <w:spacing w:beforeLines="50" w:before="120"/>
              <w:ind w:firstLineChars="0" w:firstLine="0"/>
              <w:rPr>
                <w:rFonts w:eastAsia="DengXian"/>
                <w:lang w:eastAsia="zh-CN"/>
              </w:rPr>
            </w:pP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491A58"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491A58"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Spreadtrum</w:t>
            </w:r>
            <w:proofErr w:type="spellEnd"/>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491A58"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491A58"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 xml:space="preserve">As mentioned by moderator, the </w:t>
            </w:r>
            <w:proofErr w:type="spellStart"/>
            <w:r w:rsidRPr="00802504">
              <w:rPr>
                <w:sz w:val="18"/>
                <w:szCs w:val="18"/>
              </w:rPr>
              <w:t>long time</w:t>
            </w:r>
            <w:proofErr w:type="spellEnd"/>
            <w:r w:rsidRPr="00802504">
              <w:rPr>
                <w:sz w:val="18"/>
                <w:szCs w:val="18"/>
              </w:rPr>
              <w:t xml:space="preserv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proofErr w:type="spellStart"/>
            <w:r>
              <w:rPr>
                <w:rFonts w:eastAsia="DengXian" w:hint="eastAsia"/>
                <w:sz w:val="18"/>
                <w:szCs w:val="18"/>
                <w:lang w:eastAsia="zh-CN"/>
              </w:rPr>
              <w:t>Spreadtrum</w:t>
            </w:r>
            <w:proofErr w:type="spellEnd"/>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491A58"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 xml:space="preserve">o need to discuss this before any issue found that the target data rate </w:t>
            </w:r>
            <w:proofErr w:type="spellStart"/>
            <w:r w:rsidRPr="000304F0">
              <w:rPr>
                <w:bCs/>
                <w:sz w:val="18"/>
                <w:szCs w:val="18"/>
              </w:rPr>
              <w:t>can not</w:t>
            </w:r>
            <w:proofErr w:type="spellEnd"/>
            <w:r w:rsidRPr="000304F0">
              <w:rPr>
                <w:bCs/>
                <w:sz w:val="18"/>
                <w:szCs w:val="18"/>
              </w:rPr>
              <w:t xml:space="preserve">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w:t>
            </w:r>
            <w:proofErr w:type="spellStart"/>
            <w:r>
              <w:rPr>
                <w:bCs/>
                <w:color w:val="FF0000"/>
                <w:sz w:val="18"/>
                <w:szCs w:val="18"/>
              </w:rPr>
              <w:t>K_offset</w:t>
            </w:r>
            <w:proofErr w:type="spellEnd"/>
            <w:r>
              <w:rPr>
                <w:bCs/>
                <w:color w:val="FF0000"/>
                <w:sz w:val="18"/>
                <w:szCs w:val="18"/>
              </w:rPr>
              <w: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proofErr w:type="spellStart"/>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roofErr w:type="spellEnd"/>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w:t>
            </w:r>
            <w:bookmarkStart w:id="3" w:name="_GoBack"/>
            <w:bookmarkEnd w:id="3"/>
            <w:r>
              <w:rPr>
                <w:rFonts w:eastAsia="DengXian"/>
                <w:sz w:val="18"/>
                <w:szCs w:val="18"/>
                <w:lang w:eastAsia="zh-CN"/>
              </w:rPr>
              <w:t xml:space="preserve"> in later release</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w:t>
            </w:r>
            <w:proofErr w:type="spellStart"/>
            <w:r w:rsidR="000C6C5E" w:rsidRPr="005C0A93">
              <w:rPr>
                <w:lang w:eastAsia="zh-CN"/>
              </w:rPr>
              <w:t>CEmodeA</w:t>
            </w:r>
            <w:proofErr w:type="spellEnd"/>
            <w:r w:rsidR="000C6C5E" w:rsidRPr="005C0A93">
              <w:rPr>
                <w:lang w:eastAsia="zh-CN"/>
              </w:rPr>
              <w:t xml:space="preserve">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w:t>
            </w:r>
            <w:proofErr w:type="spellStart"/>
            <w:r w:rsidR="000C6C5E" w:rsidRPr="005C0A93">
              <w:rPr>
                <w:lang w:eastAsia="zh-CN"/>
              </w:rPr>
              <w:t>CEmodeA</w:t>
            </w:r>
            <w:proofErr w:type="spellEnd"/>
            <w:r w:rsidR="000C6C5E" w:rsidRPr="005C0A93">
              <w:rPr>
                <w:lang w:eastAsia="zh-CN"/>
              </w:rPr>
              <w:t xml:space="preserve">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491A58"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491A58"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491A58"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491A58"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491A58"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0BDD9" w14:textId="77777777" w:rsidR="00491A58" w:rsidRDefault="00491A58" w:rsidP="007378B8">
      <w:r>
        <w:separator/>
      </w:r>
    </w:p>
  </w:endnote>
  <w:endnote w:type="continuationSeparator" w:id="0">
    <w:p w14:paraId="5451EE55" w14:textId="77777777" w:rsidR="00491A58" w:rsidRDefault="00491A58"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3CBE" w14:textId="77777777" w:rsidR="000C3044" w:rsidRDefault="000C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2AD91C55" w:rsidR="00E654CC" w:rsidRDefault="00E654CC">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20</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1E52" w14:textId="77777777" w:rsidR="000C3044" w:rsidRDefault="000C3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F6941" w14:textId="77777777" w:rsidR="00491A58" w:rsidRDefault="00491A58" w:rsidP="007378B8">
      <w:r>
        <w:separator/>
      </w:r>
    </w:p>
  </w:footnote>
  <w:footnote w:type="continuationSeparator" w:id="0">
    <w:p w14:paraId="6FDB5EB4" w14:textId="77777777" w:rsidR="00491A58" w:rsidRDefault="00491A58"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E654CC" w:rsidRDefault="00E654CC"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8971" w14:textId="77777777" w:rsidR="000C3044" w:rsidRDefault="000C3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95B3" w14:textId="77777777" w:rsidR="000C3044" w:rsidRDefault="000C3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9"/>
  </w:num>
  <w:num w:numId="3">
    <w:abstractNumId w:val="10"/>
  </w:num>
  <w:num w:numId="4">
    <w:abstractNumId w:val="20"/>
  </w:num>
  <w:num w:numId="5">
    <w:abstractNumId w:val="1"/>
  </w:num>
  <w:num w:numId="6">
    <w:abstractNumId w:val="6"/>
  </w:num>
  <w:num w:numId="7">
    <w:abstractNumId w:val="28"/>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1"/>
  </w:num>
  <w:num w:numId="20">
    <w:abstractNumId w:val="14"/>
  </w:num>
  <w:num w:numId="21">
    <w:abstractNumId w:val="30"/>
  </w:num>
  <w:num w:numId="22">
    <w:abstractNumId w:val="16"/>
  </w:num>
  <w:num w:numId="23">
    <w:abstractNumId w:val="17"/>
  </w:num>
  <w:num w:numId="24">
    <w:abstractNumId w:val="21"/>
  </w:num>
  <w:num w:numId="25">
    <w:abstractNumId w:val="27"/>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9D52D-9F8D-4FD7-A241-2086AD2A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10848</Words>
  <Characters>61840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Jaffar, Munira</cp:lastModifiedBy>
  <cp:revision>10</cp:revision>
  <dcterms:created xsi:type="dcterms:W3CDTF">2021-05-24T14:02:00Z</dcterms:created>
  <dcterms:modified xsi:type="dcterms:W3CDTF">2021-05-24T14:09:00Z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ies>
</file>