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4"/>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83110D">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lastRenderedPageBreak/>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0E53A1">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2"/>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2"/>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w:t>
            </w:r>
            <w:r>
              <w:rPr>
                <w:rFonts w:eastAsia="宋体"/>
                <w:color w:val="FF0000"/>
                <w:sz w:val="20"/>
                <w:lang w:bidi="ar"/>
              </w:rPr>
              <w:t xml:space="preserve"> In the meantime, we really need to move on.</w:t>
            </w:r>
            <w:r>
              <w:rPr>
                <w:rFonts w:eastAsia="宋体"/>
                <w:color w:val="FF0000"/>
                <w:sz w:val="20"/>
                <w:lang w:bidi="ar"/>
              </w:rPr>
              <w:t xml:space="preserve">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2"/>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rPr>
          <w:rFonts w:hint="eastAsia"/>
        </w:rPr>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hint="eastAsia"/>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hint="eastAsia"/>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w:t>
      </w:r>
      <w:r>
        <w:rPr>
          <w:rFonts w:eastAsia="宋体"/>
          <w:kern w:val="0"/>
          <w:lang w:bidi="ar"/>
        </w:rPr>
        <w:t>its, t</w:t>
      </w:r>
      <w:r>
        <w:rPr>
          <w:rFonts w:eastAsia="宋体"/>
          <w:kern w:val="0"/>
          <w:lang w:bidi="ar"/>
        </w:rPr>
        <w: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w:t>
      </w:r>
      <w:r>
        <w:rPr>
          <w:rFonts w:eastAsia="宋体"/>
          <w:kern w:val="0"/>
          <w:lang w:bidi="ar"/>
        </w:rPr>
        <w:t>, companies can further input, if not addressed in the moderator reply for the previous round</w:t>
      </w:r>
      <w:r>
        <w:rPr>
          <w:rFonts w:eastAsia="宋体"/>
          <w:kern w:val="0"/>
          <w:lang w:bidi="ar"/>
        </w:rPr>
        <w:t>:</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d"/>
        <w:tblW w:w="0" w:type="auto"/>
        <w:tblLook w:val="04A0" w:firstRow="1" w:lastRow="0" w:firstColumn="1" w:lastColumn="0" w:noHBand="0" w:noVBand="1"/>
      </w:tblPr>
      <w:tblGrid>
        <w:gridCol w:w="4825"/>
        <w:gridCol w:w="4825"/>
      </w:tblGrid>
      <w:tr w:rsidR="00662E9D" w14:paraId="7CC829A7" w14:textId="77777777" w:rsidTr="00662E9D">
        <w:tc>
          <w:tcPr>
            <w:tcW w:w="4825"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4825"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662E9D">
        <w:tc>
          <w:tcPr>
            <w:tcW w:w="4825" w:type="dxa"/>
          </w:tcPr>
          <w:p w14:paraId="3D7084CF" w14:textId="77777777" w:rsidR="003C04D9" w:rsidRDefault="003C04D9" w:rsidP="00662E9D">
            <w:pPr>
              <w:spacing w:before="120" w:after="120" w:line="256" w:lineRule="auto"/>
              <w:rPr>
                <w:rFonts w:eastAsia="宋体" w:hint="eastAsia"/>
                <w:kern w:val="0"/>
                <w:lang w:bidi="ar"/>
              </w:rPr>
            </w:pPr>
          </w:p>
        </w:tc>
        <w:tc>
          <w:tcPr>
            <w:tcW w:w="4825" w:type="dxa"/>
          </w:tcPr>
          <w:p w14:paraId="20A3C5DA" w14:textId="77777777" w:rsidR="003C04D9" w:rsidRDefault="003C04D9" w:rsidP="00662E9D">
            <w:pPr>
              <w:spacing w:before="120" w:after="120" w:line="256" w:lineRule="auto"/>
              <w:rPr>
                <w:rFonts w:eastAsia="宋体" w:hint="eastAsia"/>
                <w:kern w:val="0"/>
                <w:lang w:bidi="ar"/>
              </w:rPr>
            </w:pP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w:t>
      </w:r>
      <w:r w:rsidRPr="003C04D9">
        <w:rPr>
          <w:rFonts w:eastAsia="宋体"/>
          <w:kern w:val="0"/>
          <w:highlight w:val="yellow"/>
          <w:lang w:bidi="ar"/>
        </w:rPr>
        <w:t xml:space="preserv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w:t>
      </w:r>
      <w:r>
        <w:rPr>
          <w:kern w:val="0"/>
        </w:rPr>
        <w:t xml:space="preserve"> partially/non overlapped with configured DRX active time.</w:t>
      </w:r>
    </w:p>
    <w:tbl>
      <w:tblPr>
        <w:tblStyle w:val="ad"/>
        <w:tblW w:w="0" w:type="auto"/>
        <w:tblLook w:val="04A0" w:firstRow="1" w:lastRow="0" w:firstColumn="1" w:lastColumn="0" w:noHBand="0" w:noVBand="1"/>
      </w:tblPr>
      <w:tblGrid>
        <w:gridCol w:w="4825"/>
        <w:gridCol w:w="4825"/>
      </w:tblGrid>
      <w:tr w:rsidR="001D3035" w14:paraId="7E90DCD7" w14:textId="77777777" w:rsidTr="00377978">
        <w:tc>
          <w:tcPr>
            <w:tcW w:w="4825" w:type="dxa"/>
          </w:tcPr>
          <w:p w14:paraId="47F8A8E9" w14:textId="77777777" w:rsidR="001D3035" w:rsidRDefault="001D3035" w:rsidP="00377978">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4825" w:type="dxa"/>
          </w:tcPr>
          <w:p w14:paraId="2974BD5A" w14:textId="77777777" w:rsidR="001D3035" w:rsidRDefault="001D3035" w:rsidP="00377978">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377978">
        <w:tc>
          <w:tcPr>
            <w:tcW w:w="4825" w:type="dxa"/>
          </w:tcPr>
          <w:p w14:paraId="16751852" w14:textId="77777777" w:rsidR="001D3035" w:rsidRDefault="001D3035" w:rsidP="00377978">
            <w:pPr>
              <w:spacing w:before="120" w:after="120" w:line="256" w:lineRule="auto"/>
              <w:rPr>
                <w:rFonts w:eastAsia="宋体" w:hint="eastAsia"/>
                <w:kern w:val="0"/>
                <w:lang w:bidi="ar"/>
              </w:rPr>
            </w:pPr>
          </w:p>
        </w:tc>
        <w:tc>
          <w:tcPr>
            <w:tcW w:w="4825" w:type="dxa"/>
          </w:tcPr>
          <w:p w14:paraId="2532D124" w14:textId="77777777" w:rsidR="001D3035" w:rsidRDefault="001D3035" w:rsidP="00377978">
            <w:pPr>
              <w:spacing w:before="120" w:after="120" w:line="256" w:lineRule="auto"/>
              <w:rPr>
                <w:rFonts w:eastAsia="宋体" w:hint="eastAsia"/>
                <w:kern w:val="0"/>
                <w:lang w:bidi="ar"/>
              </w:rPr>
            </w:pPr>
          </w:p>
        </w:tc>
      </w:tr>
    </w:tbl>
    <w:p w14:paraId="1E052F6A" w14:textId="77777777" w:rsidR="001D3035" w:rsidRPr="00662E9D" w:rsidRDefault="001D3035" w:rsidP="00662E9D">
      <w:pPr>
        <w:spacing w:before="120" w:after="120" w:line="256" w:lineRule="auto"/>
        <w:rPr>
          <w:kern w:val="0"/>
        </w:rPr>
      </w:pPr>
      <w:bookmarkStart w:id="11" w:name="_GoBack"/>
      <w:bookmarkEnd w:id="11"/>
    </w:p>
    <w:p w14:paraId="6941A9A6" w14:textId="77777777" w:rsidR="00662E9D" w:rsidRPr="00662E9D" w:rsidRDefault="00662E9D">
      <w:pPr>
        <w:spacing w:before="120" w:after="120"/>
        <w:rPr>
          <w:rFonts w:hint="eastAsia"/>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0BE0" w14:textId="77777777" w:rsidR="008825D0" w:rsidRDefault="008825D0" w:rsidP="009D4D1F">
      <w:pPr>
        <w:spacing w:before="120" w:after="120" w:line="240" w:lineRule="auto"/>
      </w:pPr>
      <w:r>
        <w:separator/>
      </w:r>
    </w:p>
  </w:endnote>
  <w:endnote w:type="continuationSeparator" w:id="0">
    <w:p w14:paraId="1DEB1FCB" w14:textId="77777777" w:rsidR="008825D0" w:rsidRDefault="008825D0"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731917" w:rsidRDefault="00731917">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56BABE70" w14:textId="4E8C2065" w:rsidR="00731917" w:rsidRDefault="00280D9C">
        <w:pPr>
          <w:pStyle w:val="a7"/>
          <w:spacing w:before="120" w:after="120"/>
          <w:jc w:val="center"/>
        </w:pPr>
        <w:r>
          <w:fldChar w:fldCharType="begin"/>
        </w:r>
        <w:r w:rsidR="00731917">
          <w:instrText xml:space="preserve"> PAGE   \* MERGEFORMAT </w:instrText>
        </w:r>
        <w:r>
          <w:fldChar w:fldCharType="separate"/>
        </w:r>
        <w:r w:rsidR="001D3035">
          <w:rPr>
            <w:noProof/>
          </w:rPr>
          <w:t>11</w:t>
        </w:r>
        <w:r>
          <w:rPr>
            <w:noProof/>
          </w:rPr>
          <w:fldChar w:fldCharType="end"/>
        </w:r>
      </w:p>
    </w:sdtContent>
  </w:sdt>
  <w:p w14:paraId="5528C200" w14:textId="77777777" w:rsidR="00731917" w:rsidRDefault="00731917">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731917" w:rsidRDefault="00731917">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210FB" w14:textId="77777777" w:rsidR="008825D0" w:rsidRDefault="008825D0" w:rsidP="009D4D1F">
      <w:pPr>
        <w:spacing w:before="120" w:after="120" w:line="240" w:lineRule="auto"/>
      </w:pPr>
      <w:r>
        <w:separator/>
      </w:r>
    </w:p>
  </w:footnote>
  <w:footnote w:type="continuationSeparator" w:id="0">
    <w:p w14:paraId="737C8602" w14:textId="77777777" w:rsidR="008825D0" w:rsidRDefault="008825D0"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731917" w:rsidRDefault="00731917">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731917" w:rsidRDefault="00731917">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731917" w:rsidRDefault="00731917">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5">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D3035"/>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57E1D"/>
    <w:rsid w:val="00263BFE"/>
    <w:rsid w:val="002721B8"/>
    <w:rsid w:val="00280D9C"/>
    <w:rsid w:val="00284819"/>
    <w:rsid w:val="0029502F"/>
    <w:rsid w:val="00295517"/>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45725"/>
    <w:rsid w:val="006519B5"/>
    <w:rsid w:val="00652629"/>
    <w:rsid w:val="00653D1A"/>
    <w:rsid w:val="00662E9D"/>
    <w:rsid w:val="00682C34"/>
    <w:rsid w:val="00692759"/>
    <w:rsid w:val="00693693"/>
    <w:rsid w:val="00696793"/>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DBC4AF63-ED5F-48E2-B610-F34D9CF3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4730</Words>
  <Characters>26965</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31632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3</cp:revision>
  <dcterms:created xsi:type="dcterms:W3CDTF">2021-05-25T03:11:00Z</dcterms:created>
  <dcterms:modified xsi:type="dcterms:W3CDTF">2021-05-25T03:11:00Z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