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Heading1"/>
        <w:spacing w:before="120" w:after="120"/>
        <w:ind w:left="0"/>
        <w:rPr>
          <w:rFonts w:eastAsia="SimSun"/>
        </w:rPr>
      </w:pPr>
      <w:r>
        <w:rPr>
          <w:rFonts w:eastAsia="SimSun"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4EDDC78C"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2D3D288B"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ZTE, Sanechips</w:t>
            </w:r>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14:paraId="5D21262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(Futurewei)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Heading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45A1ECCF"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555"/>
        <w:gridCol w:w="8095"/>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146F4E2"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In our view, if sensing cannot performed out of DRX active time, there will be the following issues:</w:t>
            </w:r>
          </w:p>
          <w:p w14:paraId="1B1231D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44418914"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662718D" w14:textId="77777777" w:rsidTr="00192B3A">
        <w:tc>
          <w:tcPr>
            <w:tcW w:w="1555" w:type="dxa"/>
          </w:tcPr>
          <w:p w14:paraId="0249764C" w14:textId="63011DD3" w:rsidR="00FD0405" w:rsidRDefault="00FD0405" w:rsidP="00FD0405">
            <w:pPr>
              <w:spacing w:before="120" w:after="120"/>
              <w:rPr>
                <w:kern w:val="0"/>
              </w:rPr>
            </w:pPr>
            <w:r>
              <w:rPr>
                <w:rFonts w:hint="eastAsia"/>
                <w:kern w:val="0"/>
              </w:rPr>
              <w:t>Xiaomi</w:t>
            </w:r>
          </w:p>
        </w:tc>
        <w:tc>
          <w:tcPr>
            <w:tcW w:w="8095" w:type="dxa"/>
          </w:tcPr>
          <w:p w14:paraId="3CE2247C"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574BEA25" w14:textId="1A7A6F08"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17A8E6A0" w14:textId="77777777" w:rsidTr="00192B3A">
        <w:tc>
          <w:tcPr>
            <w:tcW w:w="1555" w:type="dxa"/>
          </w:tcPr>
          <w:p w14:paraId="598E256A" w14:textId="5D608027" w:rsidR="00B21B99" w:rsidRDefault="00B21B99" w:rsidP="00FD0405">
            <w:pPr>
              <w:spacing w:before="120" w:after="120"/>
              <w:rPr>
                <w:kern w:val="0"/>
              </w:rPr>
            </w:pPr>
            <w:r>
              <w:rPr>
                <w:rFonts w:hint="eastAsia"/>
                <w:kern w:val="0"/>
              </w:rPr>
              <w:t>F</w:t>
            </w:r>
            <w:r>
              <w:rPr>
                <w:kern w:val="0"/>
              </w:rPr>
              <w:t>ujitsu</w:t>
            </w:r>
          </w:p>
        </w:tc>
        <w:tc>
          <w:tcPr>
            <w:tcW w:w="8095" w:type="dxa"/>
          </w:tcPr>
          <w:p w14:paraId="1CA2213D" w14:textId="0488F9A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12E1D0AB"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3D3E3CA2" w14:textId="7C0EE9BD"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0BDD2470" w14:textId="77777777" w:rsidTr="006C4AFB">
        <w:tc>
          <w:tcPr>
            <w:tcW w:w="1555" w:type="dxa"/>
          </w:tcPr>
          <w:p w14:paraId="0969AD63" w14:textId="77777777" w:rsidR="006C4AFB" w:rsidRDefault="006C4AFB" w:rsidP="0083110D">
            <w:pPr>
              <w:spacing w:before="120" w:after="120"/>
              <w:rPr>
                <w:kern w:val="0"/>
              </w:rPr>
            </w:pPr>
            <w:r>
              <w:rPr>
                <w:rFonts w:hint="eastAsia"/>
                <w:kern w:val="0"/>
              </w:rPr>
              <w:t>vivo</w:t>
            </w:r>
          </w:p>
        </w:tc>
        <w:tc>
          <w:tcPr>
            <w:tcW w:w="8095" w:type="dxa"/>
          </w:tcPr>
          <w:p w14:paraId="362D5854" w14:textId="77777777" w:rsidR="006C4AFB" w:rsidRDefault="006C4AFB" w:rsidP="0083110D">
            <w:pPr>
              <w:spacing w:before="120" w:after="120"/>
              <w:rPr>
                <w:kern w:val="0"/>
              </w:rPr>
            </w:pPr>
            <w:r>
              <w:rPr>
                <w:kern w:val="0"/>
              </w:rPr>
              <w:t>Support Alt 2 (although we think the word of ‘cannot’ is confusing)</w:t>
            </w:r>
          </w:p>
          <w:p w14:paraId="04A24C30"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61516D5B"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262559CF" w14:textId="77777777" w:rsidTr="000E53A1">
        <w:tc>
          <w:tcPr>
            <w:tcW w:w="1555" w:type="dxa"/>
          </w:tcPr>
          <w:p w14:paraId="108483FA" w14:textId="77777777" w:rsidR="00B6163B" w:rsidRDefault="00B6163B" w:rsidP="000E53A1">
            <w:pPr>
              <w:spacing w:before="120" w:after="120"/>
              <w:rPr>
                <w:kern w:val="0"/>
              </w:rPr>
            </w:pPr>
            <w:r>
              <w:rPr>
                <w:kern w:val="0"/>
              </w:rPr>
              <w:lastRenderedPageBreak/>
              <w:t>NTT DOCOMO</w:t>
            </w:r>
          </w:p>
        </w:tc>
        <w:tc>
          <w:tcPr>
            <w:tcW w:w="8095" w:type="dxa"/>
          </w:tcPr>
          <w:p w14:paraId="46C7B4C8"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766F47E0" w14:textId="77777777" w:rsidR="00B6163B" w:rsidRPr="007876D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4FC69665" w14:textId="77777777" w:rsidTr="006C4AFB">
        <w:tc>
          <w:tcPr>
            <w:tcW w:w="1555" w:type="dxa"/>
          </w:tcPr>
          <w:p w14:paraId="63F562A5" w14:textId="427DB232"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8095" w:type="dxa"/>
          </w:tcPr>
          <w:p w14:paraId="6B29FBEE"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44B2DC83"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1CC25B98"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7D63546" w14:textId="0705F24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4D737C30" w14:textId="77777777" w:rsidTr="006C4AFB">
        <w:tc>
          <w:tcPr>
            <w:tcW w:w="1555" w:type="dxa"/>
          </w:tcPr>
          <w:p w14:paraId="6BB22C44" w14:textId="50F1671A"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8095" w:type="dxa"/>
          </w:tcPr>
          <w:p w14:paraId="580D27E3" w14:textId="77777777" w:rsidR="008F65B4" w:rsidRPr="001B24F4" w:rsidRDefault="008F65B4" w:rsidP="008F65B4">
            <w:pPr>
              <w:spacing w:before="120" w:after="120"/>
              <w:rPr>
                <w:kern w:val="0"/>
              </w:rPr>
            </w:pPr>
            <w:r w:rsidRPr="001B24F4">
              <w:rPr>
                <w:kern w:val="0"/>
              </w:rPr>
              <w:t>Support Alt 1:</w:t>
            </w:r>
          </w:p>
          <w:p w14:paraId="2D59147B" w14:textId="610C68B0"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bl>
    <w:p w14:paraId="3E59FB89" w14:textId="77777777" w:rsidR="00E97490" w:rsidRPr="006C4AFB" w:rsidRDefault="00E97490">
      <w:pPr>
        <w:spacing w:before="120" w:after="120"/>
        <w:rPr>
          <w:kern w:val="0"/>
          <w:lang w:val="en-SG"/>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555"/>
        <w:gridCol w:w="8095"/>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102341E5"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Malgun Gothic"/>
                <w:kern w:val="0"/>
                <w:lang w:eastAsia="ko-KR"/>
              </w:rPr>
            </w:pPr>
            <w:r>
              <w:rPr>
                <w:rFonts w:hint="eastAsia"/>
                <w:kern w:val="0"/>
              </w:rPr>
              <w:lastRenderedPageBreak/>
              <w:t>C</w:t>
            </w:r>
            <w:r>
              <w:rPr>
                <w:kern w:val="0"/>
              </w:rPr>
              <w:t>ATT, GOHIGH</w:t>
            </w:r>
          </w:p>
        </w:tc>
        <w:tc>
          <w:tcPr>
            <w:tcW w:w="8095" w:type="dxa"/>
          </w:tcPr>
          <w:p w14:paraId="07C850B7" w14:textId="77777777" w:rsidR="003B31EC" w:rsidRDefault="003B31EC" w:rsidP="003B31EC">
            <w:pPr>
              <w:spacing w:before="120" w:after="120"/>
              <w:rPr>
                <w:sz w:val="20"/>
              </w:rPr>
            </w:pPr>
            <w:bookmarkStart w:id="8"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5037C7D1" w14:textId="77777777" w:rsidTr="00192B3A">
        <w:tc>
          <w:tcPr>
            <w:tcW w:w="1555" w:type="dxa"/>
          </w:tcPr>
          <w:p w14:paraId="4CE119BE" w14:textId="760EEDD1" w:rsidR="00FD0405" w:rsidRDefault="00FD0405" w:rsidP="00FD0405">
            <w:pPr>
              <w:spacing w:before="120" w:after="120"/>
              <w:rPr>
                <w:kern w:val="0"/>
              </w:rPr>
            </w:pPr>
            <w:r>
              <w:rPr>
                <w:rFonts w:hint="eastAsia"/>
                <w:kern w:val="0"/>
              </w:rPr>
              <w:t>Xiaomi</w:t>
            </w:r>
          </w:p>
        </w:tc>
        <w:tc>
          <w:tcPr>
            <w:tcW w:w="8095" w:type="dxa"/>
          </w:tcPr>
          <w:p w14:paraId="72A572F3" w14:textId="35C6685B"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5EE00390" w14:textId="77777777" w:rsidTr="00192B3A">
        <w:tc>
          <w:tcPr>
            <w:tcW w:w="1555" w:type="dxa"/>
          </w:tcPr>
          <w:p w14:paraId="79EE04E2" w14:textId="313D37EB" w:rsidR="00B21B99" w:rsidRDefault="00B21B99" w:rsidP="00B21B99">
            <w:pPr>
              <w:spacing w:before="120" w:after="120"/>
              <w:rPr>
                <w:kern w:val="0"/>
              </w:rPr>
            </w:pPr>
            <w:r>
              <w:rPr>
                <w:rFonts w:hint="eastAsia"/>
                <w:kern w:val="0"/>
              </w:rPr>
              <w:t>F</w:t>
            </w:r>
            <w:r>
              <w:rPr>
                <w:kern w:val="0"/>
              </w:rPr>
              <w:t>ujitsu</w:t>
            </w:r>
          </w:p>
        </w:tc>
        <w:tc>
          <w:tcPr>
            <w:tcW w:w="8095" w:type="dxa"/>
          </w:tcPr>
          <w:p w14:paraId="6F54CDA2" w14:textId="72397B88" w:rsidR="00B21B99" w:rsidRDefault="00B21B99" w:rsidP="00B21B99">
            <w:pPr>
              <w:spacing w:before="120" w:after="120"/>
              <w:rPr>
                <w:kern w:val="0"/>
              </w:rPr>
            </w:pPr>
            <w:r>
              <w:rPr>
                <w:kern w:val="0"/>
              </w:rPr>
              <w:t>We support option 2.</w:t>
            </w:r>
          </w:p>
          <w:p w14:paraId="2361A8F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749C52AA"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4A457457"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3B3E44BE" w14:textId="6228DCE8"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37B5FE5B" w14:textId="77777777" w:rsidTr="006C4AFB">
        <w:tc>
          <w:tcPr>
            <w:tcW w:w="1555" w:type="dxa"/>
          </w:tcPr>
          <w:p w14:paraId="5AF0D6C8" w14:textId="77777777" w:rsidR="006C4AFB" w:rsidRDefault="006C4AFB" w:rsidP="0083110D">
            <w:pPr>
              <w:spacing w:before="120" w:after="120"/>
              <w:rPr>
                <w:kern w:val="0"/>
              </w:rPr>
            </w:pPr>
            <w:r>
              <w:rPr>
                <w:kern w:val="0"/>
              </w:rPr>
              <w:t>vivo</w:t>
            </w:r>
          </w:p>
        </w:tc>
        <w:tc>
          <w:tcPr>
            <w:tcW w:w="8095" w:type="dxa"/>
          </w:tcPr>
          <w:p w14:paraId="646CA9AB" w14:textId="77777777" w:rsidR="006C4AFB" w:rsidRDefault="006C4AFB" w:rsidP="0083110D">
            <w:pPr>
              <w:spacing w:before="120" w:after="120"/>
              <w:rPr>
                <w:kern w:val="0"/>
              </w:rPr>
            </w:pPr>
            <w:r>
              <w:rPr>
                <w:kern w:val="0"/>
              </w:rPr>
              <w:t>As stated before, we support option 4.</w:t>
            </w:r>
          </w:p>
        </w:tc>
      </w:tr>
      <w:tr w:rsidR="00B6163B" w14:paraId="244DDCAD" w14:textId="77777777" w:rsidTr="000E53A1">
        <w:tc>
          <w:tcPr>
            <w:tcW w:w="1555" w:type="dxa"/>
          </w:tcPr>
          <w:p w14:paraId="67D4D65B"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95" w:type="dxa"/>
          </w:tcPr>
          <w:p w14:paraId="6B304AA1"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36AC0012" w14:textId="77777777" w:rsidR="00B6163B" w:rsidRDefault="00B6163B" w:rsidP="000E53A1">
            <w:pPr>
              <w:spacing w:before="120" w:after="120"/>
              <w:rPr>
                <w:rFonts w:eastAsia="MS Mincho"/>
                <w:kern w:val="0"/>
                <w:lang w:eastAsia="ja-JP"/>
              </w:rPr>
            </w:pPr>
            <w:r>
              <w:rPr>
                <w:rFonts w:eastAsia="MS Mincho" w:hint="eastAsia"/>
                <w:kern w:val="0"/>
                <w:lang w:eastAsia="ja-JP"/>
              </w:rPr>
              <w:lastRenderedPageBreak/>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7F8B767F"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11FC21F4" w14:textId="77777777" w:rsidTr="006C4AFB">
        <w:tc>
          <w:tcPr>
            <w:tcW w:w="1555" w:type="dxa"/>
          </w:tcPr>
          <w:p w14:paraId="3873D585" w14:textId="10D68A70"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8095" w:type="dxa"/>
          </w:tcPr>
          <w:p w14:paraId="4ED30F3B" w14:textId="1189AAFB"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30C4EAE4" w14:textId="77777777" w:rsidTr="006C4AFB">
        <w:tc>
          <w:tcPr>
            <w:tcW w:w="1555" w:type="dxa"/>
          </w:tcPr>
          <w:p w14:paraId="3A05B518" w14:textId="4753B480"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8095" w:type="dxa"/>
          </w:tcPr>
          <w:p w14:paraId="08013117" w14:textId="372BA269"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w:t>
            </w:r>
            <w:r>
              <w:rPr>
                <w:kern w:val="0"/>
              </w:rPr>
              <w:t xml:space="preserve"> </w:t>
            </w:r>
            <w:r>
              <w:rPr>
                <w:kern w:val="0"/>
              </w:rPr>
              <w:t>to specify only partial sensing. Partial sensing requirement could than mandate sensing inside the inactive time.</w:t>
            </w:r>
          </w:p>
        </w:tc>
      </w:tr>
    </w:tbl>
    <w:p w14:paraId="27BDC0BB" w14:textId="77777777" w:rsidR="00E97490" w:rsidRPr="00E97490" w:rsidRDefault="00E97490">
      <w:pPr>
        <w:spacing w:before="120" w:after="120"/>
        <w:rPr>
          <w:kern w:val="0"/>
        </w:rPr>
      </w:pPr>
    </w:p>
    <w:p w14:paraId="359794E9" w14:textId="77777777" w:rsidR="00BB0638" w:rsidRDefault="000B2BA1">
      <w:pPr>
        <w:pStyle w:val="Heading1"/>
        <w:spacing w:before="120" w:after="120"/>
        <w:ind w:left="0"/>
        <w:rPr>
          <w:rFonts w:eastAsia="SimSun"/>
        </w:rPr>
      </w:pPr>
      <w:r>
        <w:rPr>
          <w:rFonts w:eastAsia="SimSun" w:hint="eastAsia"/>
        </w:rPr>
        <w:t>Conclusion</w:t>
      </w:r>
    </w:p>
    <w:p w14:paraId="1338735B"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744D8" w14:textId="77777777" w:rsidR="00851BAD" w:rsidRDefault="00851BAD" w:rsidP="009D4D1F">
      <w:pPr>
        <w:spacing w:before="120" w:after="120" w:line="240" w:lineRule="auto"/>
      </w:pPr>
      <w:r>
        <w:separator/>
      </w:r>
    </w:p>
  </w:endnote>
  <w:endnote w:type="continuationSeparator" w:id="0">
    <w:p w14:paraId="5D68FBA6" w14:textId="77777777" w:rsidR="00851BAD" w:rsidRDefault="00851BAD"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7DA5"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7511B59F" w14:textId="11D76922" w:rsidR="00731917" w:rsidRDefault="00731917">
        <w:pPr>
          <w:pStyle w:val="Footer"/>
          <w:spacing w:before="120" w:after="120"/>
          <w:jc w:val="center"/>
        </w:pPr>
        <w:r>
          <w:fldChar w:fldCharType="begin"/>
        </w:r>
        <w:r>
          <w:instrText xml:space="preserve"> PAGE   \* MERGEFORMAT </w:instrText>
        </w:r>
        <w:r>
          <w:fldChar w:fldCharType="separate"/>
        </w:r>
        <w:r w:rsidR="00936171">
          <w:rPr>
            <w:noProof/>
          </w:rPr>
          <w:t>8</w:t>
        </w:r>
        <w:r>
          <w:rPr>
            <w:noProof/>
          </w:rPr>
          <w:fldChar w:fldCharType="end"/>
        </w:r>
      </w:p>
    </w:sdtContent>
  </w:sdt>
  <w:p w14:paraId="4371945D"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A257"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FC998" w14:textId="77777777" w:rsidR="00851BAD" w:rsidRDefault="00851BAD" w:rsidP="009D4D1F">
      <w:pPr>
        <w:spacing w:before="120" w:after="120" w:line="240" w:lineRule="auto"/>
      </w:pPr>
      <w:r>
        <w:separator/>
      </w:r>
    </w:p>
  </w:footnote>
  <w:footnote w:type="continuationSeparator" w:id="0">
    <w:p w14:paraId="48F1A8BF" w14:textId="77777777" w:rsidR="00851BAD" w:rsidRDefault="00851BAD"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AFC8"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55EE"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6E8E"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7"/>
  </w:num>
  <w:num w:numId="3">
    <w:abstractNumId w:val="12"/>
  </w:num>
  <w:num w:numId="4">
    <w:abstractNumId w:val="15"/>
  </w:num>
  <w:num w:numId="5">
    <w:abstractNumId w:val="2"/>
  </w:num>
  <w:num w:numId="6">
    <w:abstractNumId w:val="1"/>
  </w:num>
  <w:num w:numId="7">
    <w:abstractNumId w:val="18"/>
  </w:num>
  <w:num w:numId="8">
    <w:abstractNumId w:val="9"/>
  </w:num>
  <w:num w:numId="9">
    <w:abstractNumId w:val="8"/>
  </w:num>
  <w:num w:numId="10">
    <w:abstractNumId w:val="0"/>
  </w:num>
  <w:num w:numId="11">
    <w:abstractNumId w:val="13"/>
  </w:num>
  <w:num w:numId="12">
    <w:abstractNumId w:val="7"/>
  </w:num>
  <w:num w:numId="13">
    <w:abstractNumId w:val="6"/>
  </w:num>
  <w:num w:numId="14">
    <w:abstractNumId w:val="10"/>
  </w:num>
  <w:num w:numId="15">
    <w:abstractNumId w:val="16"/>
  </w:num>
  <w:num w:numId="16">
    <w:abstractNumId w:val="3"/>
  </w:num>
  <w:num w:numId="17">
    <w:abstractNumId w:val="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C69EF"/>
    <w:rsid w:val="002D17CE"/>
    <w:rsid w:val="002D2488"/>
    <w:rsid w:val="002D535F"/>
    <w:rsid w:val="002E5075"/>
    <w:rsid w:val="002F60C6"/>
    <w:rsid w:val="00307D72"/>
    <w:rsid w:val="0032166B"/>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51BAD"/>
    <w:rsid w:val="008616A3"/>
    <w:rsid w:val="00866C06"/>
    <w:rsid w:val="0088218F"/>
    <w:rsid w:val="00887B64"/>
    <w:rsid w:val="00887C4C"/>
    <w:rsid w:val="00892BB4"/>
    <w:rsid w:val="008C42E9"/>
    <w:rsid w:val="008C71FA"/>
    <w:rsid w:val="008D0FE9"/>
    <w:rsid w:val="008F65B4"/>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rFonts w:eastAsiaTheme="minorEastAsia"/>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100" w:beforeAutospacing="1" w:afterLines="0" w:after="10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E222E0-1EB5-4434-B9D9-7E4FCDB863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3000</Words>
  <Characters>15049</Characters>
  <Application>Microsoft Office Word</Application>
  <DocSecurity>0</DocSecurity>
  <Lines>125</Lines>
  <Paragraphs>36</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Author</cp:lastModifiedBy>
  <cp:revision>2</cp:revision>
  <dcterms:created xsi:type="dcterms:W3CDTF">2021-05-24T10:13:00Z</dcterms:created>
  <dcterms:modified xsi:type="dcterms:W3CDTF">2021-05-24T10:13:00Z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