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In this summary, the term “item 1” refers to the first item in the Rel.17 NR </w:t>
      </w:r>
      <w:proofErr w:type="spellStart"/>
      <w:r w:rsidRPr="000C5E05">
        <w:rPr>
          <w:rFonts w:ascii="Times New Roman" w:hAnsi="Times New Roman" w:cs="Times New Roman"/>
          <w:sz w:val="20"/>
          <w:szCs w:val="20"/>
        </w:rPr>
        <w:t>FeMIMO</w:t>
      </w:r>
      <w:proofErr w:type="spellEnd"/>
      <w:r w:rsidRPr="000C5E05">
        <w:rPr>
          <w:rFonts w:ascii="Times New Roman" w:hAnsi="Times New Roman" w:cs="Times New Roman"/>
          <w:sz w:val="20"/>
          <w:szCs w:val="20"/>
        </w:rPr>
        <w:t xml:space="preserve"> WID, </w:t>
      </w:r>
      <w:proofErr w:type="gramStart"/>
      <w:r w:rsidRPr="000C5E05">
        <w:rPr>
          <w:rFonts w:ascii="Times New Roman" w:hAnsi="Times New Roman" w:cs="Times New Roman"/>
          <w:sz w:val="20"/>
          <w:szCs w:val="20"/>
        </w:rPr>
        <w:t>i.e.</w:t>
      </w:r>
      <w:proofErr w:type="gramEnd"/>
      <w:r w:rsidRPr="000C5E05">
        <w:rPr>
          <w:rFonts w:ascii="Times New Roman" w:hAnsi="Times New Roman" w:cs="Times New Roman"/>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b"/>
        <w:snapToGrid w:val="0"/>
        <w:spacing w:before="0" w:after="0"/>
        <w:jc w:val="both"/>
        <w:rPr>
          <w:rFonts w:ascii="Times New Roman" w:hAnsi="Times New Roman" w:cs="Times New Roman"/>
          <w:sz w:val="20"/>
        </w:rPr>
      </w:pPr>
      <w:r>
        <w:rPr>
          <w:rStyle w:val="afd"/>
          <w:rFonts w:ascii="Times New Roman" w:hAnsi="Times New Roman" w:cs="Times New Roman"/>
          <w:sz w:val="20"/>
          <w:u w:val="single"/>
        </w:rPr>
        <w:t>Proposal 1.1A:</w:t>
      </w:r>
      <w:r w:rsidRPr="00361105">
        <w:rPr>
          <w:rStyle w:val="afd"/>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b"/>
        <w:snapToGrid w:val="0"/>
        <w:spacing w:before="0" w:after="0"/>
        <w:jc w:val="both"/>
        <w:rPr>
          <w:rStyle w:val="afd"/>
          <w:rFonts w:ascii="Times New Roman" w:hAnsi="Times New Roman" w:cs="Times New Roman"/>
          <w:sz w:val="20"/>
          <w:u w:val="single"/>
        </w:rPr>
      </w:pPr>
    </w:p>
    <w:p w14:paraId="11DA9282" w14:textId="445CDEE5" w:rsidR="0039115A" w:rsidRDefault="0039115A" w:rsidP="004B4153">
      <w:pPr>
        <w:pStyle w:val="ab"/>
        <w:snapToGrid w:val="0"/>
        <w:spacing w:before="0" w:after="0"/>
        <w:jc w:val="both"/>
        <w:rPr>
          <w:rStyle w:val="afd"/>
          <w:rFonts w:ascii="Times New Roman" w:hAnsi="Times New Roman" w:cs="Times New Roman"/>
          <w:sz w:val="20"/>
          <w:u w:val="single"/>
        </w:rPr>
      </w:pPr>
      <w:r>
        <w:rPr>
          <w:rStyle w:val="afd"/>
          <w:rFonts w:ascii="Times New Roman" w:hAnsi="Times New Roman" w:cs="Times New Roman"/>
          <w:sz w:val="20"/>
          <w:u w:val="single"/>
        </w:rPr>
        <w:t xml:space="preserve">OR </w:t>
      </w:r>
    </w:p>
    <w:p w14:paraId="39DFD647" w14:textId="77777777" w:rsidR="0039115A" w:rsidRDefault="0039115A" w:rsidP="004B4153">
      <w:pPr>
        <w:pStyle w:val="ab"/>
        <w:snapToGrid w:val="0"/>
        <w:spacing w:before="0" w:after="0"/>
        <w:jc w:val="both"/>
        <w:rPr>
          <w:rStyle w:val="afd"/>
          <w:rFonts w:ascii="Times New Roman" w:hAnsi="Times New Roman" w:cs="Times New Roman"/>
          <w:sz w:val="20"/>
          <w:u w:val="single"/>
        </w:rPr>
      </w:pPr>
    </w:p>
    <w:p w14:paraId="7B004AC9" w14:textId="2CD6B6B1" w:rsidR="004B4153" w:rsidRPr="00E77CD9" w:rsidRDefault="004B4153" w:rsidP="004B4153">
      <w:pPr>
        <w:pStyle w:val="ab"/>
        <w:snapToGrid w:val="0"/>
        <w:spacing w:before="0" w:after="0"/>
        <w:jc w:val="both"/>
        <w:rPr>
          <w:rFonts w:ascii="Times New Roman" w:hAnsi="Times New Roman" w:cs="Times New Roman"/>
          <w:sz w:val="20"/>
        </w:rPr>
      </w:pPr>
      <w:r w:rsidRPr="00E77CD9">
        <w:rPr>
          <w:rStyle w:val="afd"/>
          <w:rFonts w:ascii="Times New Roman" w:hAnsi="Times New Roman" w:cs="Times New Roman"/>
          <w:sz w:val="20"/>
          <w:u w:val="single"/>
        </w:rPr>
        <w:t>Proposal 1.1B</w:t>
      </w:r>
      <w:r w:rsidRPr="00E77CD9">
        <w:rPr>
          <w:rStyle w:val="afd"/>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Details of the association (including the manner it is performed and the signaling) is up to </w:t>
      </w:r>
      <w:proofErr w:type="gramStart"/>
      <w:r w:rsidRPr="00E77CD9">
        <w:rPr>
          <w:rFonts w:ascii="Times New Roman" w:eastAsia="Times New Roman" w:hAnsi="Times New Roman" w:cs="Times New Roman"/>
          <w:sz w:val="20"/>
        </w:rPr>
        <w:t>RAN2</w:t>
      </w:r>
      <w:proofErr w:type="gramEnd"/>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the UL or (if applicable) joint TCI </w:t>
      </w:r>
      <w:proofErr w:type="gramStart"/>
      <w:r w:rsidRPr="00E77CD9">
        <w:rPr>
          <w:rFonts w:ascii="Times New Roman" w:eastAsia="Times New Roman" w:hAnsi="Times New Roman" w:cs="Times New Roman"/>
          <w:sz w:val="20"/>
        </w:rPr>
        <w:t>states</w:t>
      </w:r>
      <w:proofErr w:type="gramEnd"/>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c"/>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5B7BC4F3"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4D704F">
              <w:rPr>
                <w:rFonts w:ascii="Times New Roman" w:eastAsia="等线" w:hAnsi="Times New Roman" w:cs="Times New Roman"/>
                <w:b/>
                <w:color w:val="3333FF"/>
                <w:szCs w:val="18"/>
                <w:lang w:eastAsia="zh-CN"/>
              </w:rPr>
              <w:t>, NTT Docomo, NEC, Xiaomi</w:t>
            </w:r>
            <w:r w:rsidR="002C23E6">
              <w:rPr>
                <w:rFonts w:ascii="Times New Roman" w:eastAsia="等线" w:hAnsi="Times New Roman" w:cs="Times New Roman"/>
                <w:b/>
                <w:color w:val="3333FF"/>
                <w:szCs w:val="18"/>
                <w:lang w:eastAsia="zh-CN"/>
              </w:rPr>
              <w:t>, CMCC</w:t>
            </w:r>
            <w:r w:rsidR="001F5A1D">
              <w:rPr>
                <w:rFonts w:ascii="Times New Roman" w:eastAsia="等线" w:hAnsi="Times New Roman" w:cs="Times New Roman"/>
                <w:b/>
                <w:color w:val="3333FF"/>
                <w:szCs w:val="18"/>
                <w:lang w:eastAsia="zh-CN"/>
              </w:rPr>
              <w:t xml:space="preserve">, </w:t>
            </w:r>
            <w:proofErr w:type="spellStart"/>
            <w:r w:rsidR="001F5A1D">
              <w:rPr>
                <w:rFonts w:ascii="Times New Roman" w:eastAsia="等线" w:hAnsi="Times New Roman" w:cs="Times New Roman"/>
                <w:b/>
                <w:color w:val="3333FF"/>
                <w:szCs w:val="18"/>
                <w:lang w:eastAsia="zh-CN"/>
              </w:rPr>
              <w:t>Spreadtrum</w:t>
            </w:r>
            <w:proofErr w:type="spellEnd"/>
            <w:r w:rsidR="001F5A1D">
              <w:rPr>
                <w:rFonts w:ascii="Times New Roman" w:eastAsia="等线" w:hAnsi="Times New Roman" w:cs="Times New Roman"/>
                <w:b/>
                <w:color w:val="3333FF"/>
                <w:szCs w:val="18"/>
                <w:lang w:eastAsia="zh-CN"/>
              </w:rPr>
              <w:t xml:space="preserve"> </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10B6E07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xml:space="preserve">, </w:t>
            </w:r>
            <w:del w:id="2" w:author="Eko Onggosanusi" w:date="2021-05-27T03:06:00Z">
              <w:r w:rsidR="00E53197" w:rsidDel="00346F5E">
                <w:rPr>
                  <w:rFonts w:ascii="Times New Roman" w:eastAsia="等线" w:hAnsi="Times New Roman" w:cs="Times New Roman"/>
                  <w:b/>
                  <w:color w:val="3333FF"/>
                  <w:szCs w:val="18"/>
                  <w:lang w:eastAsia="zh-CN"/>
                </w:rPr>
                <w:delText>Qualcomm (if SRS is included)</w:delText>
              </w:r>
              <w:r w:rsidR="003B3DFD" w:rsidDel="00346F5E">
                <w:rPr>
                  <w:rFonts w:ascii="Times New Roman" w:eastAsia="等线" w:hAnsi="Times New Roman" w:cs="Times New Roman"/>
                  <w:b/>
                  <w:color w:val="3333FF"/>
                  <w:szCs w:val="18"/>
                  <w:lang w:eastAsia="zh-CN"/>
                </w:rPr>
                <w:delText xml:space="preserve">, </w:delText>
              </w:r>
            </w:del>
            <w:r w:rsidR="003B3DFD">
              <w:rPr>
                <w:rFonts w:ascii="Times New Roman" w:eastAsia="等线" w:hAnsi="Times New Roman" w:cs="Times New Roman"/>
                <w:b/>
                <w:color w:val="3333FF"/>
                <w:szCs w:val="18"/>
                <w:lang w:eastAsia="zh-CN"/>
              </w:rPr>
              <w:t>MTK</w:t>
            </w:r>
            <w:r w:rsidR="004D704F">
              <w:rPr>
                <w:rFonts w:ascii="Times New Roman" w:eastAsia="等线" w:hAnsi="Times New Roman" w:cs="Times New Roman"/>
                <w:b/>
                <w:color w:val="3333FF"/>
                <w:szCs w:val="18"/>
                <w:lang w:eastAsia="zh-CN"/>
              </w:rPr>
              <w:t>, NTT Docomo, NEC, Xiaomi, CATT</w:t>
            </w:r>
            <w:r w:rsidR="002C23E6">
              <w:rPr>
                <w:rFonts w:ascii="Times New Roman" w:eastAsia="等线" w:hAnsi="Times New Roman" w:cs="Times New Roman"/>
                <w:b/>
                <w:color w:val="3333FF"/>
                <w:szCs w:val="18"/>
                <w:lang w:eastAsia="zh-CN"/>
              </w:rPr>
              <w:t>, CMCC</w:t>
            </w:r>
            <w:r w:rsidR="00FC19EC">
              <w:rPr>
                <w:rFonts w:ascii="Times New Roman" w:eastAsia="等线" w:hAnsi="Times New Roman" w:cs="Times New Roman"/>
                <w:b/>
                <w:color w:val="3333FF"/>
                <w:szCs w:val="18"/>
                <w:lang w:eastAsia="zh-CN"/>
              </w:rPr>
              <w:t xml:space="preserve">, </w:t>
            </w:r>
            <w:proofErr w:type="spellStart"/>
            <w:r w:rsidR="00FC19EC">
              <w:rPr>
                <w:rFonts w:ascii="Times New Roman" w:eastAsia="等线" w:hAnsi="Times New Roman" w:cs="Times New Roman"/>
                <w:b/>
                <w:color w:val="3333FF"/>
                <w:szCs w:val="18"/>
                <w:lang w:eastAsia="zh-CN"/>
              </w:rPr>
              <w:t>Spreadtrum</w:t>
            </w:r>
            <w:proofErr w:type="spellEnd"/>
            <w:r w:rsidR="003009B0">
              <w:rPr>
                <w:rFonts w:ascii="Times New Roman" w:eastAsia="等线" w:hAnsi="Times New Roman" w:cs="Times New Roman"/>
                <w:b/>
                <w:color w:val="3333FF"/>
                <w:szCs w:val="18"/>
                <w:lang w:eastAsia="zh-CN"/>
              </w:rPr>
              <w:t xml:space="preserve">, </w:t>
            </w:r>
            <w:proofErr w:type="spellStart"/>
            <w:r w:rsidR="003009B0">
              <w:rPr>
                <w:rFonts w:ascii="Times New Roman" w:eastAsia="等线" w:hAnsi="Times New Roman" w:cs="Times New Roman"/>
                <w:b/>
                <w:color w:val="3333FF"/>
                <w:szCs w:val="18"/>
                <w:lang w:eastAsia="zh-CN"/>
              </w:rPr>
              <w:t>Futurewei</w:t>
            </w:r>
            <w:proofErr w:type="spellEnd"/>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 xml:space="preserve">In that case </w:t>
              </w:r>
              <w:proofErr w:type="gramStart"/>
              <w:r>
                <w:rPr>
                  <w:rFonts w:ascii="Times New Roman" w:eastAsia="PMingLiU" w:hAnsi="Times New Roman" w:cs="Times New Roman"/>
                  <w:sz w:val="18"/>
                  <w:szCs w:val="18"/>
                  <w:lang w:eastAsia="zh-TW"/>
                </w:rPr>
                <w:t>I’ll</w:t>
              </w:r>
              <w:proofErr w:type="gramEnd"/>
              <w:r>
                <w:rPr>
                  <w:rFonts w:ascii="Times New Roman" w:eastAsia="PMingLiU" w:hAnsi="Times New Roman" w:cs="Times New Roman"/>
                  <w:sz w:val="18"/>
                  <w:szCs w:val="18"/>
                  <w:lang w:eastAsia="zh-TW"/>
                </w:rPr>
                <w:t xml:space="preserve">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w:t>
            </w:r>
            <w:r w:rsidR="00070E49">
              <w:rPr>
                <w:rFonts w:ascii="Times New Roman" w:eastAsia="等线"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C6222A" w14:paraId="7BF61879"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416A" w14:textId="778259E9" w:rsidR="00C6222A" w:rsidRDefault="00C6222A" w:rsidP="003009B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5BF9" w14:textId="4E2EFB8D" w:rsidR="00C6222A" w:rsidRPr="00C6222A" w:rsidRDefault="00C6222A" w:rsidP="003009B0">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lastRenderedPageBreak/>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w:t>
      </w:r>
      <w:proofErr w:type="gramStart"/>
      <w:r>
        <w:rPr>
          <w:rFonts w:ascii="Times New Roman" w:hAnsi="Times New Roman" w:cs="Times New Roman"/>
          <w:sz w:val="20"/>
          <w:szCs w:val="20"/>
        </w:rPr>
        <w:t>cases</w:t>
      </w:r>
      <w:proofErr w:type="gramEnd"/>
      <w:r>
        <w:rPr>
          <w:rFonts w:ascii="Times New Roman" w:hAnsi="Times New Roman" w:cs="Times New Roman"/>
          <w:sz w:val="20"/>
          <w:szCs w:val="20"/>
        </w:rPr>
        <w:t xml:space="preserve">  </w:t>
      </w:r>
    </w:p>
    <w:p w14:paraId="697E8804" w14:textId="77777777" w:rsidR="00B46C2E" w:rsidRPr="003B1821" w:rsidRDefault="00B46C2E" w:rsidP="00B46C2E">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Decide whether to support M&gt;1 and/or N&gt;1, and if so, the maximum value of M and/or </w:t>
      </w:r>
      <w:proofErr w:type="gramStart"/>
      <w:r>
        <w:rPr>
          <w:rFonts w:ascii="Times New Roman" w:hAnsi="Times New Roman" w:cs="Times New Roman"/>
          <w:sz w:val="20"/>
          <w:szCs w:val="20"/>
        </w:rPr>
        <w:t>N</w:t>
      </w:r>
      <w:proofErr w:type="gramEnd"/>
    </w:p>
    <w:p w14:paraId="17F1F82E" w14:textId="75706C1D" w:rsidR="003B1821" w:rsidRDefault="00B46C2E" w:rsidP="00087D71">
      <w:pPr>
        <w:pStyle w:val="a3"/>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 xml:space="preserve">Use cases: </w:t>
            </w:r>
            <w:proofErr w:type="spellStart"/>
            <w:r>
              <w:rPr>
                <w:rFonts w:ascii="Times New Roman" w:hAnsi="Times New Roman" w:cs="Times New Roman"/>
                <w:sz w:val="16"/>
              </w:rPr>
              <w:t>mTRP</w:t>
            </w:r>
            <w:proofErr w:type="spellEnd"/>
            <w:r>
              <w:rPr>
                <w:rFonts w:ascii="Times New Roman" w:hAnsi="Times New Roman" w:cs="Times New Roman"/>
                <w:sz w:val="16"/>
              </w:rPr>
              <w:t xml:space="preserve"> only and we have strong concern to use it for </w:t>
            </w:r>
            <w:proofErr w:type="spellStart"/>
            <w:proofErr w:type="gramStart"/>
            <w:r>
              <w:rPr>
                <w:rFonts w:ascii="Times New Roman" w:hAnsi="Times New Roman" w:cs="Times New Roman"/>
                <w:sz w:val="16"/>
              </w:rPr>
              <w:t>sTRP</w:t>
            </w:r>
            <w:proofErr w:type="spellEnd"/>
            <w:proofErr w:type="gramEnd"/>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 xml:space="preserve">Beam indication signaling mechanism: TCI codepoint mapped to 2 DL/UL TCI or 2 joint </w:t>
            </w:r>
            <w:proofErr w:type="gramStart"/>
            <w:r>
              <w:rPr>
                <w:rFonts w:ascii="Times New Roman" w:hAnsi="Times New Roman" w:cs="Times New Roman"/>
                <w:sz w:val="16"/>
              </w:rPr>
              <w:t>TCI</w:t>
            </w:r>
            <w:proofErr w:type="gramEnd"/>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 xml:space="preserve">In general, fine with proposal, but we would like to reorder bullet 2 and </w:t>
            </w:r>
            <w:proofErr w:type="gramStart"/>
            <w:r>
              <w:rPr>
                <w:rFonts w:ascii="Times New Roman" w:hAnsi="Times New Roman" w:cs="Times New Roman"/>
                <w:sz w:val="16"/>
              </w:rPr>
              <w:t>3</w:t>
            </w:r>
            <w:proofErr w:type="gramEnd"/>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w:t>
            </w:r>
            <w:proofErr w:type="gramStart"/>
            <w:r>
              <w:rPr>
                <w:rFonts w:ascii="Times New Roman" w:hAnsi="Times New Roman" w:cs="Times New Roman"/>
                <w:sz w:val="20"/>
                <w:szCs w:val="20"/>
              </w:rPr>
              <w:t>cases</w:t>
            </w:r>
            <w:proofErr w:type="gramEnd"/>
            <w:r>
              <w:rPr>
                <w:rFonts w:ascii="Times New Roman" w:hAnsi="Times New Roman" w:cs="Times New Roman"/>
                <w:sz w:val="20"/>
                <w:szCs w:val="20"/>
              </w:rPr>
              <w:t xml:space="preserve">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Decide whether to support M&gt;1 and/or N&gt;1, and if so, the maximum value of M and/or </w:t>
            </w:r>
            <w:proofErr w:type="gramStart"/>
            <w:r>
              <w:rPr>
                <w:rFonts w:ascii="Times New Roman" w:hAnsi="Times New Roman" w:cs="Times New Roman"/>
                <w:sz w:val="20"/>
                <w:szCs w:val="20"/>
              </w:rPr>
              <w:t>N</w:t>
            </w:r>
            <w:proofErr w:type="gramEnd"/>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Then, regarding use case, we do think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w:t>
            </w:r>
            <w:proofErr w:type="gramStart"/>
            <w:r>
              <w:rPr>
                <w:rFonts w:ascii="Times New Roman" w:eastAsia="PMingLiU" w:hAnsi="Times New Roman" w:cs="Times New Roman"/>
                <w:sz w:val="18"/>
                <w:szCs w:val="18"/>
                <w:lang w:eastAsia="zh-TW"/>
              </w:rPr>
              <w:t>very important</w:t>
            </w:r>
            <w:proofErr w:type="gramEnd"/>
            <w:r>
              <w:rPr>
                <w:rFonts w:ascii="Times New Roman" w:eastAsia="PMingLiU" w:hAnsi="Times New Roman" w:cs="Times New Roman"/>
                <w:sz w:val="18"/>
                <w:szCs w:val="18"/>
                <w:lang w:eastAsia="zh-TW"/>
              </w:rPr>
              <w:t xml:space="preserve"> case, and the top issue (maybe tough) should be how to split DL/UL channel/RS resources per TRP, like what we did for CORESET(s) in </w:t>
            </w:r>
            <w:proofErr w:type="spellStart"/>
            <w:r>
              <w:rPr>
                <w:rFonts w:ascii="Times New Roman" w:eastAsia="PMingLiU" w:hAnsi="Times New Roman" w:cs="Times New Roman"/>
                <w:sz w:val="18"/>
                <w:szCs w:val="18"/>
                <w:lang w:eastAsia="zh-TW"/>
              </w:rPr>
              <w:t>mDCI-mTRP</w:t>
            </w:r>
            <w:proofErr w:type="spellEnd"/>
            <w:r>
              <w:rPr>
                <w:rFonts w:ascii="Times New Roman" w:eastAsia="PMingLiU" w:hAnsi="Times New Roman" w:cs="Times New Roman"/>
                <w:sz w:val="18"/>
                <w:szCs w:val="18"/>
                <w:lang w:eastAsia="zh-TW"/>
              </w:rPr>
              <w:t>.</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we share similar view as Apple. The only feasible use case is multi-DCI based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 Both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and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Do not see why </w:t>
            </w:r>
            <w:proofErr w:type="spellStart"/>
            <w:r>
              <w:rPr>
                <w:rFonts w:ascii="Times New Roman" w:eastAsia="PMingLiU" w:hAnsi="Times New Roman" w:cs="Times New Roman"/>
                <w:sz w:val="18"/>
                <w:szCs w:val="18"/>
                <w:lang w:eastAsia="zh-TW"/>
              </w:rPr>
              <w:t>sTRP</w:t>
            </w:r>
            <w:proofErr w:type="spellEnd"/>
            <w:r>
              <w:rPr>
                <w:rFonts w:ascii="Times New Roman" w:eastAsia="PMingLiU" w:hAnsi="Times New Roman" w:cs="Times New Roman"/>
                <w:sz w:val="18"/>
                <w:szCs w:val="18"/>
                <w:lang w:eastAsia="zh-TW"/>
              </w:rPr>
              <w:t xml:space="preserve"> is not important</w:t>
            </w:r>
            <w:r w:rsidR="003C6BC0">
              <w:rPr>
                <w:rFonts w:ascii="Times New Roman" w:eastAsia="PMingLiU" w:hAnsi="Times New Roman" w:cs="Times New Roman"/>
                <w:sz w:val="18"/>
                <w:szCs w:val="18"/>
                <w:lang w:eastAsia="zh-TW"/>
              </w:rPr>
              <w:t xml:space="preserve"> for reliability </w:t>
            </w:r>
            <w:proofErr w:type="gramStart"/>
            <w:r w:rsidR="003C6BC0">
              <w:rPr>
                <w:rFonts w:ascii="Times New Roman" w:eastAsia="PMingLiU" w:hAnsi="Times New Roman" w:cs="Times New Roman"/>
                <w:sz w:val="18"/>
                <w:szCs w:val="18"/>
                <w:lang w:eastAsia="zh-TW"/>
              </w:rPr>
              <w:t>enhancement</w:t>
            </w:r>
            <w:proofErr w:type="gramEnd"/>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w:t>
            </w:r>
            <w:proofErr w:type="gramStart"/>
            <w:r w:rsidRPr="00986A54">
              <w:rPr>
                <w:rFonts w:ascii="Times New Roman" w:eastAsia="Yu Mincho" w:hAnsi="Times New Roman" w:cs="Times New Roman"/>
                <w:sz w:val="18"/>
                <w:szCs w:val="18"/>
                <w:lang w:eastAsia="ja-JP"/>
              </w:rPr>
              <w:t>e.g.</w:t>
            </w:r>
            <w:proofErr w:type="gramEnd"/>
            <w:r w:rsidRPr="00986A54">
              <w:rPr>
                <w:rFonts w:ascii="Times New Roman" w:eastAsia="Yu Mincho" w:hAnsi="Times New Roman" w:cs="Times New Roman"/>
                <w:sz w:val="18"/>
                <w:szCs w:val="18"/>
                <w:lang w:eastAsia="ja-JP"/>
              </w:rPr>
              <w:t xml:space="preserve">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proofErr w:type="spellStart"/>
            <w:r>
              <w:rPr>
                <w:rFonts w:ascii="Times New Roman" w:eastAsia="Yu Mincho" w:hAnsi="Times New Roman" w:cs="Times New Roman"/>
                <w:sz w:val="18"/>
                <w:szCs w:val="18"/>
                <w:lang w:eastAsia="zh-CN"/>
              </w:rPr>
              <w:t>Convida</w:t>
            </w:r>
            <w:proofErr w:type="spellEnd"/>
            <w:r>
              <w:rPr>
                <w:rFonts w:ascii="Times New Roman" w:eastAsia="Yu Mincho" w:hAnsi="Times New Roman" w:cs="Times New Roman"/>
                <w:sz w:val="18"/>
                <w:szCs w:val="18"/>
                <w:lang w:eastAsia="zh-CN"/>
              </w:rPr>
              <w:t xml:space="preserve">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from the FL. In our view, the relevant use case is </w:t>
            </w:r>
            <w:proofErr w:type="spellStart"/>
            <w:r>
              <w:rPr>
                <w:rFonts w:ascii="Times New Roman" w:eastAsia="PMingLiU" w:hAnsi="Times New Roman" w:cs="Times New Roman"/>
                <w:sz w:val="18"/>
                <w:szCs w:val="18"/>
                <w:lang w:eastAsia="zh-CN"/>
              </w:rPr>
              <w:t>mTRP</w:t>
            </w:r>
            <w:proofErr w:type="spellEnd"/>
            <w:r>
              <w:rPr>
                <w:rFonts w:ascii="Times New Roman" w:eastAsia="PMingLiU" w:hAnsi="Times New Roman" w:cs="Times New Roman"/>
                <w:sz w:val="18"/>
                <w:szCs w:val="18"/>
                <w:lang w:eastAsia="zh-CN"/>
              </w:rPr>
              <w:t xml:space="preserve">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Futurewei</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Use cases include support of </w:t>
            </w:r>
            <w:proofErr w:type="spellStart"/>
            <w:r>
              <w:rPr>
                <w:rFonts w:ascii="Times New Roman" w:eastAsia="PMingLiU" w:hAnsi="Times New Roman" w:cs="Times New Roman"/>
                <w:sz w:val="18"/>
                <w:szCs w:val="18"/>
                <w:lang w:eastAsia="zh-TW"/>
              </w:rPr>
              <w:t>mTRP</w:t>
            </w:r>
            <w:proofErr w:type="spellEnd"/>
            <w:r>
              <w:rPr>
                <w:rFonts w:ascii="Times New Roman" w:eastAsia="PMingLiU" w:hAnsi="Times New Roman" w:cs="Times New Roman"/>
                <w:sz w:val="18"/>
                <w:szCs w:val="18"/>
                <w:lang w:eastAsia="zh-TW"/>
              </w:rPr>
              <w:t xml:space="preserve">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C6222A" w14:paraId="6660ED8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09E4" w14:textId="2B261B78" w:rsidR="00C6222A" w:rsidRDefault="00C6222A" w:rsidP="0011558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6191" w14:textId="12C79CF5" w:rsidR="00C6222A" w:rsidRPr="00C6222A" w:rsidRDefault="00C6222A" w:rsidP="00115584">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w:t>
      </w:r>
      <w:proofErr w:type="gramStart"/>
      <w:r w:rsidRPr="00325006">
        <w:rPr>
          <w:rFonts w:ascii="Times New Roman" w:eastAsia="Times New Roman" w:hAnsi="Times New Roman" w:cs="Times New Roman"/>
          <w:sz w:val="20"/>
          <w:szCs w:val="20"/>
        </w:rPr>
        <w:t>TCI</w:t>
      </w:r>
      <w:proofErr w:type="gramEnd"/>
      <w:r w:rsidRPr="00325006">
        <w:rPr>
          <w:rFonts w:ascii="Times New Roman" w:eastAsia="Times New Roman" w:hAnsi="Times New Roman" w:cs="Times New Roman"/>
          <w:sz w:val="20"/>
          <w:szCs w:val="20"/>
        </w:rPr>
        <w:t xml:space="preserve">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 xml:space="preserve">Detailed MAC-CE-based design is up to </w:t>
      </w:r>
      <w:proofErr w:type="gramStart"/>
      <w:r w:rsidRPr="00325006">
        <w:rPr>
          <w:rFonts w:ascii="Times New Roman" w:eastAsia="Times New Roman" w:hAnsi="Times New Roman" w:cs="Times New Roman"/>
          <w:sz w:val="20"/>
          <w:szCs w:val="20"/>
        </w:rPr>
        <w:t>RAN2</w:t>
      </w:r>
      <w:proofErr w:type="gramEnd"/>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 xml:space="preserve">Activation of TCI states where at least one activated TCI state is associated with joint TCI and at least another activated TCI state is associated with separate DL /UL TCI is an optional UE </w:t>
      </w:r>
      <w:proofErr w:type="gramStart"/>
      <w:r w:rsidRPr="007278B3">
        <w:rPr>
          <w:rFonts w:ascii="Times New Roman" w:eastAsia="Times New Roman" w:hAnsi="Times New Roman" w:cs="Times New Roman"/>
          <w:sz w:val="20"/>
          <w:szCs w:val="20"/>
        </w:rPr>
        <w:t>capability</w:t>
      </w:r>
      <w:proofErr w:type="gramEnd"/>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 xml:space="preserve">Detailed MAC-CE-based design for the above functionality is up to </w:t>
      </w:r>
      <w:proofErr w:type="gramStart"/>
      <w:r w:rsidRPr="008D346D">
        <w:rPr>
          <w:rFonts w:ascii="Times New Roman" w:hAnsi="Times New Roman" w:cs="Times New Roman"/>
          <w:sz w:val="20"/>
        </w:rPr>
        <w:t>RAN2</w:t>
      </w:r>
      <w:proofErr w:type="gramEnd"/>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c"/>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w:t>
      </w:r>
      <w:proofErr w:type="gramStart"/>
      <w:r w:rsidR="0064290F" w:rsidRPr="000C5E05">
        <w:rPr>
          <w:rFonts w:ascii="Times New Roman" w:hAnsi="Times New Roman" w:cs="Times New Roman"/>
        </w:rPr>
        <w:t>switching</w:t>
      </w:r>
      <w:proofErr w:type="gramEnd"/>
      <w:r w:rsidR="0064290F"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5C1BCF4A"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r w:rsidR="00463A71">
              <w:rPr>
                <w:rFonts w:ascii="Times New Roman" w:eastAsia="等线" w:hAnsi="Times New Roman" w:cs="Times New Roman"/>
                <w:b/>
                <w:color w:val="3333FF"/>
                <w:szCs w:val="18"/>
                <w:lang w:eastAsia="zh-CN"/>
              </w:rPr>
              <w:t>, NTT Docomo, NEC, Xiaomi, CATT (2</w:t>
            </w:r>
            <w:r w:rsidR="00463A71" w:rsidRPr="00463A71">
              <w:rPr>
                <w:rFonts w:ascii="Times New Roman" w:eastAsia="等线" w:hAnsi="Times New Roman" w:cs="Times New Roman"/>
                <w:b/>
                <w:color w:val="3333FF"/>
                <w:szCs w:val="18"/>
                <w:vertAlign w:val="superscript"/>
                <w:lang w:eastAsia="zh-CN"/>
              </w:rPr>
              <w:t>nd</w:t>
            </w:r>
            <w:r w:rsidR="00463A71">
              <w:rPr>
                <w:rFonts w:ascii="Times New Roman" w:eastAsia="等线" w:hAnsi="Times New Roman" w:cs="Times New Roman"/>
                <w:b/>
                <w:color w:val="3333FF"/>
                <w:szCs w:val="18"/>
                <w:lang w:eastAsia="zh-CN"/>
              </w:rPr>
              <w:t>)</w:t>
            </w:r>
            <w:r w:rsidR="002C23E6">
              <w:rPr>
                <w:rFonts w:ascii="Times New Roman" w:eastAsia="等线" w:hAnsi="Times New Roman" w:cs="Times New Roman"/>
                <w:b/>
                <w:color w:val="3333FF"/>
                <w:szCs w:val="18"/>
                <w:lang w:eastAsia="zh-CN"/>
              </w:rPr>
              <w:t>, CMCC</w:t>
            </w:r>
            <w:r w:rsidR="0078666B">
              <w:rPr>
                <w:rFonts w:ascii="Times New Roman" w:eastAsia="等线" w:hAnsi="Times New Roman" w:cs="Times New Roman"/>
                <w:b/>
                <w:color w:val="3333FF"/>
                <w:szCs w:val="18"/>
                <w:lang w:eastAsia="zh-CN"/>
              </w:rPr>
              <w:t xml:space="preserve">, </w:t>
            </w:r>
            <w:proofErr w:type="spellStart"/>
            <w:r w:rsidR="0078666B">
              <w:rPr>
                <w:rFonts w:ascii="Times New Roman" w:eastAsia="等线" w:hAnsi="Times New Roman" w:cs="Times New Roman"/>
                <w:b/>
                <w:color w:val="3333FF"/>
                <w:szCs w:val="18"/>
                <w:lang w:eastAsia="zh-CN"/>
              </w:rPr>
              <w:t>Spreadtrum</w:t>
            </w:r>
            <w:proofErr w:type="spellEnd"/>
            <w:r w:rsidR="0078666B">
              <w:rPr>
                <w:rFonts w:ascii="Times New Roman" w:eastAsia="等线" w:hAnsi="Times New Roman" w:cs="Times New Roman"/>
                <w:b/>
                <w:color w:val="3333FF"/>
                <w:szCs w:val="18"/>
                <w:lang w:eastAsia="zh-CN"/>
              </w:rPr>
              <w:t xml:space="preserve"> (1</w:t>
            </w:r>
            <w:r w:rsidR="0078666B" w:rsidRPr="0078666B">
              <w:rPr>
                <w:rFonts w:ascii="Times New Roman" w:eastAsia="等线" w:hAnsi="Times New Roman" w:cs="Times New Roman"/>
                <w:b/>
                <w:color w:val="3333FF"/>
                <w:szCs w:val="18"/>
                <w:vertAlign w:val="superscript"/>
                <w:lang w:eastAsia="zh-CN"/>
              </w:rPr>
              <w:t>st</w:t>
            </w:r>
            <w:r w:rsidR="0078666B">
              <w:rPr>
                <w:rFonts w:ascii="Times New Roman" w:eastAsia="等线" w:hAnsi="Times New Roman" w:cs="Times New Roman"/>
                <w:b/>
                <w:color w:val="3333FF"/>
                <w:szCs w:val="18"/>
                <w:lang w:eastAsia="zh-CN"/>
              </w:rPr>
              <w:t>)</w:t>
            </w:r>
            <w:r w:rsidR="00115584">
              <w:rPr>
                <w:rFonts w:ascii="Times New Roman" w:eastAsia="等线" w:hAnsi="Times New Roman" w:cs="Times New Roman"/>
                <w:b/>
                <w:color w:val="3333FF"/>
                <w:szCs w:val="18"/>
                <w:lang w:eastAsia="zh-CN"/>
              </w:rPr>
              <w:t xml:space="preserve">, </w:t>
            </w:r>
            <w:proofErr w:type="spellStart"/>
            <w:r w:rsidR="00115584">
              <w:rPr>
                <w:rFonts w:ascii="Times New Roman" w:eastAsia="等线" w:hAnsi="Times New Roman" w:cs="Times New Roman"/>
                <w:b/>
                <w:color w:val="3333FF"/>
                <w:szCs w:val="18"/>
                <w:lang w:eastAsia="zh-CN"/>
              </w:rPr>
              <w:t>Futurewei</w:t>
            </w:r>
            <w:proofErr w:type="spellEnd"/>
            <w:r w:rsidR="0078666B">
              <w:rPr>
                <w:rFonts w:ascii="Times New Roman" w:eastAsia="等线" w:hAnsi="Times New Roman" w:cs="Times New Roman"/>
                <w:b/>
                <w:color w:val="3333FF"/>
                <w:szCs w:val="18"/>
                <w:lang w:eastAsia="zh-CN"/>
              </w:rPr>
              <w:t xml:space="preserve"> </w:t>
            </w:r>
            <w:r w:rsidR="00463A71">
              <w:rPr>
                <w:rFonts w:ascii="Times New Roman" w:eastAsia="等线" w:hAnsi="Times New Roman" w:cs="Times New Roman"/>
                <w:b/>
                <w:color w:val="3333FF"/>
                <w:szCs w:val="18"/>
                <w:lang w:eastAsia="zh-CN"/>
              </w:rPr>
              <w:t xml:space="preserve"> </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56193B4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r w:rsidR="00463A71">
              <w:rPr>
                <w:rFonts w:ascii="Times New Roman" w:eastAsia="等线" w:hAnsi="Times New Roman" w:cs="Times New Roman"/>
                <w:b/>
                <w:color w:val="3333FF"/>
                <w:szCs w:val="18"/>
                <w:lang w:eastAsia="zh-CN"/>
              </w:rPr>
              <w:t>, NEC, Xiaomi, CATT *1</w:t>
            </w:r>
            <w:r w:rsidR="00463A71" w:rsidRPr="00463A71">
              <w:rPr>
                <w:rFonts w:ascii="Times New Roman" w:eastAsia="等线" w:hAnsi="Times New Roman" w:cs="Times New Roman"/>
                <w:b/>
                <w:color w:val="3333FF"/>
                <w:szCs w:val="18"/>
                <w:vertAlign w:val="superscript"/>
                <w:lang w:eastAsia="zh-CN"/>
              </w:rPr>
              <w:t>st</w:t>
            </w:r>
            <w:r w:rsidR="00463A71">
              <w:rPr>
                <w:rFonts w:ascii="Times New Roman" w:eastAsia="等线" w:hAnsi="Times New Roman" w:cs="Times New Roman"/>
                <w:b/>
                <w:color w:val="3333FF"/>
                <w:szCs w:val="18"/>
                <w:lang w:eastAsia="zh-CN"/>
              </w:rPr>
              <w:t>)</w:t>
            </w:r>
            <w:r w:rsidR="0078666B">
              <w:rPr>
                <w:rFonts w:ascii="Times New Roman" w:eastAsia="等线" w:hAnsi="Times New Roman" w:cs="Times New Roman"/>
                <w:b/>
                <w:color w:val="3333FF"/>
                <w:szCs w:val="18"/>
                <w:lang w:eastAsia="zh-CN"/>
              </w:rPr>
              <w:t xml:space="preserve">, </w:t>
            </w:r>
            <w:proofErr w:type="spellStart"/>
            <w:r w:rsidR="0078666B">
              <w:rPr>
                <w:rFonts w:ascii="Times New Roman" w:eastAsia="等线" w:hAnsi="Times New Roman" w:cs="Times New Roman"/>
                <w:b/>
                <w:color w:val="3333FF"/>
                <w:szCs w:val="18"/>
                <w:lang w:eastAsia="zh-CN"/>
              </w:rPr>
              <w:t>Convida</w:t>
            </w:r>
            <w:proofErr w:type="spellEnd"/>
            <w:r w:rsidR="0078666B">
              <w:rPr>
                <w:rFonts w:ascii="Times New Roman" w:eastAsia="等线" w:hAnsi="Times New Roman" w:cs="Times New Roman"/>
                <w:b/>
                <w:color w:val="3333FF"/>
                <w:szCs w:val="18"/>
                <w:lang w:eastAsia="zh-CN"/>
              </w:rPr>
              <w:t xml:space="preserve">, </w:t>
            </w:r>
            <w:proofErr w:type="spellStart"/>
            <w:r w:rsidR="0078666B">
              <w:rPr>
                <w:rFonts w:ascii="Times New Roman" w:eastAsia="等线" w:hAnsi="Times New Roman" w:cs="Times New Roman"/>
                <w:b/>
                <w:color w:val="3333FF"/>
                <w:szCs w:val="18"/>
                <w:lang w:eastAsia="zh-CN"/>
              </w:rPr>
              <w:t>Spreadtrum</w:t>
            </w:r>
            <w:proofErr w:type="spellEnd"/>
            <w:r w:rsidR="0078666B">
              <w:rPr>
                <w:rFonts w:ascii="Times New Roman" w:eastAsia="等线" w:hAnsi="Times New Roman" w:cs="Times New Roman"/>
                <w:b/>
                <w:color w:val="3333FF"/>
                <w:szCs w:val="18"/>
                <w:lang w:eastAsia="zh-CN"/>
              </w:rPr>
              <w:t xml:space="preserve"> (2</w:t>
            </w:r>
            <w:r w:rsidR="0078666B" w:rsidRPr="0078666B">
              <w:rPr>
                <w:rFonts w:ascii="Times New Roman" w:eastAsia="等线" w:hAnsi="Times New Roman" w:cs="Times New Roman"/>
                <w:b/>
                <w:color w:val="3333FF"/>
                <w:szCs w:val="18"/>
                <w:vertAlign w:val="superscript"/>
                <w:lang w:eastAsia="zh-CN"/>
              </w:rPr>
              <w:t>nd</w:t>
            </w:r>
            <w:r w:rsidR="0078666B">
              <w:rPr>
                <w:rFonts w:ascii="Times New Roman" w:eastAsia="等线" w:hAnsi="Times New Roman" w:cs="Times New Roman"/>
                <w:b/>
                <w:color w:val="3333FF"/>
                <w:szCs w:val="18"/>
                <w:lang w:eastAsia="zh-CN"/>
              </w:rPr>
              <w:t>)</w:t>
            </w:r>
            <w:r w:rsidR="00115584">
              <w:rPr>
                <w:rFonts w:ascii="Times New Roman" w:eastAsia="等线" w:hAnsi="Times New Roman" w:cs="Times New Roman"/>
                <w:b/>
                <w:color w:val="3333FF"/>
                <w:szCs w:val="18"/>
                <w:lang w:eastAsia="zh-CN"/>
              </w:rPr>
              <w:t xml:space="preserve">, </w:t>
            </w:r>
            <w:proofErr w:type="spellStart"/>
            <w:r w:rsidR="00115584">
              <w:rPr>
                <w:rFonts w:ascii="Times New Roman" w:eastAsia="等线" w:hAnsi="Times New Roman" w:cs="Times New Roman"/>
                <w:b/>
                <w:color w:val="3333FF"/>
                <w:szCs w:val="18"/>
                <w:lang w:eastAsia="zh-CN"/>
              </w:rPr>
              <w:t>Futurewei</w:t>
            </w:r>
            <w:proofErr w:type="spellEnd"/>
            <w:r w:rsidR="0078666B">
              <w:rPr>
                <w:rFonts w:ascii="Times New Roman" w:eastAsia="等线" w:hAnsi="Times New Roman" w:cs="Times New Roman"/>
                <w:b/>
                <w:color w:val="3333FF"/>
                <w:szCs w:val="18"/>
                <w:lang w:eastAsia="zh-CN"/>
              </w:rPr>
              <w:t xml:space="preserve"> </w:t>
            </w:r>
            <w:r w:rsidR="00463A71">
              <w:rPr>
                <w:rFonts w:ascii="Times New Roman" w:eastAsia="等线" w:hAnsi="Times New Roman" w:cs="Times New Roman"/>
                <w:b/>
                <w:color w:val="3333FF"/>
                <w:szCs w:val="18"/>
                <w:lang w:eastAsia="zh-CN"/>
              </w:rPr>
              <w:t xml:space="preserve"> </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lastRenderedPageBreak/>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Prefer 3.</w:t>
            </w:r>
            <w:proofErr w:type="gramStart"/>
            <w:r>
              <w:rPr>
                <w:rFonts w:ascii="Times New Roman" w:eastAsia="PMingLiU" w:hAnsi="Times New Roman" w:cs="Times New Roman"/>
                <w:sz w:val="18"/>
                <w:szCs w:val="18"/>
                <w:lang w:eastAsia="zh-TW"/>
              </w:rPr>
              <w:t>3A, but</w:t>
            </w:r>
            <w:proofErr w:type="gramEnd"/>
            <w:r>
              <w:rPr>
                <w:rFonts w:ascii="Times New Roman" w:eastAsia="PMingLiU" w:hAnsi="Times New Roman" w:cs="Times New Roman"/>
                <w:sz w:val="18"/>
                <w:szCs w:val="18"/>
                <w:lang w:eastAsia="zh-TW"/>
              </w:rPr>
              <w:t xml:space="preserve"> can live with 3.3B. For 3.3B, suggest </w:t>
            </w:r>
            <w:proofErr w:type="gramStart"/>
            <w:r>
              <w:rPr>
                <w:rFonts w:ascii="Times New Roman" w:eastAsia="PMingLiU" w:hAnsi="Times New Roman" w:cs="Times New Roman"/>
                <w:sz w:val="18"/>
                <w:szCs w:val="18"/>
                <w:lang w:eastAsia="zh-TW"/>
              </w:rPr>
              <w:t>to add</w:t>
            </w:r>
            <w:proofErr w:type="gramEnd"/>
            <w:r>
              <w:rPr>
                <w:rFonts w:ascii="Times New Roman" w:eastAsia="PMingLiU" w:hAnsi="Times New Roman" w:cs="Times New Roman"/>
                <w:sz w:val="18"/>
                <w:szCs w:val="18"/>
                <w:lang w:eastAsia="zh-TW"/>
              </w:rPr>
              <w:t xml:space="preserve">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 xml:space="preserve">We see an edge in 3.3B, </w:t>
            </w:r>
            <w:proofErr w:type="gramStart"/>
            <w:r>
              <w:rPr>
                <w:rFonts w:ascii="Times New Roman" w:eastAsia="PMingLiU" w:hAnsi="Times New Roman" w:cs="Times New Roman"/>
                <w:sz w:val="18"/>
                <w:szCs w:val="18"/>
                <w:lang w:eastAsia="zh-TW"/>
              </w:rPr>
              <w:t>despite the fact that</w:t>
            </w:r>
            <w:proofErr w:type="gramEnd"/>
            <w:r>
              <w:rPr>
                <w:rFonts w:ascii="Times New Roman" w:eastAsia="PMingLiU" w:hAnsi="Times New Roman" w:cs="Times New Roman"/>
                <w:sz w:val="18"/>
                <w:szCs w:val="18"/>
                <w:lang w:eastAsia="zh-TW"/>
              </w:rPr>
              <w:t xml:space="preserve">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 xml:space="preserve">ither 3.3A or 3.3B is fine, and it seems RRC configuration is not </w:t>
            </w:r>
            <w:proofErr w:type="spellStart"/>
            <w:r>
              <w:rPr>
                <w:rFonts w:ascii="Times New Roman" w:hAnsi="Times New Roman" w:cs="Times New Roman"/>
                <w:sz w:val="18"/>
                <w:szCs w:val="18"/>
                <w:lang w:eastAsia="zh-CN"/>
              </w:rPr>
              <w:t>prefered</w:t>
            </w:r>
            <w:proofErr w:type="spellEnd"/>
            <w:r>
              <w:rPr>
                <w:rFonts w:ascii="Times New Roman" w:hAnsi="Times New Roman" w:cs="Times New Roman"/>
                <w:sz w:val="18"/>
                <w:szCs w:val="18"/>
                <w:lang w:eastAsia="zh-CN"/>
              </w:rPr>
              <w:t xml:space="preserve">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Convida</w:t>
            </w:r>
            <w:proofErr w:type="spellEnd"/>
            <w:r>
              <w:rPr>
                <w:rFonts w:ascii="Times New Roman" w:eastAsia="等线"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w:t>
            </w:r>
            <w:proofErr w:type="spellStart"/>
            <w:r>
              <w:rPr>
                <w:rFonts w:ascii="Times New Roman" w:hAnsi="Times New Roman" w:cs="Times New Roman"/>
                <w:sz w:val="18"/>
                <w:szCs w:val="18"/>
                <w:lang w:eastAsia="zh-CN"/>
              </w:rPr>
              <w:t>gNB</w:t>
            </w:r>
            <w:proofErr w:type="spellEnd"/>
            <w:r>
              <w:rPr>
                <w:rFonts w:ascii="Times New Roman" w:hAnsi="Times New Roman" w:cs="Times New Roman"/>
                <w:sz w:val="18"/>
                <w:szCs w:val="18"/>
                <w:lang w:eastAsia="zh-CN"/>
              </w:rPr>
              <w:t xml:space="preserve">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 xml:space="preserve">event, </w:t>
            </w:r>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configured with a list of joint TCI states</w:t>
            </w:r>
            <w:r>
              <w:rPr>
                <w:rFonts w:ascii="Times New Roman" w:eastAsia="PMingLiU" w:hAnsi="Times New Roman" w:cs="Times New Roman"/>
                <w:sz w:val="18"/>
                <w:szCs w:val="18"/>
                <w:lang w:eastAsia="zh-TW"/>
              </w:rPr>
              <w:t xml:space="preserve">.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w:t>
            </w:r>
            <w:proofErr w:type="gramStart"/>
            <w:r>
              <w:rPr>
                <w:rFonts w:ascii="Times New Roman" w:eastAsia="PMingLiU" w:hAnsi="Times New Roman" w:cs="Times New Roman"/>
                <w:sz w:val="18"/>
                <w:szCs w:val="18"/>
                <w:lang w:eastAsia="zh-TW"/>
              </w:rPr>
              <w:t>has to</w:t>
            </w:r>
            <w:proofErr w:type="gramEnd"/>
            <w:r>
              <w:rPr>
                <w:rFonts w:ascii="Times New Roman" w:eastAsia="PMingLiU" w:hAnsi="Times New Roman" w:cs="Times New Roman"/>
                <w:sz w:val="18"/>
                <w:szCs w:val="18"/>
                <w:lang w:eastAsia="zh-TW"/>
              </w:rPr>
              <w:t xml:space="preserve"> change UL beam and DL beam together, which will degrade DL performance.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can choose to configure joint TCI or separate TCI based on whether changing only UL beam will happen and whether DL performance degradation is acceptable. However, we are not proposing a new alternative for further </w:t>
            </w:r>
            <w:proofErr w:type="gramStart"/>
            <w:r>
              <w:rPr>
                <w:rFonts w:ascii="Times New Roman" w:eastAsia="PMingLiU" w:hAnsi="Times New Roman" w:cs="Times New Roman"/>
                <w:sz w:val="18"/>
                <w:szCs w:val="18"/>
                <w:lang w:eastAsia="zh-TW"/>
              </w:rPr>
              <w:t>discussion, since</w:t>
            </w:r>
            <w:proofErr w:type="gramEnd"/>
            <w:r>
              <w:rPr>
                <w:rFonts w:ascii="Times New Roman" w:eastAsia="PMingLiU" w:hAnsi="Times New Roman" w:cs="Times New Roman"/>
                <w:sz w:val="18"/>
                <w:szCs w:val="18"/>
                <w:lang w:eastAsia="zh-TW"/>
              </w:rPr>
              <w:t xml:space="preserv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w:t>
            </w:r>
            <w:r w:rsidR="00070E49">
              <w:rPr>
                <w:rFonts w:ascii="Times New Roman" w:eastAsia="等线"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 xml:space="preserve">So </w:t>
            </w:r>
            <w:proofErr w:type="gramStart"/>
            <w:r w:rsidRPr="00463A71">
              <w:rPr>
                <w:rFonts w:ascii="Times New Roman" w:eastAsia="PMingLiU" w:hAnsi="Times New Roman" w:cs="Times New Roman"/>
                <w:b/>
                <w:color w:val="3333FF"/>
                <w:szCs w:val="18"/>
                <w:lang w:eastAsia="zh-CN"/>
              </w:rPr>
              <w:t>far</w:t>
            </w:r>
            <w:proofErr w:type="gramEnd"/>
            <w:r w:rsidRPr="00463A71">
              <w:rPr>
                <w:rFonts w:ascii="Times New Roman" w:eastAsia="PMingLiU" w:hAnsi="Times New Roman" w:cs="Times New Roman"/>
                <w:b/>
                <w:color w:val="3333FF"/>
                <w:szCs w:val="18"/>
                <w:lang w:eastAsia="zh-CN"/>
              </w:rPr>
              <w:t xml:space="preserve">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 xml:space="preserve">I am glad that companies (so far) are willing to be constructive – not risking the worst-possible solution (RRC, not preferred even by the FL) – despite their </w:t>
            </w:r>
            <w:proofErr w:type="gramStart"/>
            <w:r>
              <w:rPr>
                <w:rFonts w:ascii="Times New Roman" w:eastAsia="PMingLiU" w:hAnsi="Times New Roman" w:cs="Times New Roman"/>
                <w:b/>
                <w:color w:val="3333FF"/>
                <w:szCs w:val="18"/>
                <w:lang w:eastAsia="zh-CN"/>
              </w:rPr>
              <w:t>preference</w:t>
            </w:r>
            <w:proofErr w:type="gramEnd"/>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Our first preference is </w:t>
            </w:r>
            <w:proofErr w:type="gramStart"/>
            <w:r>
              <w:rPr>
                <w:rFonts w:ascii="Times New Roman" w:eastAsia="PMingLiU" w:hAnsi="Times New Roman" w:cs="Times New Roman"/>
                <w:sz w:val="18"/>
                <w:szCs w:val="18"/>
                <w:lang w:eastAsia="zh-CN"/>
              </w:rPr>
              <w:t>actually RRC</w:t>
            </w:r>
            <w:proofErr w:type="gramEnd"/>
            <w:r>
              <w:rPr>
                <w:rFonts w:ascii="Times New Roman" w:eastAsia="PMingLiU" w:hAnsi="Times New Roman" w:cs="Times New Roman"/>
                <w:sz w:val="18"/>
                <w:szCs w:val="18"/>
                <w:lang w:eastAsia="zh-CN"/>
              </w:rPr>
              <w:t xml:space="preserve">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5223" w14:textId="4C82B374" w:rsidR="00D667FA" w:rsidRDefault="00D667FA" w:rsidP="00D667F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 xml:space="preserve">On Proposal 3.3B, it can apply to the cases of M or N &gt; 1 as well.  </w:t>
            </w:r>
            <w:proofErr w:type="gramStart"/>
            <w:r>
              <w:rPr>
                <w:rFonts w:ascii="Times New Roman" w:eastAsia="PMingLiU" w:hAnsi="Times New Roman" w:cs="Times New Roman"/>
                <w:sz w:val="18"/>
                <w:szCs w:val="18"/>
                <w:lang w:eastAsia="zh-TW"/>
              </w:rPr>
              <w:t>Therefore</w:t>
            </w:r>
            <w:proofErr w:type="gramEnd"/>
            <w:r>
              <w:rPr>
                <w:rFonts w:ascii="Times New Roman" w:eastAsia="PMingLiU" w:hAnsi="Times New Roman" w:cs="Times New Roman"/>
                <w:sz w:val="18"/>
                <w:szCs w:val="18"/>
                <w:lang w:eastAsia="zh-TW"/>
              </w:rPr>
              <w:t xml:space="preserv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tc>
      </w:tr>
      <w:tr w:rsidR="00C6222A" w14:paraId="384D6B69"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C270" w14:textId="43C60EA9" w:rsidR="00C6222A" w:rsidRDefault="00C6222A" w:rsidP="00D667F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6D82" w14:textId="44F4B5AE" w:rsidR="00C6222A" w:rsidRDefault="00C6222A" w:rsidP="00D667FA">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AD4FF27" w14:textId="29445128" w:rsidR="00C6222A" w:rsidRPr="00C6222A" w:rsidRDefault="00C6222A" w:rsidP="00C6222A">
            <w:pPr>
              <w:snapToGrid w:val="0"/>
              <w:jc w:val="both"/>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 xml:space="preserve">upport configuring a UE with two SRS resource sets by RRC having different numbers of ports for codebook-based UL </w:t>
      </w:r>
      <w:proofErr w:type="gramStart"/>
      <w:r w:rsidR="009D416D" w:rsidRPr="009D416D">
        <w:rPr>
          <w:rFonts w:ascii="Times New Roman" w:hAnsi="Times New Roman"/>
          <w:sz w:val="20"/>
        </w:rPr>
        <w:t>transmission</w:t>
      </w:r>
      <w:proofErr w:type="gramEnd"/>
    </w:p>
    <w:p w14:paraId="3BD04C9A" w14:textId="77777777" w:rsidR="00CC4A48" w:rsidRDefault="00CC4A48" w:rsidP="009D416D">
      <w:pPr>
        <w:pStyle w:val="a3"/>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 xml:space="preserve">Only one of the configured SRS resource sets is valid for SRS transmission at a </w:t>
        </w:r>
        <w:proofErr w:type="gramStart"/>
        <w:r w:rsidRPr="00EA0820">
          <w:rPr>
            <w:rFonts w:ascii="Times New Roman" w:hAnsi="Times New Roman" w:cs="Times New Roman"/>
            <w:sz w:val="20"/>
          </w:rPr>
          <w:t>time</w:t>
        </w:r>
        <w:proofErr w:type="gramEnd"/>
        <w:r w:rsidRPr="009D416D">
          <w:rPr>
            <w:rFonts w:ascii="Times New Roman" w:hAnsi="Times New Roman"/>
            <w:sz w:val="20"/>
          </w:rPr>
          <w:t xml:space="preserve"> </w:t>
        </w:r>
      </w:ins>
    </w:p>
    <w:p w14:paraId="77A4CAB3" w14:textId="2F9DEE5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proofErr w:type="spellStart"/>
        <w:r w:rsidR="00CC4A48" w:rsidRPr="007E2E00">
          <w:rPr>
            <w:rFonts w:ascii="Times New Roman" w:hAnsi="Times New Roman"/>
            <w:sz w:val="20"/>
          </w:rPr>
          <w:t>gNB</w:t>
        </w:r>
        <w:proofErr w:type="spellEnd"/>
        <w:r w:rsidR="00CC4A48" w:rsidRPr="007E2E00">
          <w:rPr>
            <w:rFonts w:ascii="Times New Roman" w:hAnsi="Times New Roman"/>
            <w:sz w:val="20"/>
          </w:rPr>
          <w:t xml:space="preserve">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a3"/>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 xml:space="preserve">This feature is UE </w:t>
      </w:r>
      <w:proofErr w:type="gramStart"/>
      <w:r w:rsidRPr="009D416D">
        <w:rPr>
          <w:rFonts w:ascii="Times New Roman" w:hAnsi="Times New Roman"/>
          <w:sz w:val="20"/>
        </w:rPr>
        <w:t>optional</w:t>
      </w:r>
      <w:proofErr w:type="gramEnd"/>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c"/>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w:t>
            </w:r>
            <w:proofErr w:type="spellStart"/>
            <w:r>
              <w:rPr>
                <w:rFonts w:ascii="Times New Roman" w:eastAsia="PMingLiU" w:hAnsi="Times New Roman" w:cs="Times New Roman"/>
                <w:sz w:val="18"/>
                <w:szCs w:val="18"/>
                <w:lang w:eastAsia="zh-TW"/>
              </w:rPr>
              <w:t>gNB</w:t>
            </w:r>
            <w:proofErr w:type="spellEnd"/>
            <w:r>
              <w:rPr>
                <w:rFonts w:ascii="Times New Roman" w:eastAsia="PMingLiU" w:hAnsi="Times New Roman" w:cs="Times New Roman"/>
                <w:sz w:val="18"/>
                <w:szCs w:val="18"/>
                <w:lang w:eastAsia="zh-TW"/>
              </w:rPr>
              <w:t xml:space="preserve">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proofErr w:type="gramStart"/>
            <w:r w:rsidRPr="007B6AAD">
              <w:rPr>
                <w:rFonts w:ascii="Times New Roman" w:eastAsia="PMingLiU" w:hAnsi="Times New Roman" w:cs="Times New Roman"/>
                <w:b/>
                <w:bCs/>
                <w:sz w:val="18"/>
                <w:szCs w:val="18"/>
                <w:lang w:eastAsia="zh-TW"/>
              </w:rPr>
              <w:t>Down-select</w:t>
            </w:r>
            <w:proofErr w:type="gramEnd"/>
            <w:r w:rsidRPr="007B6AAD">
              <w:rPr>
                <w:rFonts w:ascii="Times New Roman" w:eastAsia="PMingLiU" w:hAnsi="Times New Roman" w:cs="Times New Roman"/>
                <w:b/>
                <w:bCs/>
                <w:sz w:val="18"/>
                <w:szCs w:val="18"/>
                <w:lang w:eastAsia="zh-TW"/>
              </w:rPr>
              <w:t xml:space="preserve">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w:t>
            </w:r>
            <w:proofErr w:type="spellStart"/>
            <w:r>
              <w:rPr>
                <w:rFonts w:ascii="Times New Roman" w:eastAsia="PMingLiU" w:hAnsi="Times New Roman" w:cs="Times New Roman"/>
                <w:b/>
                <w:bCs/>
                <w:sz w:val="18"/>
                <w:szCs w:val="18"/>
                <w:lang w:eastAsia="zh-TW"/>
              </w:rPr>
              <w:t>sTRP</w:t>
            </w:r>
            <w:proofErr w:type="spellEnd"/>
            <w:r>
              <w:rPr>
                <w:rFonts w:ascii="Times New Roman" w:eastAsia="PMingLiU" w:hAnsi="Times New Roman" w:cs="Times New Roman"/>
                <w:b/>
                <w:bCs/>
                <w:sz w:val="18"/>
                <w:szCs w:val="18"/>
                <w:lang w:eastAsia="zh-TW"/>
              </w:rPr>
              <w:t xml:space="preserve">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w:t>
            </w:r>
            <w:proofErr w:type="spellStart"/>
            <w:r w:rsidRPr="007B6AAD">
              <w:rPr>
                <w:rFonts w:ascii="Times New Roman" w:eastAsia="PMingLiU" w:hAnsi="Times New Roman" w:cs="Times New Roman"/>
                <w:b/>
                <w:bCs/>
                <w:sz w:val="18"/>
                <w:szCs w:val="18"/>
                <w:lang w:eastAsia="zh-TW"/>
              </w:rPr>
              <w:t>gNB</w:t>
            </w:r>
            <w:proofErr w:type="spellEnd"/>
            <w:r w:rsidRPr="007B6AAD">
              <w:rPr>
                <w:rFonts w:ascii="Times New Roman" w:eastAsia="PMingLiU" w:hAnsi="Times New Roman" w:cs="Times New Roman"/>
                <w:b/>
                <w:bCs/>
                <w:sz w:val="18"/>
                <w:szCs w:val="18"/>
                <w:lang w:eastAsia="zh-TW"/>
              </w:rPr>
              <w:t xml:space="preserve">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 xml:space="preserve">with different number of </w:t>
            </w:r>
            <w:proofErr w:type="gramStart"/>
            <w:r w:rsidRPr="007B6AAD">
              <w:rPr>
                <w:rFonts w:ascii="Times New Roman" w:eastAsia="PMingLiU" w:hAnsi="Times New Roman" w:cs="Times New Roman"/>
                <w:b/>
                <w:bCs/>
                <w:sz w:val="18"/>
                <w:szCs w:val="18"/>
                <w:lang w:eastAsia="zh-TW"/>
              </w:rPr>
              <w:t>ports</w:t>
            </w:r>
            <w:proofErr w:type="gramEnd"/>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Only 1 resource set is valid to be triggered for SRS transmission and SRI indication for </w:t>
            </w:r>
            <w:proofErr w:type="gramStart"/>
            <w:r w:rsidRPr="007B6AAD">
              <w:rPr>
                <w:rFonts w:ascii="Times New Roman" w:eastAsia="PMingLiU" w:hAnsi="Times New Roman" w:cs="Times New Roman"/>
                <w:b/>
                <w:bCs/>
                <w:sz w:val="18"/>
                <w:szCs w:val="18"/>
                <w:lang w:eastAsia="zh-TW"/>
              </w:rPr>
              <w:t>PUSCH</w:t>
            </w:r>
            <w:proofErr w:type="gramEnd"/>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UE does not transmit SRS in the invalid SRS resource set no matter whether it is triggered or </w:t>
            </w:r>
            <w:proofErr w:type="gramStart"/>
            <w:r w:rsidRPr="007B6AAD">
              <w:rPr>
                <w:rFonts w:ascii="Times New Roman" w:eastAsia="PMingLiU" w:hAnsi="Times New Roman" w:cs="Times New Roman"/>
                <w:b/>
                <w:bCs/>
                <w:sz w:val="18"/>
                <w:szCs w:val="18"/>
                <w:lang w:eastAsia="zh-TW"/>
              </w:rPr>
              <w:t>not</w:t>
            </w:r>
            <w:proofErr w:type="gramEnd"/>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w:t>
            </w:r>
            <w:proofErr w:type="spellStart"/>
            <w:r w:rsidRPr="007B6AAD">
              <w:rPr>
                <w:rFonts w:ascii="Times New Roman" w:eastAsia="PMingLiU" w:hAnsi="Times New Roman" w:cs="Times New Roman"/>
                <w:b/>
                <w:bCs/>
                <w:sz w:val="18"/>
                <w:szCs w:val="18"/>
                <w:lang w:eastAsia="zh-TW"/>
              </w:rPr>
              <w:t>gNB</w:t>
            </w:r>
            <w:proofErr w:type="spellEnd"/>
            <w:r w:rsidRPr="007B6AAD">
              <w:rPr>
                <w:rFonts w:ascii="Times New Roman" w:eastAsia="PMingLiU" w:hAnsi="Times New Roman" w:cs="Times New Roman"/>
                <w:b/>
                <w:bCs/>
                <w:sz w:val="18"/>
                <w:szCs w:val="18"/>
                <w:lang w:eastAsia="zh-TW"/>
              </w:rPr>
              <w:t xml:space="preserve">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w:t>
            </w:r>
            <w:proofErr w:type="gramStart"/>
            <w:r>
              <w:rPr>
                <w:rFonts w:ascii="Times New Roman" w:eastAsia="PMingLiU" w:hAnsi="Times New Roman" w:cs="Times New Roman"/>
                <w:b/>
                <w:bCs/>
                <w:sz w:val="18"/>
                <w:szCs w:val="18"/>
                <w:lang w:eastAsia="zh-TW"/>
              </w:rPr>
              <w:t>CB</w:t>
            </w:r>
            <w:proofErr w:type="gramEnd"/>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The number of ports for the SRS resources in the set can be dynamically </w:t>
            </w:r>
            <w:proofErr w:type="gramStart"/>
            <w:r w:rsidRPr="007B6AAD">
              <w:rPr>
                <w:rFonts w:ascii="Times New Roman" w:eastAsia="PMingLiU" w:hAnsi="Times New Roman" w:cs="Times New Roman"/>
                <w:b/>
                <w:bCs/>
                <w:sz w:val="18"/>
                <w:szCs w:val="18"/>
                <w:lang w:eastAsia="zh-TW"/>
              </w:rPr>
              <w:t>updated</w:t>
            </w:r>
            <w:proofErr w:type="gramEnd"/>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w:t>
            </w:r>
            <w:proofErr w:type="gramStart"/>
            <w:r w:rsidRPr="007B6AAD">
              <w:rPr>
                <w:rFonts w:ascii="Times New Roman" w:eastAsia="PMingLiU" w:hAnsi="Times New Roman" w:cs="Times New Roman"/>
                <w:b/>
                <w:bCs/>
                <w:sz w:val="18"/>
                <w:szCs w:val="18"/>
                <w:lang w:eastAsia="zh-TW"/>
              </w:rPr>
              <w:t>PUSCH</w:t>
            </w:r>
            <w:proofErr w:type="gramEnd"/>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The panel entity for the uplink channel is determined based on the RS used to provide spatial relation indication in the indicated unified UL/joint </w:t>
            </w:r>
            <w:proofErr w:type="gramStart"/>
            <w:r w:rsidRPr="007B6AAD">
              <w:rPr>
                <w:rFonts w:ascii="Times New Roman" w:eastAsia="PMingLiU" w:hAnsi="Times New Roman" w:cs="Times New Roman"/>
                <w:b/>
                <w:bCs/>
                <w:sz w:val="18"/>
                <w:szCs w:val="18"/>
                <w:lang w:eastAsia="zh-TW"/>
              </w:rPr>
              <w:t>TCI</w:t>
            </w:r>
            <w:proofErr w:type="gramEnd"/>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The panel entity for a RS is based on a L1-RSRP report </w:t>
            </w:r>
            <w:proofErr w:type="gramStart"/>
            <w:r w:rsidRPr="007B6AAD">
              <w:rPr>
                <w:rFonts w:ascii="Times New Roman" w:eastAsia="PMingLiU" w:hAnsi="Times New Roman" w:cs="Times New Roman"/>
                <w:b/>
                <w:bCs/>
                <w:sz w:val="18"/>
                <w:szCs w:val="18"/>
                <w:lang w:eastAsia="zh-TW"/>
              </w:rPr>
              <w:t>instance</w:t>
            </w:r>
            <w:proofErr w:type="gramEnd"/>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Support UE reports maximum number of ports/layers per panel </w:t>
            </w:r>
            <w:proofErr w:type="gramStart"/>
            <w:r w:rsidRPr="007B6AAD">
              <w:rPr>
                <w:rFonts w:ascii="Times New Roman" w:eastAsia="PMingLiU" w:hAnsi="Times New Roman" w:cs="Times New Roman"/>
                <w:b/>
                <w:bCs/>
                <w:sz w:val="18"/>
                <w:szCs w:val="18"/>
                <w:lang w:eastAsia="zh-TW"/>
              </w:rPr>
              <w:t>entity</w:t>
            </w:r>
            <w:proofErr w:type="gramEnd"/>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suggest </w:t>
            </w:r>
            <w:proofErr w:type="gramStart"/>
            <w:r>
              <w:rPr>
                <w:rFonts w:ascii="Times New Roman" w:eastAsia="PMingLiU" w:hAnsi="Times New Roman" w:cs="Times New Roman"/>
                <w:sz w:val="18"/>
                <w:szCs w:val="18"/>
                <w:lang w:eastAsia="zh-TW"/>
              </w:rPr>
              <w:t>to remove</w:t>
            </w:r>
            <w:proofErr w:type="gramEnd"/>
            <w:r>
              <w:rPr>
                <w:rFonts w:ascii="Times New Roman" w:eastAsia="PMingLiU" w:hAnsi="Times New Roman" w:cs="Times New Roman"/>
                <w:sz w:val="18"/>
                <w:szCs w:val="18"/>
                <w:lang w:eastAsia="zh-TW"/>
              </w:rPr>
              <w:t xml:space="preser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 xml:space="preserve">We prefer to use this feature in FR1 as well, but we are ok to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lastRenderedPageBreak/>
              <w:t>Re Apple’s suggestion, we are fine with adding the last bullet from Apple. But the other option (</w:t>
            </w:r>
            <w:proofErr w:type="gramStart"/>
            <w:r>
              <w:rPr>
                <w:rFonts w:ascii="Times New Roman" w:eastAsia="Malgun Gothic" w:hAnsi="Times New Roman" w:cs="Times New Roman"/>
                <w:sz w:val="18"/>
                <w:szCs w:val="18"/>
              </w:rPr>
              <w:t>i.e.</w:t>
            </w:r>
            <w:proofErr w:type="gramEnd"/>
            <w:r>
              <w:rPr>
                <w:rFonts w:ascii="Times New Roman" w:eastAsia="Malgun Gothic" w:hAnsi="Times New Roman" w:cs="Times New Roman"/>
                <w:sz w:val="18"/>
                <w:szCs w:val="18"/>
              </w:rPr>
              <w:t xml:space="preserve"> Option 2) proposed by Apple seems not aligned with the WID (i.e. ‘fast’ panel selection) and this proposal would allow MAC-CE or DCI overwrites RRC. Since we are running out of time, although we have concerns on Option 2, it is one possibility to list up two alternatives and </w:t>
            </w:r>
            <w:proofErr w:type="gramStart"/>
            <w:r>
              <w:rPr>
                <w:rFonts w:ascii="Times New Roman" w:eastAsia="Malgun Gothic" w:hAnsi="Times New Roman" w:cs="Times New Roman"/>
                <w:sz w:val="18"/>
                <w:szCs w:val="18"/>
              </w:rPr>
              <w:t>make a decision</w:t>
            </w:r>
            <w:proofErr w:type="gramEnd"/>
            <w:r>
              <w:rPr>
                <w:rFonts w:ascii="Times New Roman" w:eastAsia="Malgun Gothic" w:hAnsi="Times New Roman" w:cs="Times New Roman"/>
                <w:sz w:val="18"/>
                <w:szCs w:val="18"/>
              </w:rPr>
              <w:t xml:space="preserve"> in next meeting (it is better than nothing). If we </w:t>
            </w:r>
            <w:proofErr w:type="gramStart"/>
            <w:r>
              <w:rPr>
                <w:rFonts w:ascii="Times New Roman" w:eastAsia="Malgun Gothic" w:hAnsi="Times New Roman" w:cs="Times New Roman"/>
                <w:sz w:val="18"/>
                <w:szCs w:val="18"/>
              </w:rPr>
              <w:t>have to</w:t>
            </w:r>
            <w:proofErr w:type="gramEnd"/>
            <w:r>
              <w:rPr>
                <w:rFonts w:ascii="Times New Roman" w:eastAsia="Malgun Gothic" w:hAnsi="Times New Roman" w:cs="Times New Roman"/>
                <w:sz w:val="18"/>
                <w:szCs w:val="18"/>
              </w:rPr>
              <w:t xml:space="preserve">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w:t>
            </w:r>
            <w:proofErr w:type="gramStart"/>
            <w:r>
              <w:rPr>
                <w:rFonts w:ascii="Times New Roman" w:eastAsia="PMingLiU" w:hAnsi="Times New Roman" w:cs="Times New Roman"/>
                <w:sz w:val="18"/>
                <w:szCs w:val="18"/>
                <w:lang w:eastAsia="zh-TW"/>
              </w:rPr>
              <w:t>don't</w:t>
            </w:r>
            <w:proofErr w:type="gramEnd"/>
            <w:r>
              <w:rPr>
                <w:rFonts w:ascii="Times New Roman" w:eastAsia="PMingLiU" w:hAnsi="Times New Roman" w:cs="Times New Roman"/>
                <w:sz w:val="18"/>
                <w:szCs w:val="18"/>
                <w:lang w:eastAsia="zh-TW"/>
              </w:rPr>
              <w:t xml:space="preserve"> see the need of the highlight FFS. Suggest </w:t>
            </w:r>
            <w:proofErr w:type="gramStart"/>
            <w:r>
              <w:rPr>
                <w:rFonts w:ascii="Times New Roman" w:eastAsia="PMingLiU" w:hAnsi="Times New Roman" w:cs="Times New Roman"/>
                <w:sz w:val="18"/>
                <w:szCs w:val="18"/>
                <w:lang w:eastAsia="zh-TW"/>
              </w:rPr>
              <w:t>to focus</w:t>
            </w:r>
            <w:proofErr w:type="gramEnd"/>
            <w:r>
              <w:rPr>
                <w:rFonts w:ascii="Times New Roman" w:eastAsia="PMingLiU" w:hAnsi="Times New Roman" w:cs="Times New Roman"/>
                <w:sz w:val="18"/>
                <w:szCs w:val="18"/>
                <w:lang w:eastAsia="zh-TW"/>
              </w:rPr>
              <w:t xml:space="preserve">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 xml:space="preserve">At least for FR2, support configuring a UE with two SRS resource sets by RRC having different numbers of ports for codebook-based UL </w:t>
            </w:r>
            <w:proofErr w:type="gramStart"/>
            <w:r w:rsidRPr="009D416D">
              <w:rPr>
                <w:rFonts w:ascii="Times New Roman" w:hAnsi="Times New Roman"/>
                <w:sz w:val="20"/>
              </w:rPr>
              <w:t>transmission</w:t>
            </w:r>
            <w:proofErr w:type="gramEnd"/>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r w:rsidRPr="00EA0820">
              <w:rPr>
                <w:rFonts w:ascii="Times New Roman" w:hAnsi="Times New Roman" w:cs="Times New Roman"/>
                <w:sz w:val="20"/>
              </w:rPr>
              <w:t xml:space="preserve">Only one of the configured SRS resource sets is valid for SRS transmission at a </w:t>
            </w:r>
            <w:proofErr w:type="gramStart"/>
            <w:r w:rsidRPr="00EA0820">
              <w:rPr>
                <w:rFonts w:ascii="Times New Roman" w:hAnsi="Times New Roman" w:cs="Times New Roman"/>
                <w:sz w:val="20"/>
              </w:rPr>
              <w:t>time</w:t>
            </w:r>
            <w:proofErr w:type="gramEnd"/>
          </w:p>
          <w:p w14:paraId="3CBEE217" w14:textId="70C58609" w:rsidR="003B3DF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proofErr w:type="spellStart"/>
            <w:r w:rsidRPr="007E2E00">
              <w:rPr>
                <w:rFonts w:ascii="Times New Roman" w:hAnsi="Times New Roman"/>
                <w:sz w:val="20"/>
              </w:rPr>
              <w:t>gNB</w:t>
            </w:r>
            <w:proofErr w:type="spellEnd"/>
            <w:r w:rsidRPr="007E2E00">
              <w:rPr>
                <w:rFonts w:ascii="Times New Roman" w:hAnsi="Times New Roman"/>
                <w:sz w:val="20"/>
              </w:rPr>
              <w:t xml:space="preserve">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This feature is UE </w:t>
            </w:r>
            <w:proofErr w:type="gramStart"/>
            <w:r w:rsidRPr="009D416D">
              <w:rPr>
                <w:rFonts w:ascii="Times New Roman" w:hAnsi="Times New Roman"/>
                <w:sz w:val="20"/>
              </w:rPr>
              <w:t>optional</w:t>
            </w:r>
            <w:proofErr w:type="gramEnd"/>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proofErr w:type="spellStart"/>
            <w:r>
              <w:rPr>
                <w:rFonts w:ascii="Times New Roman" w:hAnsi="Times New Roman" w:cs="Times New Roman"/>
                <w:sz w:val="18"/>
                <w:szCs w:val="18"/>
                <w:lang w:eastAsia="zh-CN"/>
              </w:rPr>
              <w:t>Convida</w:t>
            </w:r>
            <w:proofErr w:type="spellEnd"/>
            <w:r>
              <w:rPr>
                <w:rFonts w:ascii="Times New Roman"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w:t>
            </w:r>
            <w:proofErr w:type="gramStart"/>
            <w:r>
              <w:rPr>
                <w:rFonts w:ascii="Times New Roman" w:hAnsi="Times New Roman" w:cs="Times New Roman"/>
                <w:sz w:val="18"/>
                <w:szCs w:val="18"/>
                <w:lang w:eastAsia="zh-CN"/>
              </w:rPr>
              <w:t>cause</w:t>
            </w:r>
            <w:proofErr w:type="gramEnd"/>
            <w:r>
              <w:rPr>
                <w:rFonts w:ascii="Times New Roman" w:hAnsi="Times New Roman" w:cs="Times New Roman"/>
                <w:sz w:val="18"/>
                <w:szCs w:val="18"/>
                <w:lang w:eastAsia="zh-CN"/>
              </w:rPr>
              <w:t xml:space="preserv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w:t>
            </w:r>
            <w:proofErr w:type="spellStart"/>
            <w:r>
              <w:rPr>
                <w:rFonts w:ascii="Times New Roman" w:hAnsi="Times New Roman" w:cs="Times New Roman"/>
                <w:sz w:val="18"/>
                <w:szCs w:val="18"/>
                <w:lang w:eastAsia="zh-CN"/>
              </w:rPr>
              <w:t>gNB</w:t>
            </w:r>
            <w:proofErr w:type="spellEnd"/>
            <w:r>
              <w:rPr>
                <w:rFonts w:ascii="Times New Roman" w:hAnsi="Times New Roman" w:cs="Times New Roman"/>
                <w:sz w:val="18"/>
                <w:szCs w:val="18"/>
                <w:lang w:eastAsia="zh-CN"/>
              </w:rPr>
              <w:t xml:space="preserve">. Without any such information, the </w:t>
            </w:r>
            <w:proofErr w:type="spellStart"/>
            <w:r>
              <w:rPr>
                <w:rFonts w:ascii="Times New Roman" w:hAnsi="Times New Roman" w:cs="Times New Roman"/>
                <w:sz w:val="18"/>
                <w:szCs w:val="18"/>
                <w:lang w:eastAsia="zh-CN"/>
              </w:rPr>
              <w:t>gNB</w:t>
            </w:r>
            <w:proofErr w:type="spellEnd"/>
            <w:r>
              <w:rPr>
                <w:rFonts w:ascii="Times New Roman" w:hAnsi="Times New Roman" w:cs="Times New Roman"/>
                <w:sz w:val="18"/>
                <w:szCs w:val="18"/>
                <w:lang w:eastAsia="zh-CN"/>
              </w:rPr>
              <w:t xml:space="preserve">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avoid that order of argumentation, we propose to study the issue on how to optimize transmission from UEs with varying number of max UL MIMO layers. This would seem to be the central question, as formulated by several companies. Clearly, this is applicable also to FR1. </w:t>
            </w:r>
            <w:proofErr w:type="gramStart"/>
            <w:r>
              <w:rPr>
                <w:rFonts w:ascii="Times New Roman" w:hAnsi="Times New Roman" w:cs="Times New Roman"/>
                <w:sz w:val="18"/>
                <w:szCs w:val="18"/>
                <w:lang w:eastAsia="zh-CN"/>
              </w:rPr>
              <w:t>Hence</w:t>
            </w:r>
            <w:proofErr w:type="gramEnd"/>
            <w:r>
              <w:rPr>
                <w:rFonts w:ascii="Times New Roman" w:hAnsi="Times New Roman" w:cs="Times New Roman"/>
                <w:sz w:val="18"/>
                <w:szCs w:val="18"/>
                <w:lang w:eastAsia="zh-CN"/>
              </w:rPr>
              <w:t xml:space="preserv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lastRenderedPageBreak/>
              <w:t>Proposal:</w:t>
            </w:r>
            <w:r>
              <w:rPr>
                <w:rFonts w:ascii="Times New Roman" w:hAnsi="Times New Roman" w:cs="Times New Roman"/>
                <w:sz w:val="18"/>
                <w:szCs w:val="18"/>
                <w:lang w:eastAsia="zh-CN"/>
              </w:rPr>
              <w:t xml:space="preserve"> Study and if </w:t>
            </w:r>
            <w:proofErr w:type="gramStart"/>
            <w:r>
              <w:rPr>
                <w:rFonts w:ascii="Times New Roman" w:hAnsi="Times New Roman" w:cs="Times New Roman"/>
                <w:sz w:val="18"/>
                <w:szCs w:val="18"/>
                <w:lang w:eastAsia="zh-CN"/>
              </w:rPr>
              <w:t>necessary</w:t>
            </w:r>
            <w:proofErr w:type="gramEnd"/>
            <w:r>
              <w:rPr>
                <w:rFonts w:ascii="Times New Roman" w:hAnsi="Times New Roman" w:cs="Times New Roman"/>
                <w:sz w:val="18"/>
                <w:szCs w:val="18"/>
                <w:lang w:eastAsia="zh-CN"/>
              </w:rPr>
              <w:t xml:space="preserve">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 xml:space="preserve">upport configuring a UE with two SRS resource sets by RRC having different numbers of ports for codebook-based UL </w:t>
            </w:r>
            <w:proofErr w:type="gramStart"/>
            <w:r w:rsidRPr="009D416D">
              <w:rPr>
                <w:rFonts w:ascii="Times New Roman" w:hAnsi="Times New Roman"/>
                <w:sz w:val="20"/>
              </w:rPr>
              <w:t>transmission</w:t>
            </w:r>
            <w:proofErr w:type="gramEnd"/>
          </w:p>
          <w:p w14:paraId="75BC33DA" w14:textId="77777777" w:rsidR="00E77C1E" w:rsidRPr="0088699B" w:rsidRDefault="00E77C1E" w:rsidP="00E77C1E">
            <w:pPr>
              <w:pStyle w:val="a3"/>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 xml:space="preserve">additional specification support is introduced for a panel </w:t>
              </w:r>
              <w:proofErr w:type="gramStart"/>
              <w:r w:rsidRPr="0088699B">
                <w:rPr>
                  <w:rFonts w:ascii="Times New Roman" w:hAnsi="Times New Roman"/>
                  <w:sz w:val="20"/>
                </w:rPr>
                <w:t>entity</w:t>
              </w:r>
            </w:ins>
            <w:proofErr w:type="gramEnd"/>
          </w:p>
          <w:p w14:paraId="501E298E" w14:textId="77777777" w:rsidR="00E77C1E" w:rsidRDefault="00E77C1E" w:rsidP="00E77C1E">
            <w:pPr>
              <w:pStyle w:val="a3"/>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 xml:space="preserve">Only one of the configured SRS resource sets is valid for SRS transmission at a </w:t>
              </w:r>
              <w:proofErr w:type="gramStart"/>
              <w:r w:rsidRPr="00EA0820">
                <w:rPr>
                  <w:rFonts w:ascii="Times New Roman" w:hAnsi="Times New Roman" w:cs="Times New Roman"/>
                  <w:sz w:val="20"/>
                </w:rPr>
                <w:t>time</w:t>
              </w:r>
              <w:proofErr w:type="gramEnd"/>
              <w:r w:rsidRPr="009D416D">
                <w:rPr>
                  <w:rFonts w:ascii="Times New Roman" w:hAnsi="Times New Roman"/>
                  <w:sz w:val="20"/>
                </w:rPr>
                <w:t xml:space="preserve"> </w:t>
              </w:r>
            </w:ins>
          </w:p>
          <w:p w14:paraId="302D1410" w14:textId="77777777" w:rsidR="00E77C1E" w:rsidRPr="009D416D" w:rsidRDefault="00E77C1E" w:rsidP="00E77C1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proofErr w:type="spellStart"/>
              <w:r w:rsidRPr="007E2E00">
                <w:rPr>
                  <w:rFonts w:ascii="Times New Roman" w:hAnsi="Times New Roman"/>
                  <w:sz w:val="20"/>
                </w:rPr>
                <w:t>gNB</w:t>
              </w:r>
              <w:proofErr w:type="spellEnd"/>
              <w:r w:rsidRPr="007E2E00">
                <w:rPr>
                  <w:rFonts w:ascii="Times New Roman" w:hAnsi="Times New Roman"/>
                  <w:sz w:val="20"/>
                </w:rPr>
                <w:t xml:space="preserve">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a3"/>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w:t>
            </w:r>
            <w:proofErr w:type="gramStart"/>
            <w:r w:rsidR="0002476C">
              <w:rPr>
                <w:rFonts w:ascii="Times New Roman" w:eastAsia="Malgun Gothic" w:hAnsi="Times New Roman" w:cs="Times New Roman"/>
                <w:sz w:val="20"/>
                <w:szCs w:val="20"/>
              </w:rPr>
              <w:t>understand</w:t>
            </w:r>
            <w:proofErr w:type="gramEnd"/>
            <w:r w:rsidR="0002476C">
              <w:rPr>
                <w:rFonts w:ascii="Times New Roman" w:eastAsia="Malgun Gothic" w:hAnsi="Times New Roman" w:cs="Times New Roman"/>
                <w:sz w:val="20"/>
                <w:szCs w:val="20"/>
              </w:rPr>
              <w:t xml:space="preserve">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9"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proofErr w:type="spellStart"/>
            <w:r w:rsidRPr="007E2E00">
              <w:rPr>
                <w:rFonts w:ascii="Times New Roman" w:hAnsi="Times New Roman"/>
                <w:sz w:val="20"/>
              </w:rPr>
              <w:t>gNB</w:t>
            </w:r>
            <w:proofErr w:type="spellEnd"/>
            <w:r w:rsidRPr="007E2E00">
              <w:rPr>
                <w:rFonts w:ascii="Times New Roman" w:hAnsi="Times New Roman"/>
                <w:sz w:val="20"/>
              </w:rPr>
              <w:t xml:space="preserve"> </w:t>
            </w:r>
            <w:r>
              <w:rPr>
                <w:rFonts w:ascii="Times New Roman" w:hAnsi="Times New Roman"/>
                <w:sz w:val="20"/>
              </w:rPr>
              <w:t>signals the valid</w:t>
            </w:r>
            <w:r w:rsidRPr="009D416D">
              <w:rPr>
                <w:rFonts w:ascii="Times New Roman" w:hAnsi="Times New Roman"/>
                <w:sz w:val="20"/>
              </w:rPr>
              <w:t xml:space="preserve"> </w:t>
            </w:r>
            <w:del w:id="60"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We have strong concern on Ericsson’s updated one. The only motivation from our perspective is to handle multi-UE panel, and we fail to understand why we have the following two controversial </w:t>
            </w:r>
            <w:proofErr w:type="gramStart"/>
            <w:r>
              <w:rPr>
                <w:rFonts w:ascii="Times New Roman" w:eastAsia="Malgun Gothic" w:hAnsi="Times New Roman" w:cs="Times New Roman"/>
                <w:sz w:val="20"/>
                <w:szCs w:val="20"/>
              </w:rPr>
              <w:t>bullet</w:t>
            </w:r>
            <w:proofErr w:type="gramEnd"/>
            <w:r>
              <w:rPr>
                <w:rFonts w:ascii="Times New Roman" w:eastAsia="Malgun Gothic" w:hAnsi="Times New Roman" w:cs="Times New Roman"/>
                <w:sz w:val="20"/>
                <w:szCs w:val="20"/>
              </w:rPr>
              <w:t xml:space="preserve"> together.</w:t>
            </w:r>
          </w:p>
          <w:p w14:paraId="5FD0FCB2" w14:textId="77777777" w:rsidR="00931238" w:rsidRPr="0060527A" w:rsidRDefault="00931238" w:rsidP="00931238">
            <w:pPr>
              <w:pStyle w:val="a3"/>
              <w:numPr>
                <w:ilvl w:val="0"/>
                <w:numId w:val="38"/>
              </w:numPr>
              <w:snapToGrid w:val="0"/>
              <w:spacing w:after="0" w:line="240" w:lineRule="auto"/>
              <w:jc w:val="both"/>
              <w:rPr>
                <w:rFonts w:ascii="Times New Roman" w:hAnsi="Times New Roman"/>
                <w:sz w:val="20"/>
                <w:highlight w:val="yellow"/>
              </w:rPr>
            </w:pPr>
            <w:ins w:id="61" w:author="Claes Tidestav" w:date="2021-05-27T11:27:00Z">
              <w:r w:rsidRPr="0060527A">
                <w:rPr>
                  <w:rFonts w:ascii="Times New Roman" w:hAnsi="Times New Roman"/>
                  <w:sz w:val="20"/>
                  <w:highlight w:val="yellow"/>
                </w:rPr>
                <w:t xml:space="preserve">No additional specification support is introduced for a panel </w:t>
              </w:r>
              <w:proofErr w:type="gramStart"/>
              <w:r w:rsidRPr="0060527A">
                <w:rPr>
                  <w:rFonts w:ascii="Times New Roman" w:hAnsi="Times New Roman"/>
                  <w:sz w:val="20"/>
                  <w:highlight w:val="yellow"/>
                </w:rPr>
                <w:t>entity</w:t>
              </w:r>
            </w:ins>
            <w:proofErr w:type="gramEnd"/>
          </w:p>
          <w:p w14:paraId="6F7B283B" w14:textId="77777777" w:rsidR="00931238" w:rsidRPr="0060527A" w:rsidRDefault="00931238" w:rsidP="00931238">
            <w:pPr>
              <w:pStyle w:val="a3"/>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62" w:author="Eko Onggosanusi" w:date="2021-05-27T03:22:00Z">
              <w:r w:rsidRPr="0060527A">
                <w:rPr>
                  <w:rFonts w:ascii="Times New Roman" w:hAnsi="Times New Roman"/>
                  <w:sz w:val="20"/>
                  <w:highlight w:val="yellow"/>
                </w:rPr>
                <w:t xml:space="preserve">UE reported information, and how </w:t>
              </w:r>
              <w:proofErr w:type="spellStart"/>
              <w:r w:rsidRPr="0060527A">
                <w:rPr>
                  <w:rFonts w:ascii="Times New Roman" w:hAnsi="Times New Roman"/>
                  <w:sz w:val="20"/>
                  <w:highlight w:val="yellow"/>
                </w:rPr>
                <w:t>gNB</w:t>
              </w:r>
              <w:proofErr w:type="spellEnd"/>
              <w:r w:rsidRPr="0060527A">
                <w:rPr>
                  <w:rFonts w:ascii="Times New Roman" w:hAnsi="Times New Roman"/>
                  <w:sz w:val="20"/>
                  <w:highlight w:val="yellow"/>
                </w:rPr>
                <w:t xml:space="preserve"> signals the valid </w:t>
              </w:r>
            </w:ins>
            <w:del w:id="63" w:author="Eko Onggosanusi" w:date="2021-05-27T03:22:00Z">
              <w:r w:rsidRPr="0060527A" w:rsidDel="00CC4A48">
                <w:rPr>
                  <w:rFonts w:ascii="Times New Roman" w:hAnsi="Times New Roman"/>
                  <w:sz w:val="20"/>
                  <w:highlight w:val="yellow"/>
                </w:rPr>
                <w:delText>W</w:delText>
              </w:r>
            </w:del>
            <w:ins w:id="64"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5"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6"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xml:space="preserve">, we suggest </w:t>
            </w:r>
            <w:proofErr w:type="gramStart"/>
            <w:r>
              <w:rPr>
                <w:rFonts w:ascii="Times New Roman" w:eastAsia="Malgun Gothic" w:hAnsi="Times New Roman" w:cs="Times New Roman"/>
                <w:sz w:val="20"/>
                <w:szCs w:val="20"/>
              </w:rPr>
              <w:t>to go</w:t>
            </w:r>
            <w:proofErr w:type="gramEnd"/>
            <w:r>
              <w:rPr>
                <w:rFonts w:ascii="Times New Roman" w:eastAsia="Malgun Gothic" w:hAnsi="Times New Roman" w:cs="Times New Roman"/>
                <w:sz w:val="20"/>
                <w:szCs w:val="20"/>
              </w:rPr>
              <w:t xml:space="preserve"> RAN Plenary meeting and change WID firstly. Based on the new inputs and good discussion, we suggest </w:t>
            </w:r>
            <w:proofErr w:type="gramStart"/>
            <w:r>
              <w:rPr>
                <w:rFonts w:ascii="Times New Roman" w:eastAsia="Malgun Gothic" w:hAnsi="Times New Roman" w:cs="Times New Roman"/>
                <w:sz w:val="20"/>
                <w:szCs w:val="20"/>
              </w:rPr>
              <w:t>to agree</w:t>
            </w:r>
            <w:proofErr w:type="gramEnd"/>
            <w:r>
              <w:rPr>
                <w:rFonts w:ascii="Times New Roman" w:eastAsia="Malgun Gothic" w:hAnsi="Times New Roman" w:cs="Times New Roman"/>
                <w:sz w:val="20"/>
                <w:szCs w:val="20"/>
              </w:rPr>
              <w:t xml:space="preserv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a3"/>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 xml:space="preserve">Opt1-2: A panel entity is referring to a new panel ID within CSI/beam </w:t>
            </w:r>
            <w:proofErr w:type="gramStart"/>
            <w:r w:rsidRPr="0055774D">
              <w:rPr>
                <w:rFonts w:ascii="Times New Roman" w:hAnsi="Times New Roman" w:cs="Times New Roman"/>
                <w:sz w:val="20"/>
              </w:rPr>
              <w:t>reports</w:t>
            </w:r>
            <w:proofErr w:type="gramEnd"/>
          </w:p>
          <w:p w14:paraId="53144A2C" w14:textId="77777777" w:rsidR="00931238" w:rsidRPr="0055774D" w:rsidRDefault="00931238" w:rsidP="00931238">
            <w:pPr>
              <w:pStyle w:val="a3"/>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4C6E5D0A" w14:textId="77777777" w:rsidR="00931238" w:rsidRPr="0055774D" w:rsidRDefault="00931238" w:rsidP="00931238">
            <w:pPr>
              <w:pStyle w:val="a3"/>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p w14:paraId="40F4276B" w14:textId="77777777" w:rsidR="00931238" w:rsidRDefault="00931238" w:rsidP="00931238">
            <w:pPr>
              <w:snapToGrid w:val="0"/>
              <w:jc w:val="both"/>
              <w:rPr>
                <w:rFonts w:ascii="Times New Roman" w:eastAsia="Malgun Gothic" w:hAnsi="Times New Roman" w:cs="Times New Roman"/>
                <w:sz w:val="20"/>
                <w:szCs w:val="20"/>
              </w:rPr>
            </w:pPr>
          </w:p>
          <w:p w14:paraId="386F7663" w14:textId="77777777" w:rsidR="00931238" w:rsidRDefault="00931238" w:rsidP="00931238">
            <w:pPr>
              <w:snapToGrid w:val="0"/>
              <w:jc w:val="both"/>
              <w:rPr>
                <w:rFonts w:ascii="Times New Roman" w:eastAsia="Malgun Gothic" w:hAnsi="Times New Roman" w:cs="Times New Roman"/>
                <w:sz w:val="20"/>
                <w:szCs w:val="20"/>
              </w:rPr>
            </w:pPr>
          </w:p>
        </w:tc>
      </w:tr>
      <w:tr w:rsidR="00C6222A" w14:paraId="12E0EC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3E56" w14:textId="3BE3E94F" w:rsidR="00C6222A" w:rsidRPr="00C6222A" w:rsidRDefault="00C6222A" w:rsidP="00931238">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D9D" w14:textId="7156A0F9" w:rsidR="00C6222A" w:rsidRDefault="00C6222A" w:rsidP="009312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 xml:space="preserve">WP switch seems already supports the following feature. We would like to further study whether there is any </w:t>
            </w:r>
            <w:r w:rsidR="001B2A9F">
              <w:rPr>
                <w:rFonts w:ascii="Times New Roman" w:hAnsi="Times New Roman" w:cs="Times New Roman"/>
                <w:sz w:val="20"/>
                <w:szCs w:val="20"/>
                <w:lang w:eastAsia="zh-CN"/>
              </w:rPr>
              <w:t>specification impact</w:t>
            </w:r>
            <w:r>
              <w:rPr>
                <w:rFonts w:ascii="Times New Roman" w:hAnsi="Times New Roman" w:cs="Times New Roman"/>
                <w:sz w:val="20"/>
                <w:szCs w:val="20"/>
                <w:lang w:eastAsia="zh-CN"/>
              </w:rPr>
              <w:t>.</w:t>
            </w:r>
          </w:p>
          <w:p w14:paraId="6CA1B633" w14:textId="77777777" w:rsidR="00C6222A" w:rsidRDefault="00C6222A" w:rsidP="00931238">
            <w:pPr>
              <w:snapToGrid w:val="0"/>
              <w:jc w:val="both"/>
              <w:rPr>
                <w:rFonts w:ascii="Times New Roman" w:hAnsi="Times New Roman" w:cs="Times New Roman"/>
                <w:sz w:val="20"/>
                <w:szCs w:val="20"/>
                <w:lang w:eastAsia="zh-CN"/>
              </w:rPr>
            </w:pPr>
          </w:p>
          <w:p w14:paraId="12D7A2AA" w14:textId="77777777" w:rsidR="00C6222A" w:rsidRPr="009D416D" w:rsidRDefault="00C6222A" w:rsidP="00C6222A">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67" w:author="Eko Onggosanusi" w:date="2021-05-27T03:17:00Z">
              <w:r w:rsidRPr="009D416D" w:rsidDel="00463A71">
                <w:rPr>
                  <w:rFonts w:ascii="Times New Roman" w:hAnsi="Times New Roman"/>
                  <w:sz w:val="20"/>
                </w:rPr>
                <w:delText xml:space="preserve">At least for FR2, </w:delText>
              </w:r>
            </w:del>
            <w:ins w:id="68" w:author="Eko Onggosanusi" w:date="2021-05-27T03:17:00Z">
              <w:r>
                <w:rPr>
                  <w:rFonts w:ascii="Times New Roman" w:hAnsi="Times New Roman"/>
                  <w:sz w:val="20"/>
                </w:rPr>
                <w:t>S</w:t>
              </w:r>
            </w:ins>
            <w:del w:id="69" w:author="Eko Onggosanusi" w:date="2021-05-27T03:17:00Z">
              <w:r w:rsidRPr="009D416D" w:rsidDel="00463A71">
                <w:rPr>
                  <w:rFonts w:ascii="Times New Roman" w:hAnsi="Times New Roman"/>
                  <w:sz w:val="20"/>
                </w:rPr>
                <w:delText>s</w:delText>
              </w:r>
            </w:del>
            <w:r w:rsidRPr="009D416D">
              <w:rPr>
                <w:rFonts w:ascii="Times New Roman" w:hAnsi="Times New Roman"/>
                <w:sz w:val="20"/>
              </w:rPr>
              <w:t xml:space="preserve">upport configuring a UE with two SRS resource sets by RRC having different numbers of ports for codebook-based UL </w:t>
            </w:r>
            <w:proofErr w:type="gramStart"/>
            <w:r w:rsidRPr="009D416D">
              <w:rPr>
                <w:rFonts w:ascii="Times New Roman" w:hAnsi="Times New Roman"/>
                <w:sz w:val="20"/>
              </w:rPr>
              <w:t>transmission</w:t>
            </w:r>
            <w:proofErr w:type="gramEnd"/>
          </w:p>
          <w:p w14:paraId="75880907" w14:textId="77777777" w:rsidR="00C6222A" w:rsidRDefault="00C6222A" w:rsidP="00C6222A">
            <w:pPr>
              <w:pStyle w:val="a3"/>
              <w:numPr>
                <w:ilvl w:val="0"/>
                <w:numId w:val="38"/>
              </w:numPr>
              <w:snapToGrid w:val="0"/>
              <w:spacing w:after="0" w:line="240" w:lineRule="auto"/>
              <w:jc w:val="both"/>
              <w:rPr>
                <w:ins w:id="70" w:author="Eko Onggosanusi" w:date="2021-05-27T03:22:00Z"/>
                <w:rFonts w:ascii="Times New Roman" w:hAnsi="Times New Roman"/>
                <w:sz w:val="20"/>
              </w:rPr>
            </w:pPr>
            <w:ins w:id="71" w:author="Eko Onggosanusi" w:date="2021-05-27T03:22:00Z">
              <w:r w:rsidRPr="00EA0820">
                <w:rPr>
                  <w:rFonts w:ascii="Times New Roman" w:hAnsi="Times New Roman" w:cs="Times New Roman"/>
                  <w:sz w:val="20"/>
                </w:rPr>
                <w:t xml:space="preserve">Only one of the configured SRS resource sets is valid for SRS transmission at a </w:t>
              </w:r>
              <w:proofErr w:type="gramStart"/>
              <w:r w:rsidRPr="00EA0820">
                <w:rPr>
                  <w:rFonts w:ascii="Times New Roman" w:hAnsi="Times New Roman" w:cs="Times New Roman"/>
                  <w:sz w:val="20"/>
                </w:rPr>
                <w:t>time</w:t>
              </w:r>
              <w:proofErr w:type="gramEnd"/>
              <w:r w:rsidRPr="009D416D">
                <w:rPr>
                  <w:rFonts w:ascii="Times New Roman" w:hAnsi="Times New Roman"/>
                  <w:sz w:val="20"/>
                </w:rPr>
                <w:t xml:space="preserve"> </w:t>
              </w:r>
            </w:ins>
          </w:p>
          <w:p w14:paraId="7ECF575D" w14:textId="77777777" w:rsidR="00C6222A" w:rsidRPr="009D416D" w:rsidRDefault="00C6222A" w:rsidP="00C6222A">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7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proofErr w:type="spellStart"/>
              <w:r w:rsidRPr="007E2E00">
                <w:rPr>
                  <w:rFonts w:ascii="Times New Roman" w:hAnsi="Times New Roman"/>
                  <w:sz w:val="20"/>
                </w:rPr>
                <w:t>gNB</w:t>
              </w:r>
              <w:proofErr w:type="spellEnd"/>
              <w:r w:rsidRPr="007E2E00">
                <w:rPr>
                  <w:rFonts w:ascii="Times New Roman" w:hAnsi="Times New Roman"/>
                  <w:sz w:val="20"/>
                </w:rPr>
                <w:t xml:space="preserve"> </w:t>
              </w:r>
              <w:r>
                <w:rPr>
                  <w:rFonts w:ascii="Times New Roman" w:hAnsi="Times New Roman"/>
                  <w:sz w:val="20"/>
                </w:rPr>
                <w:t>signals the valid</w:t>
              </w:r>
              <w:r w:rsidRPr="009D416D">
                <w:rPr>
                  <w:rFonts w:ascii="Times New Roman" w:hAnsi="Times New Roman"/>
                  <w:sz w:val="20"/>
                </w:rPr>
                <w:t xml:space="preserve"> </w:t>
              </w:r>
            </w:ins>
            <w:del w:id="73" w:author="Eko Onggosanusi" w:date="2021-05-27T03:22:00Z">
              <w:r w:rsidRPr="009D416D" w:rsidDel="00CC4A48">
                <w:rPr>
                  <w:rFonts w:ascii="Times New Roman" w:hAnsi="Times New Roman"/>
                  <w:sz w:val="20"/>
                </w:rPr>
                <w:delText>W</w:delText>
              </w:r>
            </w:del>
            <w:ins w:id="74" w:author="Eko Onggosanusi" w:date="2021-05-27T03:22:00Z">
              <w:r>
                <w:rPr>
                  <w:rFonts w:ascii="Times New Roman" w:hAnsi="Times New Roman"/>
                  <w:sz w:val="20"/>
                </w:rPr>
                <w:t>w</w:t>
              </w:r>
            </w:ins>
            <w:r w:rsidRPr="009D416D">
              <w:rPr>
                <w:rFonts w:ascii="Times New Roman" w:hAnsi="Times New Roman"/>
                <w:sz w:val="20"/>
              </w:rPr>
              <w:t>hether SRS resource set</w:t>
            </w:r>
            <w:del w:id="7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73577482" w14:textId="77777777" w:rsidR="00C6222A" w:rsidRPr="009D416D" w:rsidDel="00CC4A48" w:rsidRDefault="00C6222A" w:rsidP="00C6222A">
            <w:pPr>
              <w:pStyle w:val="a3"/>
              <w:numPr>
                <w:ilvl w:val="0"/>
                <w:numId w:val="38"/>
              </w:numPr>
              <w:snapToGrid w:val="0"/>
              <w:spacing w:after="0" w:line="240" w:lineRule="auto"/>
              <w:jc w:val="both"/>
              <w:rPr>
                <w:del w:id="77" w:author="Eko Onggosanusi" w:date="2021-05-27T03:22:00Z"/>
                <w:rFonts w:ascii="Times New Roman" w:hAnsi="Times New Roman"/>
                <w:sz w:val="20"/>
                <w:highlight w:val="yellow"/>
              </w:rPr>
            </w:pPr>
            <w:del w:id="78" w:author="Eko Onggosanusi" w:date="2021-05-27T03:22:00Z">
              <w:r w:rsidRPr="009D416D" w:rsidDel="00CC4A48">
                <w:rPr>
                  <w:rFonts w:ascii="Times New Roman" w:hAnsi="Times New Roman"/>
                  <w:sz w:val="20"/>
                  <w:highlight w:val="yellow"/>
                </w:rPr>
                <w:lastRenderedPageBreak/>
                <w:delText>FFS: Whether to support different SRS ports within a same SRS resource set if more than one SRS resources are configured in the set</w:delText>
              </w:r>
            </w:del>
          </w:p>
          <w:p w14:paraId="7D1D8474" w14:textId="77777777" w:rsidR="00C6222A" w:rsidRPr="009D416D" w:rsidRDefault="00C6222A" w:rsidP="00C6222A">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706F3F43" w14:textId="7062531D" w:rsidR="00C6222A" w:rsidRDefault="00C6222A" w:rsidP="00C6222A">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This feature is UE </w:t>
            </w:r>
            <w:proofErr w:type="gramStart"/>
            <w:r w:rsidRPr="009D416D">
              <w:rPr>
                <w:rFonts w:ascii="Times New Roman" w:hAnsi="Times New Roman"/>
                <w:sz w:val="20"/>
              </w:rPr>
              <w:t>optional</w:t>
            </w:r>
            <w:proofErr w:type="gramEnd"/>
          </w:p>
          <w:p w14:paraId="0655566B" w14:textId="57C034D0" w:rsidR="00C6222A" w:rsidRPr="00C6222A" w:rsidRDefault="00C6222A" w:rsidP="001B2A9F">
            <w:pPr>
              <w:pStyle w:val="a3"/>
              <w:numPr>
                <w:ilvl w:val="0"/>
                <w:numId w:val="38"/>
              </w:numPr>
              <w:snapToGrid w:val="0"/>
              <w:spacing w:after="0" w:line="240" w:lineRule="auto"/>
              <w:jc w:val="both"/>
              <w:rPr>
                <w:rFonts w:ascii="Times New Roman" w:eastAsiaTheme="minorEastAsia" w:hAnsi="Times New Roman" w:cs="Times New Roman" w:hint="eastAsia"/>
                <w:sz w:val="20"/>
                <w:szCs w:val="20"/>
                <w:lang w:eastAsia="zh-CN"/>
              </w:rPr>
            </w:pPr>
            <w:r w:rsidRPr="00C6222A">
              <w:rPr>
                <w:rFonts w:ascii="Times New Roman" w:hAnsi="Times New Roman"/>
                <w:sz w:val="20"/>
                <w:highlight w:val="yellow"/>
              </w:rPr>
              <w:t xml:space="preserve">FFS there is any specification impact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79"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0"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1"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2"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Opt2A. Reporting at least {SSBRI(s)/CRI(s)} (beam/panel level)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are preferred for UL transmission in NW-initiated CSI-report on PUCCH/</w:t>
      </w:r>
      <w:proofErr w:type="gramStart"/>
      <w:r w:rsidRPr="00CD6CCB">
        <w:rPr>
          <w:rFonts w:ascii="Times New Roman" w:hAnsi="Times New Roman" w:cs="Times New Roman"/>
          <w:sz w:val="20"/>
        </w:rPr>
        <w:t>PUSCH</w:t>
      </w:r>
      <w:proofErr w:type="gramEnd"/>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FFS: how the offsetting L1-RSRP is calculated </w:t>
      </w:r>
      <w:proofErr w:type="gramStart"/>
      <w:r w:rsidRPr="00CD6CCB">
        <w:rPr>
          <w:rFonts w:ascii="Times New Roman" w:hAnsi="Times New Roman" w:cs="Times New Roman"/>
          <w:sz w:val="20"/>
        </w:rPr>
        <w:t>with regard to</w:t>
      </w:r>
      <w:proofErr w:type="gramEnd"/>
      <w:r w:rsidRPr="00CD6CCB">
        <w:rPr>
          <w:rFonts w:ascii="Times New Roman" w:hAnsi="Times New Roman" w:cs="Times New Roman"/>
          <w:sz w:val="20"/>
        </w:rPr>
        <w:t xml:space="preserve">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is preferred for UL transmission, DL reception (only), or both + L1-RSRP associated with the SSBRI(s)/CRI(s) + virtual PHR or a modified </w:t>
      </w:r>
      <w:proofErr w:type="gramStart"/>
      <w:r w:rsidRPr="00CD6CCB">
        <w:rPr>
          <w:rFonts w:ascii="Times New Roman" w:hAnsi="Times New Roman" w:cs="Times New Roman"/>
          <w:sz w:val="20"/>
        </w:rPr>
        <w:t>version</w:t>
      </w:r>
      <w:proofErr w:type="gramEnd"/>
      <w:r w:rsidRPr="00CD6CCB">
        <w:rPr>
          <w:rFonts w:ascii="Times New Roman" w:hAnsi="Times New Roman" w:cs="Times New Roman"/>
          <w:sz w:val="20"/>
        </w:rPr>
        <w:t xml:space="preserve">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w:t>
      </w:r>
      <w:proofErr w:type="gramStart"/>
      <w:r>
        <w:rPr>
          <w:rFonts w:ascii="Times New Roman" w:hAnsi="Times New Roman" w:cs="Times New Roman"/>
          <w:sz w:val="20"/>
        </w:rPr>
        <w:t>not</w:t>
      </w:r>
      <w:proofErr w:type="gramEnd"/>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virtual PHR or a modified version, reuse the same definition in </w:t>
      </w:r>
      <w:proofErr w:type="gramStart"/>
      <w:r w:rsidRPr="00CD6CCB">
        <w:rPr>
          <w:rFonts w:ascii="Times New Roman" w:hAnsi="Times New Roman" w:cs="Times New Roman"/>
          <w:sz w:val="20"/>
        </w:rPr>
        <w:t>Opt1A</w:t>
      </w:r>
      <w:proofErr w:type="gramEnd"/>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83" w:author="Eko Onggosanusi" w:date="2021-05-27T03:26:00Z"/>
          <w:rFonts w:ascii="Times New Roman" w:hAnsi="Times New Roman" w:cs="Times New Roman"/>
          <w:sz w:val="20"/>
        </w:rPr>
      </w:pPr>
      <w:del w:id="84"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85" w:author="Eko Onggosanusi" w:date="2021-05-27T03:26:00Z"/>
          <w:rFonts w:ascii="Times New Roman" w:hAnsi="Times New Roman" w:cs="Times New Roman"/>
          <w:sz w:val="20"/>
        </w:rPr>
      </w:pPr>
      <w:del w:id="8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87" w:author="Eko Onggosanusi" w:date="2021-05-27T03:26:00Z"/>
          <w:rFonts w:ascii="Times New Roman" w:hAnsi="Times New Roman" w:cs="Times New Roman"/>
          <w:sz w:val="20"/>
        </w:rPr>
      </w:pPr>
      <w:del w:id="8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 xml:space="preserve">the least supported alternative or, even better, down </w:t>
            </w:r>
            <w:proofErr w:type="gramStart"/>
            <w:r w:rsidR="001316BA">
              <w:rPr>
                <w:rFonts w:ascii="Times New Roman" w:eastAsia="等线" w:hAnsi="Times New Roman" w:cs="Times New Roman"/>
                <w:b/>
                <w:color w:val="3333FF"/>
                <w:szCs w:val="18"/>
                <w:lang w:eastAsia="zh-CN"/>
              </w:rPr>
              <w:t>select</w:t>
            </w:r>
            <w:proofErr w:type="gramEnd"/>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Opt2A:</w:t>
            </w:r>
          </w:p>
          <w:p w14:paraId="18CACBFB" w14:textId="5E4705F3" w:rsidR="003B3DFD" w:rsidRDefault="003B3DFD" w:rsidP="003B3DFD">
            <w:pPr>
              <w:pStyle w:val="a3"/>
              <w:numPr>
                <w:ilvl w:val="0"/>
                <w:numId w:val="53"/>
              </w:numPr>
              <w:snapToGrid w:val="0"/>
              <w:spacing w:after="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Alt1: Apple, Qualcomm</w:t>
            </w:r>
            <w:r w:rsidR="00BA2050">
              <w:rPr>
                <w:rFonts w:ascii="Times New Roman" w:eastAsia="等线" w:hAnsi="Times New Roman" w:cs="Times New Roman"/>
                <w:b/>
                <w:color w:val="3333FF"/>
                <w:szCs w:val="18"/>
                <w:lang w:eastAsia="zh-CN"/>
              </w:rPr>
              <w:t>, CATT</w:t>
            </w:r>
            <w:r w:rsidR="00F81442">
              <w:rPr>
                <w:rFonts w:ascii="Times New Roman" w:eastAsia="等线" w:hAnsi="Times New Roman" w:cs="Times New Roman"/>
                <w:b/>
                <w:color w:val="3333FF"/>
                <w:szCs w:val="18"/>
                <w:lang w:eastAsia="zh-CN"/>
              </w:rPr>
              <w:t>, NTT Docomo</w:t>
            </w:r>
            <w:r w:rsidR="002E69AC">
              <w:rPr>
                <w:rFonts w:ascii="Times New Roman" w:eastAsia="等线" w:hAnsi="Times New Roman" w:cs="Times New Roman"/>
                <w:b/>
                <w:color w:val="3333FF"/>
                <w:szCs w:val="18"/>
                <w:lang w:eastAsia="zh-CN"/>
              </w:rPr>
              <w:t>, CMCC</w:t>
            </w:r>
          </w:p>
          <w:p w14:paraId="37001CEC" w14:textId="7024B6B6" w:rsidR="003B3DFD" w:rsidRPr="001115C3" w:rsidRDefault="00560F5D" w:rsidP="003B3DFD">
            <w:pPr>
              <w:pStyle w:val="a3"/>
              <w:numPr>
                <w:ilvl w:val="0"/>
                <w:numId w:val="53"/>
              </w:numPr>
              <w:snapToGrid w:val="0"/>
              <w:spacing w:after="0"/>
              <w:rPr>
                <w:rFonts w:ascii="Times New Roman" w:eastAsia="等线" w:hAnsi="Times New Roman" w:cs="Times New Roman"/>
                <w:b/>
                <w:color w:val="3333FF"/>
                <w:szCs w:val="18"/>
                <w:lang w:val="de-DE" w:eastAsia="zh-CN"/>
              </w:rPr>
            </w:pPr>
            <w:r w:rsidRPr="001115C3">
              <w:rPr>
                <w:rFonts w:ascii="Times New Roman" w:eastAsia="等线" w:hAnsi="Times New Roman" w:cs="Times New Roman"/>
                <w:b/>
                <w:color w:val="3333FF"/>
                <w:szCs w:val="18"/>
                <w:lang w:val="de-DE" w:eastAsia="zh-CN"/>
              </w:rPr>
              <w:t>A</w:t>
            </w:r>
            <w:r w:rsidR="003B3DFD" w:rsidRPr="001115C3">
              <w:rPr>
                <w:rFonts w:ascii="Times New Roman" w:eastAsia="等线" w:hAnsi="Times New Roman" w:cs="Times New Roman"/>
                <w:b/>
                <w:color w:val="3333FF"/>
                <w:szCs w:val="18"/>
                <w:lang w:val="de-DE" w:eastAsia="zh-CN"/>
              </w:rPr>
              <w:t>l</w:t>
            </w:r>
            <w:r w:rsidRPr="001115C3">
              <w:rPr>
                <w:rFonts w:ascii="Times New Roman" w:eastAsia="等线" w:hAnsi="Times New Roman" w:cs="Times New Roman"/>
                <w:b/>
                <w:color w:val="3333FF"/>
                <w:szCs w:val="18"/>
                <w:lang w:val="de-DE" w:eastAsia="zh-CN"/>
              </w:rPr>
              <w:t>t</w:t>
            </w:r>
            <w:r w:rsidR="003B3DFD" w:rsidRPr="001115C3">
              <w:rPr>
                <w:rFonts w:ascii="Times New Roman" w:eastAsia="等线" w:hAnsi="Times New Roman" w:cs="Times New Roman"/>
                <w:b/>
                <w:color w:val="3333FF"/>
                <w:szCs w:val="18"/>
                <w:lang w:val="de-DE" w:eastAsia="zh-CN"/>
              </w:rPr>
              <w:t>2: Apple, Samsung, ZTE, MTK, Qualcomm</w:t>
            </w:r>
          </w:p>
          <w:p w14:paraId="1A62612E" w14:textId="51C8D7E2" w:rsidR="003B3DFD" w:rsidRPr="009C4A8D" w:rsidRDefault="003B3DFD" w:rsidP="003B3DFD">
            <w:pPr>
              <w:pStyle w:val="a3"/>
              <w:numPr>
                <w:ilvl w:val="0"/>
                <w:numId w:val="53"/>
              </w:numPr>
              <w:snapToGrid w:val="0"/>
              <w:spacing w:after="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Alt3: Samsung, LG</w:t>
            </w:r>
            <w:r w:rsidR="00F81442">
              <w:rPr>
                <w:rFonts w:ascii="Times New Roman" w:eastAsia="等线"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Opt2A. Reporting at least {SSBRI(s)/CRI(s)} (beam/panel level)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are preferred for UL transmission in NW-initiated CSI-report on PUCCH/</w:t>
            </w:r>
            <w:proofErr w:type="gramStart"/>
            <w:r w:rsidRPr="00CD6CCB">
              <w:rPr>
                <w:rFonts w:ascii="Times New Roman" w:hAnsi="Times New Roman" w:cs="Times New Roman"/>
                <w:sz w:val="20"/>
              </w:rPr>
              <w:t>PUSCH</w:t>
            </w:r>
            <w:proofErr w:type="gramEnd"/>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 xml:space="preserve">alculated </w:t>
            </w:r>
            <w:proofErr w:type="gramStart"/>
            <w:r w:rsidR="00536122">
              <w:rPr>
                <w:rFonts w:ascii="Times New Roman" w:hAnsi="Times New Roman" w:cs="Times New Roman"/>
                <w:sz w:val="20"/>
              </w:rPr>
              <w:t>with regard to</w:t>
            </w:r>
            <w:proofErr w:type="gramEnd"/>
            <w:r w:rsidR="00536122">
              <w:rPr>
                <w:rFonts w:ascii="Times New Roman" w:hAnsi="Times New Roman" w:cs="Times New Roman"/>
                <w:sz w:val="20"/>
              </w:rPr>
              <w:t xml:space="preserve">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 xml:space="preserve">FFS: Whether/how to support connection for opt1A and opt2A, </w:t>
            </w:r>
            <w:proofErr w:type="gramStart"/>
            <w:r>
              <w:rPr>
                <w:rFonts w:ascii="Times New Roman" w:hAnsi="Times New Roman" w:cs="Times New Roman"/>
                <w:sz w:val="20"/>
              </w:rPr>
              <w:t>e.g.</w:t>
            </w:r>
            <w:proofErr w:type="gramEnd"/>
            <w:r>
              <w:rPr>
                <w:rFonts w:ascii="Times New Roman" w:hAnsi="Times New Roman" w:cs="Times New Roman"/>
                <w:sz w:val="20"/>
              </w:rPr>
              <w:t xml:space="preserve">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both Opt1A and Opt2A. Prefer to remove at least one </w:t>
            </w:r>
            <w:proofErr w:type="gramStart"/>
            <w:r>
              <w:rPr>
                <w:rFonts w:ascii="Times New Roman" w:eastAsia="PMingLiU" w:hAnsi="Times New Roman" w:cs="Times New Roman"/>
                <w:sz w:val="18"/>
                <w:szCs w:val="18"/>
                <w:lang w:eastAsia="zh-TW"/>
              </w:rPr>
              <w:t>alternatives</w:t>
            </w:r>
            <w:proofErr w:type="gramEnd"/>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w:t>
            </w:r>
            <w:proofErr w:type="gramStart"/>
            <w:r>
              <w:rPr>
                <w:rFonts w:ascii="Times New Roman" w:hAnsi="Times New Roman" w:cs="Times New Roman"/>
                <w:sz w:val="18"/>
                <w:szCs w:val="18"/>
                <w:lang w:eastAsia="zh-CN"/>
              </w:rPr>
              <w:t>1</w:t>
            </w:r>
            <w:proofErr w:type="gramEnd"/>
            <w:r>
              <w:rPr>
                <w:rFonts w:ascii="Times New Roman" w:hAnsi="Times New Roman" w:cs="Times New Roman"/>
                <w:sz w:val="18"/>
                <w:szCs w:val="18"/>
                <w:lang w:eastAsia="zh-CN"/>
              </w:rPr>
              <w:t xml:space="preserve"> and second preference is Alt.3. Meanwhile we think supporting more than one </w:t>
            </w:r>
            <w:proofErr w:type="gramStart"/>
            <w:r>
              <w:rPr>
                <w:rFonts w:ascii="Times New Roman" w:hAnsi="Times New Roman" w:cs="Times New Roman"/>
                <w:sz w:val="18"/>
                <w:szCs w:val="18"/>
                <w:lang w:eastAsia="zh-CN"/>
              </w:rPr>
              <w:t>alternatives</w:t>
            </w:r>
            <w:proofErr w:type="gramEnd"/>
            <w:r>
              <w:rPr>
                <w:rFonts w:ascii="Times New Roman" w:hAnsi="Times New Roman" w:cs="Times New Roman"/>
                <w:sz w:val="18"/>
                <w:szCs w:val="18"/>
                <w:lang w:eastAsia="zh-CN"/>
              </w:rPr>
              <w:t xml:space="preserve">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89" w:author="Eko Onggosanusi" w:date="2021-05-27T03:28:00Z">
              <w:r>
                <w:rPr>
                  <w:rFonts w:ascii="Times New Roman" w:eastAsia="PMingLiU" w:hAnsi="Times New Roman" w:cs="Times New Roman"/>
                  <w:sz w:val="18"/>
                  <w:szCs w:val="18"/>
                  <w:lang w:eastAsia="zh-TW"/>
                </w:rPr>
                <w:t xml:space="preserve">[Mod: Since only 3 meetings are left, supporting more than one options </w:t>
              </w:r>
              <w:proofErr w:type="gramStart"/>
              <w:r>
                <w:rPr>
                  <w:rFonts w:ascii="Times New Roman" w:eastAsia="PMingLiU" w:hAnsi="Times New Roman" w:cs="Times New Roman"/>
                  <w:sz w:val="18"/>
                  <w:szCs w:val="18"/>
                  <w:lang w:eastAsia="zh-TW"/>
                </w:rPr>
                <w:t>doesn’t</w:t>
              </w:r>
              <w:proofErr w:type="gramEnd"/>
              <w:r>
                <w:rPr>
                  <w:rFonts w:ascii="Times New Roman" w:eastAsia="PMingLiU" w:hAnsi="Times New Roman" w:cs="Times New Roman"/>
                  <w:sz w:val="18"/>
                  <w:szCs w:val="18"/>
                  <w:lang w:eastAsia="zh-TW"/>
                </w:rPr>
                <w:t xml:space="preserve">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w:t>
            </w:r>
            <w:proofErr w:type="spellStart"/>
            <w:r>
              <w:rPr>
                <w:rFonts w:ascii="Times New Roman" w:eastAsia="PMingLiU" w:hAnsi="Times New Roman" w:cs="Times New Roman"/>
                <w:sz w:val="18"/>
                <w:szCs w:val="18"/>
                <w:lang w:eastAsia="zh-CN"/>
              </w:rPr>
              <w:t>gNB</w:t>
            </w:r>
            <w:proofErr w:type="spellEnd"/>
            <w:r>
              <w:rPr>
                <w:rFonts w:ascii="Times New Roman" w:eastAsia="PMingLiU" w:hAnsi="Times New Roman" w:cs="Times New Roman"/>
                <w:sz w:val="18"/>
                <w:szCs w:val="18"/>
                <w:lang w:eastAsia="zh-CN"/>
              </w:rPr>
              <w:t xml:space="preserve"> may </w:t>
            </w:r>
            <w:proofErr w:type="gramStart"/>
            <w:r>
              <w:rPr>
                <w:rFonts w:ascii="Times New Roman" w:eastAsia="PMingLiU" w:hAnsi="Times New Roman" w:cs="Times New Roman"/>
                <w:sz w:val="18"/>
                <w:szCs w:val="18"/>
                <w:lang w:eastAsia="zh-CN"/>
              </w:rPr>
              <w:t>don’t</w:t>
            </w:r>
            <w:proofErr w:type="gramEnd"/>
            <w:r>
              <w:rPr>
                <w:rFonts w:ascii="Times New Roman" w:eastAsia="PMingLiU" w:hAnsi="Times New Roman" w:cs="Times New Roman"/>
                <w:sz w:val="18"/>
                <w:szCs w:val="18"/>
                <w:lang w:eastAsia="zh-CN"/>
              </w:rPr>
              <w:t xml:space="preserve"> know which beam can be used for UL transmission. But we think </w:t>
            </w:r>
            <w:proofErr w:type="gramStart"/>
            <w:r>
              <w:rPr>
                <w:rFonts w:ascii="Times New Roman" w:eastAsia="PMingLiU" w:hAnsi="Times New Roman" w:cs="Times New Roman"/>
                <w:sz w:val="18"/>
                <w:szCs w:val="18"/>
                <w:lang w:eastAsia="zh-CN"/>
              </w:rPr>
              <w:t>in order to</w:t>
            </w:r>
            <w:proofErr w:type="gramEnd"/>
            <w:r>
              <w:rPr>
                <w:rFonts w:ascii="Times New Roman" w:eastAsia="PMingLiU" w:hAnsi="Times New Roman" w:cs="Times New Roman"/>
                <w:sz w:val="18"/>
                <w:szCs w:val="18"/>
                <w:lang w:eastAsia="zh-CN"/>
              </w:rPr>
              <w:t xml:space="preserve">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 xml:space="preserve">reporting SSBRI(s)/CRI(s) to indicate </w:t>
            </w:r>
            <w:proofErr w:type="spellStart"/>
            <w:r w:rsidRPr="009329BF">
              <w:rPr>
                <w:rFonts w:ascii="Times New Roman" w:eastAsia="PMingLiU" w:hAnsi="Times New Roman" w:cs="Times New Roman"/>
                <w:sz w:val="18"/>
                <w:szCs w:val="18"/>
                <w:lang w:eastAsia="zh-CN"/>
              </w:rPr>
              <w:t>gNB</w:t>
            </w:r>
            <w:proofErr w:type="spellEnd"/>
            <w:r w:rsidRPr="009329BF">
              <w:rPr>
                <w:rFonts w:ascii="Times New Roman" w:eastAsia="PMingLiU" w:hAnsi="Times New Roman" w:cs="Times New Roman"/>
                <w:sz w:val="18"/>
                <w:szCs w:val="18"/>
                <w:lang w:eastAsia="zh-CN"/>
              </w:rPr>
              <w:t xml:space="preserve">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90" w:author="Eko Onggosanusi" w:date="2021-05-27T03:30:00Z">
              <w:r>
                <w:rPr>
                  <w:rFonts w:ascii="Times New Roman" w:hAnsi="Times New Roman" w:cs="Times New Roman"/>
                  <w:sz w:val="18"/>
                  <w:szCs w:val="18"/>
                  <w:lang w:eastAsia="zh-CN"/>
                </w:rPr>
                <w:t xml:space="preserve">[Mod: I will let the </w:t>
              </w:r>
              <w:proofErr w:type="gramStart"/>
              <w:r>
                <w:rPr>
                  <w:rFonts w:ascii="Times New Roman" w:hAnsi="Times New Roman" w:cs="Times New Roman"/>
                  <w:sz w:val="18"/>
                  <w:szCs w:val="18"/>
                  <w:lang w:eastAsia="zh-CN"/>
                </w:rPr>
                <w:t>proponents</w:t>
              </w:r>
              <w:proofErr w:type="gramEnd"/>
              <w:r>
                <w:rPr>
                  <w:rFonts w:ascii="Times New Roman" w:hAnsi="Times New Roman" w:cs="Times New Roman"/>
                  <w:sz w:val="18"/>
                  <w:szCs w:val="18"/>
                  <w:lang w:eastAsia="zh-CN"/>
                </w:rPr>
                <w:t xml:space="preserve"> answer</w:t>
              </w:r>
            </w:ins>
            <w:ins w:id="91" w:author="Eko Onggosanusi" w:date="2021-05-27T03:51:00Z">
              <w:r w:rsidR="00B652DF">
                <w:rPr>
                  <w:rFonts w:ascii="Times New Roman" w:hAnsi="Times New Roman" w:cs="Times New Roman"/>
                  <w:sz w:val="18"/>
                  <w:szCs w:val="18"/>
                  <w:lang w:eastAsia="zh-CN"/>
                </w:rPr>
                <w:t>.</w:t>
              </w:r>
            </w:ins>
            <w:ins w:id="92"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w:t>
            </w:r>
            <w:proofErr w:type="gramStart"/>
            <w:r>
              <w:rPr>
                <w:rFonts w:ascii="Times New Roman" w:eastAsia="PMingLiU" w:hAnsi="Times New Roman" w:cs="Times New Roman"/>
                <w:sz w:val="18"/>
                <w:szCs w:val="18"/>
                <w:lang w:eastAsia="zh-TW"/>
              </w:rPr>
              <w:t>alt-1</w:t>
            </w:r>
            <w:proofErr w:type="gramEnd"/>
            <w:r>
              <w:rPr>
                <w:rFonts w:ascii="Times New Roman" w:eastAsia="PMingLiU" w:hAnsi="Times New Roman" w:cs="Times New Roman"/>
                <w:sz w:val="18"/>
                <w:szCs w:val="18"/>
                <w:lang w:eastAsia="zh-TW"/>
              </w:rPr>
              <w:t>)</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w:t>
            </w:r>
            <w:proofErr w:type="spellStart"/>
            <w:r>
              <w:rPr>
                <w:rFonts w:ascii="Times New Roman" w:hAnsi="Times New Roman" w:cs="Times New Roman"/>
                <w:sz w:val="18"/>
                <w:szCs w:val="18"/>
                <w:lang w:eastAsia="zh-CN"/>
              </w:rPr>
              <w:t>Opt</w:t>
            </w:r>
            <w:proofErr w:type="spellEnd"/>
            <w:r>
              <w:rPr>
                <w:rFonts w:ascii="Times New Roman" w:hAnsi="Times New Roman" w:cs="Times New Roman"/>
                <w:sz w:val="18"/>
                <w:szCs w:val="18"/>
                <w:lang w:eastAsia="zh-CN"/>
              </w:rPr>
              <w:t xml:space="preserve">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Convida</w:t>
            </w:r>
            <w:proofErr w:type="spellEnd"/>
            <w:r>
              <w:rPr>
                <w:rFonts w:ascii="Times New Roman" w:eastAsia="等线" w:hAnsi="Times New Roman" w:cs="Times New Roman"/>
                <w:sz w:val="18"/>
                <w:szCs w:val="18"/>
                <w:lang w:eastAsia="zh-CN"/>
              </w:rPr>
              <w:t xml:space="preserve">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proofErr w:type="gramStart"/>
            <w:r>
              <w:rPr>
                <w:rFonts w:ascii="Times New Roman" w:hAnsi="Times New Roman" w:cs="Times New Roman"/>
                <w:sz w:val="18"/>
                <w:szCs w:val="18"/>
                <w:lang w:eastAsia="zh-CN"/>
              </w:rPr>
              <w:t>Thanks Ericsson</w:t>
            </w:r>
            <w:proofErr w:type="gramEnd"/>
            <w:r>
              <w:rPr>
                <w:rFonts w:ascii="Times New Roman" w:hAnsi="Times New Roman" w:cs="Times New Roman"/>
                <w:sz w:val="18"/>
                <w:szCs w:val="18"/>
                <w:lang w:eastAsia="zh-CN"/>
              </w:rPr>
              <w:t xml:space="preserve">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However, we are not convinced. If panel information along with CRI/SSBRI can be reported based on MP-UE discussion, NW will know the available beams for each panel, and will not ‘switch back to bad </w:t>
            </w:r>
            <w:proofErr w:type="gramStart"/>
            <w:r>
              <w:rPr>
                <w:rFonts w:ascii="Times New Roman" w:hAnsi="Times New Roman" w:cs="Times New Roman"/>
                <w:sz w:val="18"/>
                <w:szCs w:val="18"/>
                <w:lang w:eastAsia="zh-CN"/>
              </w:rPr>
              <w:t>beams’</w:t>
            </w:r>
            <w:proofErr w:type="gramEnd"/>
            <w:r>
              <w:rPr>
                <w:rFonts w:ascii="Times New Roman" w:hAnsi="Times New Roman" w:cs="Times New Roman"/>
                <w:sz w:val="18"/>
                <w:szCs w:val="18"/>
                <w:lang w:eastAsia="zh-CN"/>
              </w:rPr>
              <w:t>.</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Mod </w:t>
            </w:r>
            <w:r w:rsidR="00070E49">
              <w:rPr>
                <w:rFonts w:ascii="Times New Roman" w:eastAsia="等线"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 xml:space="preserve">revised the </w:t>
            </w:r>
            <w:proofErr w:type="gramStart"/>
            <w:r w:rsidRPr="00951779">
              <w:rPr>
                <w:rFonts w:ascii="Times New Roman" w:eastAsia="PMingLiU" w:hAnsi="Times New Roman" w:cs="Times New Roman"/>
                <w:b/>
                <w:color w:val="3333FF"/>
                <w:sz w:val="18"/>
                <w:szCs w:val="18"/>
                <w:lang w:eastAsia="zh-TW"/>
              </w:rPr>
              <w:t>proposal</w:t>
            </w:r>
            <w:proofErr w:type="gramEnd"/>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a3"/>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 xml:space="preserve">Alt3 of Opt2A is removed since it has the fewest supporters. As more views are available, I may remove one of the Alt1 or </w:t>
            </w:r>
            <w:proofErr w:type="gramStart"/>
            <w:r>
              <w:rPr>
                <w:rFonts w:ascii="Times New Roman" w:eastAsia="PMingLiU" w:hAnsi="Times New Roman" w:cs="Times New Roman"/>
                <w:sz w:val="18"/>
                <w:szCs w:val="18"/>
                <w:lang w:eastAsia="zh-TW"/>
              </w:rPr>
              <w:t>Alt2</w:t>
            </w:r>
            <w:proofErr w:type="gramEnd"/>
          </w:p>
          <w:p w14:paraId="0B197871" w14:textId="50464BDF" w:rsidR="00975BE0" w:rsidRDefault="00975BE0" w:rsidP="00975BE0">
            <w:pPr>
              <w:pStyle w:val="a3"/>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等线"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 xml:space="preserve">For </w:t>
            </w:r>
            <w:proofErr w:type="spellStart"/>
            <w:r w:rsidRPr="00F019B2">
              <w:rPr>
                <w:rFonts w:ascii="Times New Roman" w:eastAsia="Malgun Gothic" w:hAnsi="Times New Roman" w:cs="Times New Roman"/>
                <w:sz w:val="18"/>
                <w:szCs w:val="18"/>
              </w:rPr>
              <w:t>Opt</w:t>
            </w:r>
            <w:proofErr w:type="spellEnd"/>
            <w:r w:rsidRPr="00F019B2">
              <w:rPr>
                <w:rFonts w:ascii="Times New Roman" w:eastAsia="Malgun Gothic" w:hAnsi="Times New Roman" w:cs="Times New Roman"/>
                <w:sz w:val="18"/>
                <w:szCs w:val="18"/>
              </w:rPr>
              <w:t xml:space="preserve">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hint="eastAsia"/>
                <w:sz w:val="18"/>
                <w:szCs w:val="18"/>
              </w:rPr>
              <w:t>Opt</w:t>
            </w:r>
            <w:proofErr w:type="spellEnd"/>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w:t>
            </w:r>
            <w:proofErr w:type="gramStart"/>
            <w:r w:rsidRPr="002A25E9">
              <w:rPr>
                <w:rFonts w:ascii="Times New Roman" w:eastAsia="PMingLiU" w:hAnsi="Times New Roman" w:cs="Times New Roman"/>
                <w:sz w:val="18"/>
                <w:szCs w:val="18"/>
                <w:lang w:eastAsia="zh-TW"/>
              </w:rPr>
              <w:t>i.e.</w:t>
            </w:r>
            <w:proofErr w:type="gramEnd"/>
            <w:r w:rsidRPr="002A25E9">
              <w:rPr>
                <w:rFonts w:ascii="Times New Roman" w:eastAsia="PMingLiU" w:hAnsi="Times New Roman" w:cs="Times New Roman"/>
                <w:sz w:val="18"/>
                <w:szCs w:val="18"/>
                <w:lang w:eastAsia="zh-TW"/>
              </w:rPr>
              <w:t xml:space="preserv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w:t>
            </w:r>
            <w:proofErr w:type="gramStart"/>
            <w:r w:rsidRPr="002A25E9">
              <w:rPr>
                <w:rFonts w:ascii="Times New Roman" w:eastAsia="PMingLiU" w:hAnsi="Times New Roman" w:cs="Times New Roman"/>
                <w:sz w:val="18"/>
                <w:szCs w:val="18"/>
                <w:lang w:eastAsia="zh-TW"/>
              </w:rPr>
              <w:t>e.g.</w:t>
            </w:r>
            <w:proofErr w:type="gramEnd"/>
            <w:r w:rsidRPr="002A25E9">
              <w:rPr>
                <w:rFonts w:ascii="Times New Roman" w:eastAsia="PMingLiU" w:hAnsi="Times New Roman" w:cs="Times New Roman"/>
                <w:sz w:val="18"/>
                <w:szCs w:val="18"/>
                <w:lang w:eastAsia="zh-TW"/>
              </w:rPr>
              <w:t xml:space="preserve">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a3"/>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a3"/>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proofErr w:type="gramStart"/>
            <w:r>
              <w:rPr>
                <w:rFonts w:ascii="Times New Roman" w:eastAsia="PMingLiU" w:hAnsi="Times New Roman" w:cs="Times New Roman"/>
                <w:sz w:val="18"/>
                <w:szCs w:val="18"/>
                <w:lang w:eastAsia="zh-TW"/>
              </w:rPr>
              <w:t>It would seem that decision</w:t>
            </w:r>
            <w:proofErr w:type="gramEnd"/>
            <w:r>
              <w:rPr>
                <w:rFonts w:ascii="Times New Roman" w:eastAsia="PMingLiU" w:hAnsi="Times New Roman" w:cs="Times New Roman"/>
                <w:sz w:val="18"/>
                <w:szCs w:val="18"/>
                <w:lang w:eastAsia="zh-TW"/>
              </w:rPr>
              <w:t xml:space="preserve">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9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9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9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9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Opt2A. Reporting at least {SSBRI(s)/CRI(s)} (beam/panel level) to indicate </w:t>
            </w:r>
            <w:proofErr w:type="spellStart"/>
            <w:r w:rsidRPr="00CD6CCB">
              <w:rPr>
                <w:rFonts w:ascii="Times New Roman" w:hAnsi="Times New Roman" w:cs="Times New Roman"/>
                <w:sz w:val="20"/>
              </w:rPr>
              <w:t>gNB</w:t>
            </w:r>
            <w:proofErr w:type="spellEnd"/>
            <w:r w:rsidRPr="00CD6CCB">
              <w:rPr>
                <w:rFonts w:ascii="Times New Roman" w:hAnsi="Times New Roman" w:cs="Times New Roman"/>
                <w:sz w:val="20"/>
              </w:rPr>
              <w:t xml:space="preserve"> beam(s) that are preferred for UL transmission in NW-initiated CSI-report on PUCCH/</w:t>
            </w:r>
            <w:proofErr w:type="gramStart"/>
            <w:r w:rsidRPr="00CD6CCB">
              <w:rPr>
                <w:rFonts w:ascii="Times New Roman" w:hAnsi="Times New Roman" w:cs="Times New Roman"/>
                <w:sz w:val="20"/>
              </w:rPr>
              <w:t>PUSCH</w:t>
            </w:r>
            <w:proofErr w:type="gramEnd"/>
          </w:p>
          <w:p w14:paraId="17212AA8" w14:textId="77777777" w:rsidR="00E77C1E" w:rsidRDefault="00E77C1E" w:rsidP="00E77C1E">
            <w:pPr>
              <w:numPr>
                <w:ilvl w:val="1"/>
                <w:numId w:val="32"/>
              </w:numPr>
              <w:snapToGrid w:val="0"/>
              <w:jc w:val="both"/>
              <w:rPr>
                <w:ins w:id="97" w:author="Claes Tidestav" w:date="2021-05-27T11:55:00Z"/>
                <w:rFonts w:ascii="Times New Roman" w:hAnsi="Times New Roman" w:cs="Times New Roman"/>
                <w:sz w:val="20"/>
              </w:rPr>
            </w:pPr>
            <w:ins w:id="98" w:author="Claes Tidestav" w:date="2021-05-27T11:53:00Z">
              <w:r>
                <w:rPr>
                  <w:rFonts w:ascii="Times New Roman" w:hAnsi="Times New Roman" w:cs="Times New Roman"/>
                  <w:sz w:val="20"/>
                </w:rPr>
                <w:t xml:space="preserve">In RAN1#106-e, decide if </w:t>
              </w:r>
            </w:ins>
            <w:proofErr w:type="spellStart"/>
            <w:ins w:id="99" w:author="Claes Tidestav" w:date="2021-05-27T11:54:00Z">
              <w:r>
                <w:rPr>
                  <w:rFonts w:ascii="Times New Roman" w:hAnsi="Times New Roman" w:cs="Times New Roman"/>
                  <w:sz w:val="20"/>
                </w:rPr>
                <w:t>gNB</w:t>
              </w:r>
              <w:proofErr w:type="spellEnd"/>
              <w:r>
                <w:rPr>
                  <w:rFonts w:ascii="Times New Roman" w:hAnsi="Times New Roman" w:cs="Times New Roman"/>
                  <w:sz w:val="20"/>
                </w:rPr>
                <w:t xml:space="preserve"> beams that are preferred for DL transmission should also be included in the </w:t>
              </w:r>
            </w:ins>
            <w:ins w:id="100" w:author="Claes Tidestav" w:date="2021-05-27T11:56:00Z">
              <w:r>
                <w:rPr>
                  <w:rFonts w:ascii="Times New Roman" w:hAnsi="Times New Roman" w:cs="Times New Roman"/>
                  <w:sz w:val="20"/>
                </w:rPr>
                <w:t xml:space="preserve">same reporting instance of the </w:t>
              </w:r>
            </w:ins>
            <w:ins w:id="101" w:author="Claes Tidestav" w:date="2021-05-27T11:54:00Z">
              <w:r>
                <w:rPr>
                  <w:rFonts w:ascii="Times New Roman" w:hAnsi="Times New Roman" w:cs="Times New Roman"/>
                  <w:sz w:val="20"/>
                </w:rPr>
                <w:t>NW-initiated CSI-report on P</w:t>
              </w:r>
            </w:ins>
            <w:ins w:id="102" w:author="Claes Tidestav" w:date="2021-05-27T11:55:00Z">
              <w:r>
                <w:rPr>
                  <w:rFonts w:ascii="Times New Roman" w:hAnsi="Times New Roman" w:cs="Times New Roman"/>
                  <w:sz w:val="20"/>
                </w:rPr>
                <w:t>UCCH/</w:t>
              </w:r>
              <w:proofErr w:type="gramStart"/>
              <w:r>
                <w:rPr>
                  <w:rFonts w:ascii="Times New Roman" w:hAnsi="Times New Roman" w:cs="Times New Roman"/>
                  <w:sz w:val="20"/>
                </w:rPr>
                <w:t>PUSCH</w:t>
              </w:r>
              <w:proofErr w:type="gramEnd"/>
            </w:ins>
          </w:p>
          <w:p w14:paraId="6E6E1FCF" w14:textId="77777777" w:rsidR="00E77C1E" w:rsidRDefault="00E77C1E" w:rsidP="00E77C1E">
            <w:pPr>
              <w:numPr>
                <w:ilvl w:val="1"/>
                <w:numId w:val="32"/>
              </w:numPr>
              <w:snapToGrid w:val="0"/>
              <w:jc w:val="both"/>
              <w:rPr>
                <w:ins w:id="103" w:author="Claes Tidestav" w:date="2021-05-27T11:53:00Z"/>
                <w:rFonts w:ascii="Times New Roman" w:hAnsi="Times New Roman" w:cs="Times New Roman"/>
                <w:sz w:val="20"/>
              </w:rPr>
            </w:pPr>
            <w:ins w:id="104" w:author="Claes Tidestav" w:date="2021-05-27T11:55:00Z">
              <w:r>
                <w:rPr>
                  <w:rFonts w:ascii="Times New Roman" w:hAnsi="Times New Roman" w:cs="Times New Roman"/>
                  <w:sz w:val="20"/>
                </w:rPr>
                <w:t xml:space="preserve">In RAN1#106-e, decide on </w:t>
              </w:r>
            </w:ins>
            <w:ins w:id="105" w:author="Claes Tidestav" w:date="2021-05-27T11:56:00Z">
              <w:r>
                <w:rPr>
                  <w:rFonts w:ascii="Times New Roman" w:hAnsi="Times New Roman" w:cs="Times New Roman"/>
                  <w:sz w:val="20"/>
                </w:rPr>
                <w:t xml:space="preserve">the </w:t>
              </w:r>
            </w:ins>
            <w:ins w:id="106" w:author="Claes Tidestav" w:date="2021-05-27T11:55:00Z">
              <w:r>
                <w:rPr>
                  <w:rFonts w:ascii="Times New Roman" w:hAnsi="Times New Roman" w:cs="Times New Roman"/>
                  <w:sz w:val="20"/>
                </w:rPr>
                <w:t xml:space="preserve">reporting content </w:t>
              </w:r>
            </w:ins>
            <w:ins w:id="107" w:author="Claes Tidestav" w:date="2021-05-27T11:56:00Z">
              <w:r>
                <w:rPr>
                  <w:rFonts w:ascii="Times New Roman" w:hAnsi="Times New Roman" w:cs="Times New Roman"/>
                  <w:sz w:val="20"/>
                </w:rPr>
                <w:t>of the NW-initiated CSI-report on PU</w:t>
              </w:r>
            </w:ins>
            <w:ins w:id="108" w:author="Claes Tidestav" w:date="2021-05-27T11:57:00Z">
              <w:r>
                <w:rPr>
                  <w:rFonts w:ascii="Times New Roman" w:hAnsi="Times New Roman" w:cs="Times New Roman"/>
                  <w:sz w:val="20"/>
                </w:rPr>
                <w:t>CCH/PUSCH related to the beam</w:t>
              </w:r>
            </w:ins>
            <w:ins w:id="109" w:author="Claes Tidestav" w:date="2021-05-27T11:58:00Z">
              <w:r>
                <w:rPr>
                  <w:rFonts w:ascii="Times New Roman" w:hAnsi="Times New Roman" w:cs="Times New Roman"/>
                  <w:sz w:val="20"/>
                </w:rPr>
                <w:t xml:space="preserve">(s) that are preferred for UL </w:t>
              </w:r>
              <w:proofErr w:type="gramStart"/>
              <w:r>
                <w:rPr>
                  <w:rFonts w:ascii="Times New Roman" w:hAnsi="Times New Roman" w:cs="Times New Roman"/>
                  <w:sz w:val="20"/>
                </w:rPr>
                <w:t>transmission</w:t>
              </w:r>
            </w:ins>
            <w:proofErr w:type="gramEnd"/>
          </w:p>
          <w:p w14:paraId="11C72B8F" w14:textId="77777777" w:rsidR="00E77C1E" w:rsidRPr="00CD6CCB" w:rsidDel="00796B11" w:rsidRDefault="00E77C1E" w:rsidP="00E77C1E">
            <w:pPr>
              <w:numPr>
                <w:ilvl w:val="1"/>
                <w:numId w:val="32"/>
              </w:numPr>
              <w:snapToGrid w:val="0"/>
              <w:jc w:val="both"/>
              <w:rPr>
                <w:del w:id="110" w:author="Claes Tidestav" w:date="2021-05-27T11:53:00Z"/>
                <w:rFonts w:ascii="Times New Roman" w:hAnsi="Times New Roman" w:cs="Times New Roman"/>
                <w:sz w:val="20"/>
              </w:rPr>
            </w:pPr>
            <w:del w:id="111"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12" w:author="Claes Tidestav" w:date="2021-05-27T11:53:00Z"/>
                <w:rFonts w:ascii="Times New Roman" w:hAnsi="Times New Roman" w:cs="Times New Roman"/>
                <w:sz w:val="20"/>
              </w:rPr>
            </w:pPr>
            <w:del w:id="113"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14" w:author="Claes Tidestav" w:date="2021-05-27T11:53:00Z"/>
                <w:rFonts w:ascii="Times New Roman" w:hAnsi="Times New Roman" w:cs="Times New Roman"/>
                <w:sz w:val="20"/>
              </w:rPr>
            </w:pPr>
            <w:del w:id="115"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16" w:author="Claes Tidestav" w:date="2021-05-27T11:53:00Z"/>
                <w:rFonts w:ascii="Times New Roman" w:hAnsi="Times New Roman" w:cs="Times New Roman"/>
                <w:sz w:val="20"/>
              </w:rPr>
            </w:pPr>
            <w:del w:id="117" w:author="Claes Tidestav" w:date="2021-05-27T11:53:00Z">
              <w:r w:rsidRPr="00CD6CCB" w:rsidDel="00796B11">
                <w:rPr>
                  <w:rFonts w:ascii="Times New Roman" w:hAnsi="Times New Roman" w:cs="Times New Roman"/>
                  <w:sz w:val="20"/>
                </w:rPr>
                <w:lastRenderedPageBreak/>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18" w:author="Claes Tidestav" w:date="2021-05-27T11:53:00Z"/>
                <w:rFonts w:ascii="Times New Roman" w:hAnsi="Times New Roman" w:cs="Times New Roman"/>
                <w:sz w:val="20"/>
              </w:rPr>
            </w:pPr>
            <w:del w:id="119"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20" w:author="Claes Tidestav" w:date="2021-05-27T11:53:00Z"/>
                <w:rFonts w:ascii="Times New Roman" w:hAnsi="Times New Roman" w:cs="Times New Roman"/>
                <w:sz w:val="20"/>
              </w:rPr>
            </w:pPr>
            <w:del w:id="121"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22" w:author="Claes Tidestav" w:date="2021-05-27T11:53:00Z"/>
                <w:rFonts w:ascii="Times New Roman" w:hAnsi="Times New Roman" w:cs="Times New Roman"/>
                <w:sz w:val="20"/>
              </w:rPr>
            </w:pPr>
            <w:del w:id="123"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24" w:author="Eko Onggosanusi" w:date="2021-05-27T03:26:00Z"/>
                <w:rFonts w:ascii="Times New Roman" w:hAnsi="Times New Roman" w:cs="Times New Roman"/>
                <w:sz w:val="20"/>
              </w:rPr>
            </w:pPr>
            <w:del w:id="12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26" w:author="Eko Onggosanusi" w:date="2021-05-27T03:26:00Z"/>
                <w:rFonts w:ascii="Times New Roman" w:hAnsi="Times New Roman" w:cs="Times New Roman"/>
                <w:sz w:val="20"/>
              </w:rPr>
            </w:pPr>
            <w:del w:id="12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28" w:author="Eko Onggosanusi" w:date="2021-05-27T03:26:00Z"/>
                <w:rFonts w:ascii="Times New Roman" w:hAnsi="Times New Roman" w:cs="Times New Roman"/>
                <w:sz w:val="20"/>
              </w:rPr>
            </w:pPr>
            <w:del w:id="12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30"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To </w:t>
            </w:r>
            <w:proofErr w:type="spellStart"/>
            <w:r>
              <w:rPr>
                <w:rFonts w:ascii="Times New Roman" w:eastAsia="PMingLiU" w:hAnsi="Times New Roman" w:cs="Times New Roman"/>
                <w:sz w:val="18"/>
                <w:szCs w:val="18"/>
                <w:lang w:eastAsia="zh-TW"/>
              </w:rPr>
              <w:t>Spreadtrum</w:t>
            </w:r>
            <w:proofErr w:type="spellEnd"/>
            <w:r>
              <w:rPr>
                <w:rFonts w:ascii="Times New Roman" w:eastAsia="PMingLiU" w:hAnsi="Times New Roman" w:cs="Times New Roman"/>
                <w:sz w:val="18"/>
                <w:szCs w:val="18"/>
                <w:lang w:eastAsia="zh-TW"/>
              </w:rPr>
              <w:t>: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 xml:space="preserve">ecide if </w:t>
            </w:r>
            <w:proofErr w:type="spellStart"/>
            <w:r w:rsidRPr="004F2EDE">
              <w:rPr>
                <w:rFonts w:ascii="Times New Roman" w:eastAsia="PMingLiU" w:hAnsi="Times New Roman" w:cs="Times New Roman"/>
                <w:sz w:val="18"/>
                <w:szCs w:val="18"/>
                <w:lang w:eastAsia="zh-TW"/>
              </w:rPr>
              <w:t>gNB</w:t>
            </w:r>
            <w:proofErr w:type="spellEnd"/>
            <w:r w:rsidRPr="004F2EDE">
              <w:rPr>
                <w:rFonts w:ascii="Times New Roman" w:eastAsia="PMingLiU" w:hAnsi="Times New Roman" w:cs="Times New Roman"/>
                <w:sz w:val="18"/>
                <w:szCs w:val="18"/>
                <w:lang w:eastAsia="zh-TW"/>
              </w:rPr>
              <w:t xml:space="preserve"> beams that are preferred for DL transmission should also be included in the same reporting instance of the NW-initiated CSI-report on PUCCH/</w:t>
            </w:r>
            <w:proofErr w:type="gramStart"/>
            <w:r w:rsidRPr="004F2EDE">
              <w:rPr>
                <w:rFonts w:ascii="Times New Roman" w:eastAsia="PMingLiU" w:hAnsi="Times New Roman" w:cs="Times New Roman"/>
                <w:sz w:val="18"/>
                <w:szCs w:val="18"/>
                <w:lang w:eastAsia="zh-TW"/>
              </w:rPr>
              <w:t>PUSCH</w:t>
            </w:r>
            <w:proofErr w:type="gramEnd"/>
          </w:p>
          <w:p w14:paraId="1ACD8507" w14:textId="1A40EC27" w:rsidR="004F2EDE" w:rsidRDefault="004F2EDE" w:rsidP="004F2EDE">
            <w:pPr>
              <w:pStyle w:val="a3"/>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a3"/>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 xml:space="preserve">ecide on the reporting content of the NW-initiated CSI-report on PUCCH/PUSCH related to the beam(s) that are preferred for UL </w:t>
            </w:r>
            <w:proofErr w:type="gramStart"/>
            <w:r w:rsidRPr="004F2EDE">
              <w:rPr>
                <w:rFonts w:ascii="Times New Roman" w:eastAsia="PMingLiU" w:hAnsi="Times New Roman" w:cs="Times New Roman"/>
                <w:sz w:val="18"/>
                <w:szCs w:val="18"/>
                <w:lang w:eastAsia="zh-TW"/>
              </w:rPr>
              <w:t>transmission</w:t>
            </w:r>
            <w:proofErr w:type="gramEnd"/>
          </w:p>
          <w:p w14:paraId="61AC0D9A" w14:textId="77777777" w:rsidR="004F2EDE" w:rsidRDefault="004F2EDE" w:rsidP="004F2EDE">
            <w:pPr>
              <w:pStyle w:val="a3"/>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a3"/>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a3"/>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D770B5" w14:paraId="41C35A1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F49DC" w14:textId="7587266B" w:rsidR="00D770B5" w:rsidRDefault="00D770B5"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20D5" w14:textId="75B483FF" w:rsidR="00D770B5" w:rsidRDefault="00D770B5" w:rsidP="004F2ED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 xml:space="preserve">e have strong concerns on removing the simplest Option1D and complicate the issues unnecessarily. </w:t>
            </w:r>
            <w:proofErr w:type="gramStart"/>
            <w:r>
              <w:rPr>
                <w:rFonts w:ascii="Times New Roman" w:hAnsi="Times New Roman" w:cs="Times New Roman"/>
                <w:sz w:val="18"/>
                <w:szCs w:val="18"/>
                <w:lang w:eastAsia="zh-CN"/>
              </w:rPr>
              <w:t>Thus</w:t>
            </w:r>
            <w:proofErr w:type="gramEnd"/>
            <w:r>
              <w:rPr>
                <w:rFonts w:ascii="Times New Roman" w:hAnsi="Times New Roman" w:cs="Times New Roman"/>
                <w:sz w:val="18"/>
                <w:szCs w:val="18"/>
                <w:lang w:eastAsia="zh-CN"/>
              </w:rPr>
              <w:t xml:space="preserve"> we don’t support the FL proposal.</w:t>
            </w:r>
          </w:p>
          <w:p w14:paraId="786D55C6" w14:textId="77777777" w:rsidR="00D770B5" w:rsidRDefault="00D770B5" w:rsidP="004F2EDE">
            <w:pPr>
              <w:snapToGrid w:val="0"/>
              <w:jc w:val="both"/>
              <w:rPr>
                <w:rFonts w:ascii="Times New Roman" w:hAnsi="Times New Roman" w:cs="Times New Roman"/>
                <w:sz w:val="18"/>
                <w:szCs w:val="18"/>
                <w:lang w:eastAsia="zh-CN"/>
              </w:rPr>
            </w:pPr>
          </w:p>
          <w:p w14:paraId="5D9C4646" w14:textId="77777777" w:rsidR="00D770B5" w:rsidRDefault="00D770B5" w:rsidP="004F2ED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A614C92" w14:textId="17777A51" w:rsidR="00D770B5" w:rsidRPr="00D770B5" w:rsidRDefault="00D770B5" w:rsidP="004F2EDE">
            <w:pPr>
              <w:snapToGrid w:val="0"/>
              <w:jc w:val="both"/>
              <w:rPr>
                <w:rFonts w:ascii="Times New Roman" w:hAnsi="Times New Roman" w:cs="Times New Roman" w:hint="eastAsia"/>
                <w:sz w:val="18"/>
                <w:szCs w:val="18"/>
                <w:lang w:eastAsia="zh-CN"/>
              </w:rPr>
            </w:pP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等线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3A95" w14:textId="77777777" w:rsidR="00A47D63" w:rsidRDefault="00A47D63">
      <w:r>
        <w:separator/>
      </w:r>
    </w:p>
  </w:endnote>
  <w:endnote w:type="continuationSeparator" w:id="0">
    <w:p w14:paraId="7A1C128D" w14:textId="77777777" w:rsidR="00A47D63" w:rsidRDefault="00A4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6DD5" w14:textId="77777777" w:rsidR="00A47D63" w:rsidRDefault="00A47D63">
      <w:r>
        <w:rPr>
          <w:color w:val="000000"/>
        </w:rPr>
        <w:separator/>
      </w:r>
    </w:p>
  </w:footnote>
  <w:footnote w:type="continuationSeparator" w:id="0">
    <w:p w14:paraId="404222E3" w14:textId="77777777" w:rsidR="00A47D63" w:rsidRDefault="00A4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8"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9"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3"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2"/>
  </w:num>
  <w:num w:numId="4">
    <w:abstractNumId w:val="19"/>
  </w:num>
  <w:num w:numId="5">
    <w:abstractNumId w:val="36"/>
  </w:num>
  <w:num w:numId="6">
    <w:abstractNumId w:val="48"/>
  </w:num>
  <w:num w:numId="7">
    <w:abstractNumId w:val="8"/>
  </w:num>
  <w:num w:numId="8">
    <w:abstractNumId w:val="30"/>
  </w:num>
  <w:num w:numId="9">
    <w:abstractNumId w:val="37"/>
  </w:num>
  <w:num w:numId="10">
    <w:abstractNumId w:val="10"/>
  </w:num>
  <w:num w:numId="11">
    <w:abstractNumId w:val="26"/>
  </w:num>
  <w:num w:numId="12">
    <w:abstractNumId w:val="44"/>
  </w:num>
  <w:num w:numId="13">
    <w:abstractNumId w:val="37"/>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7"/>
  </w:num>
  <w:num w:numId="21">
    <w:abstractNumId w:val="32"/>
  </w:num>
  <w:num w:numId="22">
    <w:abstractNumId w:val="33"/>
  </w:num>
  <w:num w:numId="23">
    <w:abstractNumId w:val="28"/>
  </w:num>
  <w:num w:numId="24">
    <w:abstractNumId w:val="44"/>
  </w:num>
  <w:num w:numId="25">
    <w:abstractNumId w:val="40"/>
  </w:num>
  <w:num w:numId="26">
    <w:abstractNumId w:val="29"/>
  </w:num>
  <w:num w:numId="27">
    <w:abstractNumId w:val="3"/>
  </w:num>
  <w:num w:numId="28">
    <w:abstractNumId w:val="49"/>
  </w:num>
  <w:num w:numId="29">
    <w:abstractNumId w:val="13"/>
  </w:num>
  <w:num w:numId="30">
    <w:abstractNumId w:val="46"/>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2"/>
  </w:num>
  <w:num w:numId="38">
    <w:abstractNumId w:val="23"/>
  </w:num>
  <w:num w:numId="39">
    <w:abstractNumId w:val="17"/>
  </w:num>
  <w:num w:numId="40">
    <w:abstractNumId w:val="10"/>
  </w:num>
  <w:num w:numId="41">
    <w:abstractNumId w:val="5"/>
  </w:num>
  <w:num w:numId="42">
    <w:abstractNumId w:val="38"/>
  </w:num>
  <w:num w:numId="43">
    <w:abstractNumId w:val="37"/>
  </w:num>
  <w:num w:numId="44">
    <w:abstractNumId w:val="41"/>
  </w:num>
  <w:num w:numId="45">
    <w:abstractNumId w:val="34"/>
  </w:num>
  <w:num w:numId="46">
    <w:abstractNumId w:val="4"/>
  </w:num>
  <w:num w:numId="47">
    <w:abstractNumId w:val="27"/>
  </w:num>
  <w:num w:numId="48">
    <w:abstractNumId w:val="12"/>
  </w:num>
  <w:num w:numId="49">
    <w:abstractNumId w:val="39"/>
  </w:num>
  <w:num w:numId="50">
    <w:abstractNumId w:val="25"/>
  </w:num>
  <w:num w:numId="51">
    <w:abstractNumId w:val="24"/>
  </w:num>
  <w:num w:numId="52">
    <w:abstractNumId w:val="15"/>
  </w:num>
  <w:num w:numId="53">
    <w:abstractNumId w:val="6"/>
  </w:num>
  <w:num w:numId="54">
    <w:abstractNumId w:val="43"/>
  </w:num>
  <w:num w:numId="55">
    <w:abstractNumId w:val="11"/>
  </w:num>
  <w:num w:numId="56">
    <w:abstractNumId w:val="35"/>
  </w:num>
  <w:num w:numId="57">
    <w:abstractNumId w:val="31"/>
  </w:num>
  <w:num w:numId="58">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A9F"/>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D63"/>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22A"/>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B5"/>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22A"/>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link w:val="11"/>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1">
    <w:name w:val="批注文字 字符1"/>
    <w:basedOn w:val="a0"/>
    <w:link w:val="a5"/>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d">
    <w:name w:val="Strong"/>
    <w:basedOn w:val="a0"/>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DEC080-0498-4FC4-9B85-7D969038C2E8}">
  <ds:schemaRefs>
    <ds:schemaRef ds:uri="http://schemas.openxmlformats.org/officeDocument/2006/bibliography"/>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6072</Words>
  <Characters>34613</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8</cp:revision>
  <dcterms:created xsi:type="dcterms:W3CDTF">2021-05-27T13:21:00Z</dcterms:created>
  <dcterms:modified xsi:type="dcterms:W3CDTF">2021-05-27T14:55:00Z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