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wordWrap/>
        <w:spacing w:after="0"/>
        <w:rPr>
          <w:b/>
          <w:u w:val="single"/>
        </w:rPr>
      </w:pPr>
      <w:r>
        <w:rPr>
          <w:rFonts w:hint="eastAsia"/>
          <w:b/>
          <w:u w:val="single"/>
        </w:rPr>
        <w:t>Proposal for email thread topics for Rel-16 5G V2X maintenance</w:t>
      </w:r>
    </w:p>
    <w:p>
      <w:pPr>
        <w:kinsoku w:val="0"/>
        <w:wordWrap/>
        <w:spacing w:after="0"/>
      </w:pPr>
      <w:r>
        <w:rPr>
          <w:rFonts w:hint="eastAsia"/>
        </w:rPr>
        <w:t>Thread #1</w:t>
      </w:r>
    </w:p>
    <w:p>
      <w:pPr>
        <w:pStyle w:val="17"/>
        <w:numPr>
          <w:ilvl w:val="0"/>
          <w:numId w:val="2"/>
        </w:numPr>
        <w:kinsoku w:val="0"/>
        <w:wordWrap/>
        <w:spacing w:after="0"/>
        <w:ind w:leftChars="0"/>
      </w:pPr>
      <w:r>
        <w:t>Issue PS-1: PSSCH DMRS mapping</w:t>
      </w:r>
    </w:p>
    <w:p>
      <w:pPr>
        <w:kinsoku w:val="0"/>
        <w:wordWrap/>
        <w:spacing w:after="0"/>
      </w:pPr>
      <w:r>
        <w:rPr>
          <w:rFonts w:hint="eastAsia"/>
        </w:rPr>
        <w:t>Thread #</w:t>
      </w:r>
      <w:r>
        <w:t>2</w:t>
      </w:r>
    </w:p>
    <w:p>
      <w:pPr>
        <w:pStyle w:val="17"/>
        <w:numPr>
          <w:ilvl w:val="0"/>
          <w:numId w:val="2"/>
        </w:numPr>
        <w:kinsoku w:val="0"/>
        <w:wordWrap/>
        <w:spacing w:after="0"/>
        <w:ind w:leftChars="0"/>
      </w:pPr>
      <w:r>
        <w:t>Issue M1-1-1: SL HARQ-ACK reporting when SL FB is not used (considering LS in</w:t>
      </w:r>
      <w:r>
        <w:tab/>
      </w:r>
      <w:r>
        <w:t>R1-2104559)</w:t>
      </w:r>
    </w:p>
    <w:p>
      <w:pPr>
        <w:kinsoku w:val="0"/>
        <w:wordWrap/>
        <w:spacing w:after="0"/>
        <w:rPr>
          <w:rFonts w:eastAsia="Malgun Gothic"/>
        </w:rPr>
      </w:pPr>
      <w:r>
        <w:rPr>
          <w:rFonts w:hint="eastAsia" w:eastAsia="Malgun Gothic"/>
        </w:rPr>
        <w:t>Thread #3</w:t>
      </w:r>
    </w:p>
    <w:p>
      <w:pPr>
        <w:pStyle w:val="17"/>
        <w:numPr>
          <w:ilvl w:val="0"/>
          <w:numId w:val="2"/>
        </w:numPr>
        <w:kinsoku w:val="0"/>
        <w:wordWrap/>
        <w:spacing w:after="0"/>
        <w:ind w:leftChars="0"/>
        <w:rPr>
          <w:rFonts w:eastAsia="Malgun Gothic"/>
        </w:rPr>
      </w:pPr>
      <w:r>
        <w:rPr>
          <w:rFonts w:eastAsia="Malgun Gothic"/>
        </w:rPr>
        <w:t>Issue M1-2-1: Value of n_CI</w:t>
      </w:r>
    </w:p>
    <w:p>
      <w:pPr>
        <w:kinsoku w:val="0"/>
        <w:wordWrap/>
        <w:spacing w:after="0"/>
        <w:rPr>
          <w:rFonts w:eastAsia="Malgun Gothic"/>
        </w:rPr>
      </w:pPr>
      <w:r>
        <w:rPr>
          <w:rFonts w:hint="eastAsia" w:eastAsia="Malgun Gothic"/>
        </w:rPr>
        <w:t>Thread #4</w:t>
      </w:r>
    </w:p>
    <w:p>
      <w:pPr>
        <w:pStyle w:val="17"/>
        <w:numPr>
          <w:ilvl w:val="0"/>
          <w:numId w:val="2"/>
        </w:numPr>
        <w:kinsoku w:val="0"/>
        <w:wordWrap/>
        <w:spacing w:after="0"/>
        <w:ind w:leftChars="0"/>
        <w:rPr>
          <w:rFonts w:eastAsia="Malgun Gothic"/>
        </w:rPr>
      </w:pPr>
      <w:r>
        <w:rPr>
          <w:rFonts w:eastAsia="Malgun Gothic"/>
        </w:rPr>
        <w:t>Issue M2-5: HARQ RTT time gap capturing issue in MAC (considering LS in R1-2104559)</w:t>
      </w:r>
    </w:p>
    <w:p>
      <w:pPr>
        <w:kinsoku w:val="0"/>
        <w:wordWrap/>
        <w:spacing w:after="0"/>
        <w:rPr>
          <w:rFonts w:eastAsia="Malgun Gothic"/>
        </w:rPr>
      </w:pPr>
    </w:p>
    <w:p>
      <w:pPr>
        <w:kinsoku w:val="0"/>
        <w:wordWrap/>
        <w:spacing w:after="0"/>
        <w:rPr>
          <w:rFonts w:eastAsia="Malgun Gothic"/>
        </w:rPr>
      </w:pPr>
      <w:r>
        <w:rPr>
          <w:rFonts w:hint="eastAsia" w:eastAsia="Malgun Gothic"/>
        </w:rPr>
        <w:t xml:space="preserve">Separate threads for TP capturing </w:t>
      </w:r>
      <w:r>
        <w:rPr>
          <w:rFonts w:eastAsia="Malgun Gothic"/>
        </w:rPr>
        <w:t xml:space="preserve">agreements made in previous meetings </w:t>
      </w:r>
      <w:r>
        <w:rPr>
          <w:rFonts w:hint="eastAsia" w:eastAsia="Malgun Gothic"/>
        </w:rPr>
        <w:t xml:space="preserve">and </w:t>
      </w:r>
      <w:r>
        <w:rPr>
          <w:rFonts w:eastAsia="Malgun Gothic"/>
        </w:rPr>
        <w:t xml:space="preserve">preparation of </w:t>
      </w:r>
      <w:r>
        <w:rPr>
          <w:rFonts w:hint="eastAsia" w:eastAsia="Malgun Gothic"/>
        </w:rPr>
        <w:t>reply LS</w:t>
      </w:r>
    </w:p>
    <w:p>
      <w:pPr>
        <w:kinsoku w:val="0"/>
        <w:wordWrap/>
        <w:spacing w:after="0"/>
      </w:pPr>
      <w:r>
        <w:rPr>
          <w:rFonts w:hint="eastAsia"/>
        </w:rPr>
        <w:t>Thread #</w:t>
      </w:r>
      <w:r>
        <w:t>A</w:t>
      </w:r>
    </w:p>
    <w:p>
      <w:pPr>
        <w:pStyle w:val="17"/>
        <w:numPr>
          <w:ilvl w:val="0"/>
          <w:numId w:val="2"/>
        </w:numPr>
        <w:kinsoku w:val="0"/>
        <w:wordWrap/>
        <w:spacing w:after="0"/>
        <w:ind w:leftChars="0"/>
      </w:pPr>
      <w:r>
        <w:t>Issue M1-4: TPs corresponding to agreements in previous meetings (Agreement/LS from RAN1#104, reply LS received in R1-2104160)</w:t>
      </w:r>
    </w:p>
    <w:p>
      <w:pPr>
        <w:kinsoku w:val="0"/>
        <w:wordWrap/>
        <w:spacing w:after="0"/>
      </w:pPr>
      <w:r>
        <w:t>Thread #B</w:t>
      </w:r>
    </w:p>
    <w:p>
      <w:pPr>
        <w:pStyle w:val="17"/>
        <w:numPr>
          <w:ilvl w:val="0"/>
          <w:numId w:val="2"/>
        </w:numPr>
        <w:kinsoku w:val="0"/>
        <w:wordWrap/>
        <w:spacing w:after="0"/>
        <w:ind w:leftChars="0"/>
      </w:pPr>
      <w:r>
        <w:t>Issue M2-1: TP to implement the agreement from [104b-e-NR-5G_V2X-03]</w:t>
      </w:r>
    </w:p>
    <w:p>
      <w:pPr>
        <w:kinsoku w:val="0"/>
        <w:wordWrap/>
        <w:spacing w:after="0"/>
        <w:rPr>
          <w:rFonts w:eastAsia="Malgun Gothic"/>
        </w:rPr>
      </w:pPr>
      <w:r>
        <w:rPr>
          <w:rFonts w:hint="eastAsia" w:eastAsia="Malgun Gothic"/>
        </w:rPr>
        <w:t xml:space="preserve">Thread </w:t>
      </w:r>
      <w:r>
        <w:rPr>
          <w:rFonts w:eastAsia="Malgun Gothic"/>
        </w:rPr>
        <w:t>#C</w:t>
      </w:r>
    </w:p>
    <w:p>
      <w:pPr>
        <w:pStyle w:val="17"/>
        <w:numPr>
          <w:ilvl w:val="0"/>
          <w:numId w:val="2"/>
        </w:numPr>
        <w:kinsoku w:val="0"/>
        <w:wordWrap/>
        <w:spacing w:after="0"/>
        <w:ind w:leftChars="0"/>
        <w:rPr>
          <w:rFonts w:eastAsia="Malgun Gothic"/>
        </w:rPr>
      </w:pPr>
      <w:r>
        <w:rPr>
          <w:rFonts w:eastAsia="Malgun Gothic"/>
        </w:rPr>
        <w:t>Issue PP-1: TP for multiplexing SL HARQ-ACK reports on a PUSCH</w:t>
      </w:r>
    </w:p>
    <w:p>
      <w:pPr>
        <w:kinsoku w:val="0"/>
        <w:wordWrap/>
        <w:spacing w:after="0"/>
        <w:rPr>
          <w:rFonts w:eastAsia="Malgun Gothic"/>
        </w:rPr>
      </w:pPr>
      <w:r>
        <w:rPr>
          <w:rFonts w:eastAsia="Malgun Gothic"/>
        </w:rPr>
        <w:t>Thread #D</w:t>
      </w:r>
    </w:p>
    <w:p>
      <w:pPr>
        <w:pStyle w:val="17"/>
        <w:numPr>
          <w:ilvl w:val="0"/>
          <w:numId w:val="2"/>
        </w:numPr>
        <w:kinsoku w:val="0"/>
        <w:wordWrap/>
        <w:spacing w:after="0"/>
        <w:ind w:leftChars="0"/>
        <w:rPr>
          <w:rFonts w:eastAsia="Malgun Gothic"/>
        </w:rPr>
      </w:pPr>
      <w:r>
        <w:rPr>
          <w:rFonts w:eastAsia="Malgun Gothic"/>
        </w:rPr>
        <w:t>LS reply to R1-2104559 taking into account the outcome of Thread #2 and Thread #4.</w:t>
      </w:r>
    </w:p>
    <w:p>
      <w:pPr>
        <w:kinsoku w:val="0"/>
        <w:wordWrap/>
        <w:spacing w:after="0"/>
        <w:rPr>
          <w:rFonts w:eastAsia="Malgun Gothic"/>
        </w:rPr>
      </w:pP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kinsoku w:val="0"/>
              <w:wordWrap/>
              <w:spacing w:after="0" w:line="240" w:lineRule="auto"/>
            </w:pPr>
            <w:r>
              <w:rPr>
                <w:rFonts w:hint="eastAsia"/>
              </w:rPr>
              <w:t>Company</w:t>
            </w:r>
          </w:p>
        </w:tc>
        <w:tc>
          <w:tcPr>
            <w:tcW w:w="7320" w:type="dxa"/>
          </w:tcPr>
          <w:p>
            <w:pPr>
              <w:kinsoku w:val="0"/>
              <w:wordWrap/>
              <w:spacing w:after="0" w:line="240" w:lineRule="auto"/>
            </w:pPr>
            <w:r>
              <w:rPr>
                <w:rFonts w:hint="eastAsia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kinsoku w:val="0"/>
              <w:wordWrap/>
              <w:spacing w:after="0" w:line="240" w:lineRule="auto"/>
            </w:pPr>
            <w:r>
              <w:rPr>
                <w:rFonts w:ascii="Calibri" w:hAnsi="Calibri" w:cs="Calibri"/>
                <w:sz w:val="22"/>
              </w:rPr>
              <w:t xml:space="preserve">LG Electronics </w:t>
            </w:r>
          </w:p>
        </w:tc>
        <w:tc>
          <w:tcPr>
            <w:tcW w:w="7320" w:type="dxa"/>
            <w:vAlign w:val="center"/>
          </w:tcPr>
          <w:p>
            <w:pPr>
              <w:kinsoku w:val="0"/>
              <w:wordWrap/>
              <w:spacing w:after="0" w:line="240" w:lineRule="auto"/>
            </w:pPr>
            <w:r>
              <w:rPr>
                <w:rFonts w:ascii="Calibri" w:hAnsi="Calibri" w:cs="Calibri"/>
                <w:sz w:val="22"/>
              </w:rPr>
              <w:t xml:space="preserve">From our perspective, it is doubtful that Issue PS-1 is really an essential one needed to be resolved at this late timing of maintenance phase. So, our preference is to remove it. In addition, when discussing Issue M1-1-1, we should limit the scope of email discussion to the contents (i.e., how to report ACK/NACK via PUCCH when using CG resources) mentioned in the RAN2 LS of R1-2104559. In other words, it should be avoided to discuss an optimization relevant to other aspects (e.g., how to report ACK/NACK via PUCCH when using DG resources) together.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kinsoku w:val="0"/>
              <w:wordWrap/>
              <w:spacing w:after="0" w:line="24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ZTE, Sanechips</w:t>
            </w:r>
          </w:p>
        </w:tc>
        <w:tc>
          <w:tcPr>
            <w:tcW w:w="7320" w:type="dxa"/>
          </w:tcPr>
          <w:p>
            <w:pPr>
              <w:widowControl/>
              <w:kinsoku w:val="0"/>
              <w:wordWrap/>
              <w:autoSpaceDE/>
              <w:autoSpaceDN/>
              <w:spacing w:after="0" w:line="240" w:lineRule="auto"/>
              <w:jc w:val="left"/>
              <w:rPr>
                <w:rFonts w:hint="default" w:eastAsia="宋体"/>
                <w:szCs w:val="20"/>
                <w:lang w:val="en-US" w:eastAsia="zh-CN"/>
              </w:rPr>
            </w:pPr>
            <w:r>
              <w:rPr>
                <w:rFonts w:hint="eastAsia" w:eastAsia="宋体"/>
                <w:szCs w:val="20"/>
                <w:lang w:val="en-US" w:eastAsia="zh-CN"/>
              </w:rPr>
              <w:t>OK with the proposal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kinsoku w:val="0"/>
              <w:wordWrap/>
              <w:spacing w:after="0" w:line="240" w:lineRule="auto"/>
            </w:pPr>
          </w:p>
        </w:tc>
        <w:tc>
          <w:tcPr>
            <w:tcW w:w="7320" w:type="dxa"/>
          </w:tcPr>
          <w:p>
            <w:pPr>
              <w:kinsoku w:val="0"/>
              <w:wordWrap/>
              <w:spacing w:after="0" w:line="240" w:lineRule="auto"/>
              <w:rPr>
                <w:rFonts w:eastAsia="MS Mincho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kinsoku w:val="0"/>
              <w:wordWrap/>
              <w:spacing w:after="0" w:line="240" w:lineRule="auto"/>
            </w:pPr>
          </w:p>
        </w:tc>
        <w:tc>
          <w:tcPr>
            <w:tcW w:w="7320" w:type="dxa"/>
          </w:tcPr>
          <w:p>
            <w:pPr>
              <w:kinsoku w:val="0"/>
              <w:wordWrap/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kinsoku w:val="0"/>
              <w:wordWrap/>
              <w:spacing w:after="0" w:line="240" w:lineRule="auto"/>
            </w:pPr>
          </w:p>
        </w:tc>
        <w:tc>
          <w:tcPr>
            <w:tcW w:w="7320" w:type="dxa"/>
          </w:tcPr>
          <w:p>
            <w:pPr>
              <w:kinsoku w:val="0"/>
              <w:wordWrap/>
              <w:spacing w:after="0" w:line="240" w:lineRule="auto"/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kinsoku w:val="0"/>
              <w:wordWrap/>
              <w:spacing w:after="0" w:line="240" w:lineRule="auto"/>
            </w:pPr>
          </w:p>
        </w:tc>
        <w:tc>
          <w:tcPr>
            <w:tcW w:w="7320" w:type="dxa"/>
          </w:tcPr>
          <w:p>
            <w:pPr>
              <w:kinsoku w:val="0"/>
              <w:wordWrap/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kinsoku w:val="0"/>
              <w:wordWrap/>
              <w:spacing w:after="0" w:line="240" w:lineRule="auto"/>
            </w:pPr>
          </w:p>
        </w:tc>
        <w:tc>
          <w:tcPr>
            <w:tcW w:w="7320" w:type="dxa"/>
          </w:tcPr>
          <w:p>
            <w:pPr>
              <w:kinsoku w:val="0"/>
              <w:wordWrap/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kinsoku w:val="0"/>
              <w:wordWrap/>
              <w:spacing w:after="0" w:line="240" w:lineRule="auto"/>
            </w:pPr>
          </w:p>
        </w:tc>
        <w:tc>
          <w:tcPr>
            <w:tcW w:w="7320" w:type="dxa"/>
          </w:tcPr>
          <w:p>
            <w:pPr>
              <w:kinsoku w:val="0"/>
              <w:wordWrap/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kinsoku w:val="0"/>
              <w:wordWrap/>
              <w:spacing w:after="0" w:line="240" w:lineRule="auto"/>
              <w:rPr>
                <w:rFonts w:eastAsia="宋体"/>
                <w:lang w:eastAsia="zh-CN"/>
              </w:rPr>
            </w:pPr>
          </w:p>
        </w:tc>
        <w:tc>
          <w:tcPr>
            <w:tcW w:w="7320" w:type="dxa"/>
          </w:tcPr>
          <w:p>
            <w:pPr>
              <w:kinsoku w:val="0"/>
              <w:wordWrap/>
              <w:spacing w:after="0" w:line="240" w:lineRule="auto"/>
              <w:rPr>
                <w:rFonts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kinsoku w:val="0"/>
              <w:wordWrap/>
              <w:spacing w:after="0" w:line="240" w:lineRule="auto"/>
              <w:rPr>
                <w:rFonts w:eastAsia="Malgun Gothic"/>
              </w:rPr>
            </w:pPr>
          </w:p>
        </w:tc>
        <w:tc>
          <w:tcPr>
            <w:tcW w:w="7320" w:type="dxa"/>
          </w:tcPr>
          <w:p>
            <w:pPr>
              <w:kinsoku w:val="0"/>
              <w:wordWrap/>
              <w:spacing w:after="0" w:line="240" w:lineRule="auto"/>
              <w:rPr>
                <w:rFonts w:eastAsia="Malgun Gothic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kinsoku w:val="0"/>
              <w:wordWrap/>
              <w:spacing w:after="0" w:line="240" w:lineRule="auto"/>
              <w:rPr>
                <w:rFonts w:eastAsia="Malgun Gothic"/>
              </w:rPr>
            </w:pPr>
          </w:p>
        </w:tc>
        <w:tc>
          <w:tcPr>
            <w:tcW w:w="7320" w:type="dxa"/>
          </w:tcPr>
          <w:p>
            <w:pPr>
              <w:kinsoku w:val="0"/>
              <w:wordWrap/>
              <w:spacing w:after="0" w:line="240" w:lineRule="auto"/>
              <w:rPr>
                <w:rFonts w:eastAsia="Malgun Gothic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kinsoku w:val="0"/>
              <w:wordWrap/>
              <w:spacing w:after="0" w:line="240" w:lineRule="auto"/>
              <w:rPr>
                <w:rFonts w:eastAsia="Malgun Gothic"/>
              </w:rPr>
            </w:pPr>
          </w:p>
        </w:tc>
        <w:tc>
          <w:tcPr>
            <w:tcW w:w="7320" w:type="dxa"/>
          </w:tcPr>
          <w:p>
            <w:pPr>
              <w:kinsoku w:val="0"/>
              <w:wordWrap/>
              <w:spacing w:after="0" w:line="240" w:lineRule="auto"/>
              <w:rPr>
                <w:rFonts w:eastAsia="Malgun Gothic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kinsoku w:val="0"/>
              <w:wordWrap/>
              <w:spacing w:after="0" w:line="240" w:lineRule="auto"/>
            </w:pPr>
          </w:p>
        </w:tc>
        <w:tc>
          <w:tcPr>
            <w:tcW w:w="7320" w:type="dxa"/>
          </w:tcPr>
          <w:p>
            <w:pPr>
              <w:spacing w:after="0" w:line="240" w:lineRule="auto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kinsoku w:val="0"/>
              <w:wordWrap/>
              <w:spacing w:after="0" w:line="240" w:lineRule="auto"/>
              <w:rPr>
                <w:lang w:eastAsia="zh-CN"/>
              </w:rPr>
            </w:pPr>
          </w:p>
        </w:tc>
        <w:tc>
          <w:tcPr>
            <w:tcW w:w="7320" w:type="dxa"/>
          </w:tcPr>
          <w:p>
            <w:pPr>
              <w:spacing w:after="0" w:line="240" w:lineRule="auto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kinsoku w:val="0"/>
              <w:wordWrap/>
              <w:spacing w:after="0" w:line="240" w:lineRule="auto"/>
              <w:rPr>
                <w:lang w:eastAsia="zh-CN"/>
              </w:rPr>
            </w:pPr>
          </w:p>
        </w:tc>
        <w:tc>
          <w:tcPr>
            <w:tcW w:w="7320" w:type="dxa"/>
          </w:tcPr>
          <w:p>
            <w:pPr>
              <w:spacing w:after="0" w:line="240" w:lineRule="auto"/>
              <w:rPr>
                <w:lang w:eastAsia="zh-CN"/>
              </w:rPr>
            </w:pPr>
          </w:p>
        </w:tc>
      </w:tr>
    </w:tbl>
    <w:p>
      <w:pPr>
        <w:kinsoku w:val="0"/>
        <w:wordWrap/>
        <w:spacing w:after="0"/>
        <w:rPr>
          <w:rFonts w:eastAsia="Malgun Gothic"/>
        </w:rPr>
      </w:pPr>
    </w:p>
    <w:p>
      <w:pPr>
        <w:kinsoku w:val="0"/>
        <w:wordWrap/>
        <w:spacing w:after="0"/>
        <w:rPr>
          <w:rFonts w:eastAsia="Malgun Gothic"/>
          <w:b/>
          <w:u w:val="single"/>
        </w:rPr>
      </w:pPr>
      <w:r>
        <w:rPr>
          <w:rFonts w:hint="eastAsia" w:eastAsia="Malgun Gothic"/>
          <w:b/>
          <w:u w:val="single"/>
        </w:rPr>
        <w:t>Summary of inputs</w:t>
      </w:r>
    </w:p>
    <w:p>
      <w:pPr>
        <w:pStyle w:val="17"/>
        <w:numPr>
          <w:ilvl w:val="0"/>
          <w:numId w:val="3"/>
        </w:numPr>
        <w:kinsoku w:val="0"/>
        <w:wordWrap/>
        <w:spacing w:after="0"/>
        <w:ind w:leftChars="0"/>
        <w:rPr>
          <w:rFonts w:eastAsia="Malgun Gothic"/>
        </w:rPr>
      </w:pPr>
      <w:r>
        <w:rPr>
          <w:rFonts w:hint="eastAsia" w:eastAsia="Malgun Gothic"/>
        </w:rPr>
        <w:t>To be summarized</w:t>
      </w:r>
    </w:p>
    <w:p>
      <w:pPr>
        <w:kinsoku w:val="0"/>
        <w:wordWrap/>
        <w:spacing w:after="0"/>
        <w:rPr>
          <w:rFonts w:eastAsia="Malgun Gothic"/>
        </w:rPr>
      </w:pPr>
    </w:p>
    <w:p>
      <w:pPr>
        <w:kinsoku w:val="0"/>
        <w:wordWrap/>
        <w:spacing w:after="0"/>
        <w:rPr>
          <w:rFonts w:eastAsia="Malgun Gothic"/>
        </w:rPr>
      </w:pPr>
    </w:p>
    <w:p>
      <w:pPr>
        <w:kinsoku w:val="0"/>
        <w:wordWrap/>
        <w:spacing w:after="0"/>
        <w:rPr>
          <w:b/>
          <w:u w:val="single"/>
        </w:rPr>
      </w:pPr>
      <w:r>
        <w:rPr>
          <w:rFonts w:hint="eastAsia"/>
          <w:b/>
          <w:u w:val="single"/>
        </w:rPr>
        <w:t>Topics in each FL summary</w:t>
      </w:r>
    </w:p>
    <w:p>
      <w:pPr>
        <w:kinsoku w:val="0"/>
        <w:wordWrap/>
        <w:spacing w:after="0"/>
        <w:rPr>
          <w:b/>
        </w:rPr>
      </w:pPr>
      <w:r>
        <w:rPr>
          <w:rFonts w:hint="eastAsia"/>
          <w:b/>
        </w:rPr>
        <w:t xml:space="preserve">Physical </w:t>
      </w:r>
      <w:r>
        <w:rPr>
          <w:b/>
        </w:rPr>
        <w:t>layer structure</w:t>
      </w:r>
    </w:p>
    <w:p>
      <w:pPr>
        <w:pStyle w:val="29"/>
        <w:spacing w:after="120" w:line="360" w:lineRule="auto"/>
        <w:ind w:firstLine="0"/>
        <w:rPr>
          <w:rFonts w:eastAsiaTheme="minorEastAsia"/>
          <w:b/>
          <w:i/>
          <w:sz w:val="22"/>
          <w:szCs w:val="22"/>
          <w:lang w:eastAsia="ko-KR"/>
        </w:rPr>
      </w:pPr>
      <w:r>
        <w:rPr>
          <w:rFonts w:hint="eastAsia" w:eastAsiaTheme="minorEastAsia"/>
          <w:b/>
          <w:i/>
          <w:sz w:val="22"/>
          <w:szCs w:val="22"/>
          <w:lang w:eastAsia="ko-KR"/>
        </w:rPr>
        <w:t>Issue#</w:t>
      </w:r>
      <w:r>
        <w:rPr>
          <w:rFonts w:eastAsiaTheme="minorEastAsia"/>
          <w:b/>
          <w:i/>
          <w:sz w:val="22"/>
          <w:szCs w:val="22"/>
          <w:lang w:eastAsia="ko-KR"/>
        </w:rPr>
        <w:t>PS-0: Whether/how to capture in the specifications will be discussed in Editor CR phase.</w:t>
      </w:r>
    </w:p>
    <w:p>
      <w:pPr>
        <w:pStyle w:val="29"/>
        <w:numPr>
          <w:ilvl w:val="0"/>
          <w:numId w:val="4"/>
        </w:numPr>
        <w:spacing w:after="120" w:line="360" w:lineRule="auto"/>
        <w:rPr>
          <w:rFonts w:eastAsiaTheme="minorEastAsia"/>
          <w:sz w:val="22"/>
          <w:szCs w:val="22"/>
          <w:lang w:eastAsia="ko-KR"/>
        </w:rPr>
      </w:pPr>
      <w:r>
        <w:rPr>
          <w:rFonts w:hint="eastAsia" w:eastAsiaTheme="minorEastAsia"/>
          <w:sz w:val="22"/>
          <w:szCs w:val="22"/>
          <w:lang w:eastAsia="ko-KR"/>
        </w:rPr>
        <w:t xml:space="preserve">[1, ETRI]: </w:t>
      </w:r>
      <w:r>
        <w:rPr>
          <w:rFonts w:eastAsiaTheme="minorEastAsia"/>
          <w:sz w:val="22"/>
          <w:szCs w:val="22"/>
          <w:lang w:eastAsia="ko-KR"/>
        </w:rPr>
        <w:t>Correct r</w:t>
      </w:r>
      <w:r>
        <w:rPr>
          <w:rFonts w:hint="eastAsia" w:eastAsiaTheme="minorEastAsia"/>
          <w:sz w:val="22"/>
          <w:szCs w:val="22"/>
          <w:lang w:eastAsia="ko-KR"/>
        </w:rPr>
        <w:t xml:space="preserve">eference section numbers </w:t>
      </w:r>
      <w:r>
        <w:rPr>
          <w:rFonts w:eastAsiaTheme="minorEastAsia"/>
          <w:sz w:val="22"/>
          <w:szCs w:val="22"/>
          <w:lang w:eastAsia="ko-KR"/>
        </w:rPr>
        <w:t>for CSI-RS/DM-RS transmissions in 214</w:t>
      </w:r>
    </w:p>
    <w:p>
      <w:pPr>
        <w:pStyle w:val="29"/>
        <w:numPr>
          <w:ilvl w:val="0"/>
          <w:numId w:val="4"/>
        </w:numPr>
        <w:spacing w:after="120" w:line="360" w:lineRule="auto"/>
        <w:rPr>
          <w:rFonts w:eastAsiaTheme="minorEastAsia"/>
          <w:sz w:val="22"/>
          <w:szCs w:val="22"/>
          <w:lang w:eastAsia="ko-KR"/>
        </w:rPr>
      </w:pPr>
      <w:r>
        <w:rPr>
          <w:rFonts w:eastAsiaTheme="minorEastAsia"/>
          <w:sz w:val="22"/>
          <w:szCs w:val="22"/>
          <w:lang w:eastAsia="ko-KR"/>
        </w:rPr>
        <w:t>[4, Huawei, HiSilicon]: (PSSCH DMRS time domain OCC) Delete the last coulum of Table 8.4.1.1.2-2 in 211to make l^' for the time domain OCC of PSSCH DM-RS only equal to 0.</w:t>
      </w:r>
    </w:p>
    <w:p>
      <w:pPr>
        <w:pStyle w:val="29"/>
        <w:numPr>
          <w:ilvl w:val="0"/>
          <w:numId w:val="4"/>
        </w:numPr>
        <w:spacing w:after="120" w:line="360" w:lineRule="auto"/>
        <w:rPr>
          <w:rFonts w:eastAsiaTheme="minorEastAsia"/>
          <w:sz w:val="22"/>
          <w:szCs w:val="22"/>
          <w:lang w:eastAsia="ko-KR"/>
        </w:rPr>
      </w:pPr>
      <w:r>
        <w:rPr>
          <w:rFonts w:eastAsiaTheme="minorEastAsia"/>
          <w:sz w:val="22"/>
          <w:szCs w:val="22"/>
          <w:lang w:eastAsia="ko-KR"/>
        </w:rPr>
        <w:t xml:space="preserve">[4, Huawei, HiSilicon]: (PSSCH DMRS parameter) </w:t>
      </w:r>
      <w:r>
        <w:rPr>
          <w:rFonts w:hint="eastAsia" w:eastAsiaTheme="minorEastAsia"/>
          <w:sz w:val="22"/>
          <w:szCs w:val="22"/>
          <w:lang w:eastAsia="ko-KR"/>
        </w:rPr>
        <w:t>λ</w:t>
      </w:r>
      <w:r>
        <w:rPr>
          <w:rFonts w:eastAsiaTheme="minorEastAsia"/>
          <w:sz w:val="22"/>
          <w:szCs w:val="22"/>
          <w:lang w:eastAsia="ko-KR"/>
        </w:rPr>
        <w:t xml:space="preserve"> in Table 8.4.1.1.2-2 in 211 is changed to Δ.</w:t>
      </w:r>
    </w:p>
    <w:p>
      <w:pPr>
        <w:pStyle w:val="29"/>
        <w:spacing w:after="120" w:line="360" w:lineRule="auto"/>
        <w:ind w:firstLine="0"/>
        <w:rPr>
          <w:rFonts w:eastAsiaTheme="minorEastAsia"/>
          <w:b/>
          <w:i/>
          <w:sz w:val="22"/>
          <w:szCs w:val="22"/>
          <w:lang w:eastAsia="ko-KR"/>
        </w:rPr>
      </w:pPr>
    </w:p>
    <w:p>
      <w:pPr>
        <w:pStyle w:val="29"/>
        <w:spacing w:after="120" w:line="360" w:lineRule="auto"/>
        <w:ind w:firstLine="0"/>
        <w:rPr>
          <w:rFonts w:eastAsiaTheme="minorEastAsia"/>
          <w:sz w:val="22"/>
          <w:szCs w:val="22"/>
          <w:lang w:eastAsia="ko-KR"/>
        </w:rPr>
      </w:pPr>
      <w:r>
        <w:rPr>
          <w:rFonts w:hint="eastAsia" w:eastAsiaTheme="minorEastAsia"/>
          <w:b/>
          <w:i/>
          <w:sz w:val="22"/>
          <w:szCs w:val="22"/>
          <w:lang w:eastAsia="ko-KR"/>
        </w:rPr>
        <w:t>Issue#</w:t>
      </w:r>
      <w:r>
        <w:rPr>
          <w:rFonts w:eastAsiaTheme="minorEastAsia"/>
          <w:b/>
          <w:i/>
          <w:sz w:val="22"/>
          <w:szCs w:val="22"/>
          <w:lang w:eastAsia="ko-KR"/>
        </w:rPr>
        <w:t>PS-1</w:t>
      </w:r>
      <w:r>
        <w:rPr>
          <w:rFonts w:hint="eastAsia" w:eastAsiaTheme="minorEastAsia"/>
          <w:sz w:val="22"/>
          <w:szCs w:val="22"/>
          <w:lang w:eastAsia="ko-KR"/>
        </w:rPr>
        <w:t xml:space="preserve">: </w:t>
      </w:r>
      <w:r>
        <w:rPr>
          <w:rFonts w:eastAsiaTheme="minorEastAsia"/>
          <w:sz w:val="22"/>
          <w:szCs w:val="22"/>
          <w:lang w:eastAsia="ko-KR"/>
        </w:rPr>
        <w:t>PSSCH DMRS mapping</w:t>
      </w:r>
    </w:p>
    <w:p>
      <w:pPr>
        <w:pStyle w:val="29"/>
        <w:numPr>
          <w:ilvl w:val="0"/>
          <w:numId w:val="5"/>
        </w:numPr>
        <w:spacing w:after="120" w:line="360" w:lineRule="auto"/>
        <w:rPr>
          <w:rFonts w:eastAsiaTheme="minorEastAsia"/>
          <w:sz w:val="22"/>
          <w:szCs w:val="22"/>
          <w:lang w:eastAsia="ko-KR"/>
        </w:rPr>
      </w:pPr>
      <w:r>
        <w:rPr>
          <w:rFonts w:eastAsiaTheme="minorEastAsia"/>
          <w:sz w:val="22"/>
          <w:szCs w:val="22"/>
          <w:lang w:eastAsia="ko-KR"/>
        </w:rPr>
        <w:t>Change from “allocate” to “available”</w:t>
      </w:r>
    </w:p>
    <w:p>
      <w:pPr>
        <w:pStyle w:val="29"/>
        <w:numPr>
          <w:ilvl w:val="0"/>
          <w:numId w:val="5"/>
        </w:numPr>
        <w:spacing w:after="120" w:line="360" w:lineRule="auto"/>
        <w:rPr>
          <w:rFonts w:eastAsiaTheme="minorEastAsia"/>
          <w:sz w:val="22"/>
          <w:szCs w:val="22"/>
          <w:lang w:eastAsia="ko-KR"/>
        </w:rPr>
      </w:pPr>
      <w:r>
        <w:rPr>
          <w:rFonts w:eastAsiaTheme="minorEastAsia"/>
          <w:sz w:val="22"/>
          <w:szCs w:val="22"/>
          <w:lang w:eastAsia="ko-KR"/>
        </w:rPr>
        <w:t>[2, NEC</w:t>
      </w:r>
      <w:r>
        <w:rPr>
          <w:rFonts w:hint="eastAsia" w:eastAsiaTheme="minorEastAsia"/>
          <w:sz w:val="22"/>
          <w:szCs w:val="22"/>
          <w:lang w:eastAsia="ko-KR"/>
        </w:rPr>
        <w:t>]</w:t>
      </w:r>
    </w:p>
    <w:p>
      <w:pPr>
        <w:pStyle w:val="29"/>
        <w:spacing w:after="120" w:line="360" w:lineRule="auto"/>
        <w:ind w:firstLine="0"/>
        <w:rPr>
          <w:rFonts w:eastAsiaTheme="minorEastAsia"/>
          <w:sz w:val="22"/>
          <w:szCs w:val="22"/>
          <w:lang w:eastAsia="ko-KR"/>
        </w:rPr>
      </w:pPr>
    </w:p>
    <w:p>
      <w:pPr>
        <w:pStyle w:val="29"/>
        <w:spacing w:after="120" w:line="360" w:lineRule="auto"/>
        <w:ind w:firstLine="0"/>
        <w:rPr>
          <w:rFonts w:eastAsiaTheme="minorEastAsia"/>
          <w:sz w:val="22"/>
          <w:szCs w:val="22"/>
          <w:lang w:eastAsia="ko-KR"/>
        </w:rPr>
      </w:pPr>
      <w:r>
        <w:rPr>
          <w:rFonts w:hint="eastAsia" w:eastAsiaTheme="minorEastAsia"/>
          <w:b/>
          <w:i/>
          <w:sz w:val="22"/>
          <w:szCs w:val="22"/>
          <w:lang w:eastAsia="ko-KR"/>
        </w:rPr>
        <w:t>Issue#</w:t>
      </w:r>
      <w:r>
        <w:rPr>
          <w:rFonts w:eastAsiaTheme="minorEastAsia"/>
          <w:b/>
          <w:i/>
          <w:sz w:val="22"/>
          <w:szCs w:val="22"/>
          <w:lang w:eastAsia="ko-KR"/>
        </w:rPr>
        <w:t>PS-2</w:t>
      </w:r>
      <w:r>
        <w:rPr>
          <w:rFonts w:hint="eastAsia" w:eastAsiaTheme="minorEastAsia"/>
          <w:sz w:val="22"/>
          <w:szCs w:val="22"/>
          <w:lang w:eastAsia="ko-KR"/>
        </w:rPr>
        <w:t xml:space="preserve">: </w:t>
      </w:r>
      <w:r>
        <w:rPr>
          <w:rFonts w:eastAsiaTheme="minorEastAsia"/>
          <w:sz w:val="22"/>
          <w:szCs w:val="22"/>
          <w:lang w:eastAsia="ko-KR"/>
        </w:rPr>
        <w:t xml:space="preserve">SCS offset in SL BWP and UL BWP </w:t>
      </w:r>
    </w:p>
    <w:p>
      <w:pPr>
        <w:pStyle w:val="29"/>
        <w:numPr>
          <w:ilvl w:val="0"/>
          <w:numId w:val="5"/>
        </w:numPr>
        <w:spacing w:after="120" w:line="360" w:lineRule="auto"/>
        <w:rPr>
          <w:rFonts w:eastAsiaTheme="minorEastAsia"/>
          <w:sz w:val="22"/>
          <w:szCs w:val="22"/>
          <w:lang w:eastAsia="ko-KR"/>
        </w:rPr>
      </w:pPr>
      <w:r>
        <w:rPr>
          <w:rFonts w:eastAsiaTheme="minorEastAsia"/>
        </w:rPr>
        <w:t xml:space="preserve">Change the definition of sidelink offset </w:t>
      </w:r>
      <m:oMath>
        <m:sSubSup>
          <m:sSubSupPr>
            <m:ctrlPr>
              <w:rPr>
                <w:rFonts w:ascii="Cambria Math" w:hAnsi="Cambria Math" w:eastAsiaTheme="minorEastAsia"/>
              </w:rPr>
            </m:ctrlPr>
          </m:sSubSupPr>
          <m:e>
            <m:r>
              <w:rPr>
                <w:rFonts w:ascii="Cambria Math" w:hAnsi="Cambria Math" w:eastAsiaTheme="minorEastAsia"/>
              </w:rPr>
              <m:t>k</m:t>
            </m:r>
            <m:ctrlPr>
              <w:rPr>
                <w:rFonts w:ascii="Cambria Math" w:hAnsi="Cambria Math" w:eastAsiaTheme="minorEastAsia"/>
              </w:rPr>
            </m:ctrlPr>
          </m:e>
          <m:sub>
            <m:r>
              <w:rPr>
                <w:rFonts w:ascii="Cambria Math" w:hAnsi="Cambria Math" w:eastAsiaTheme="minorEastAsia"/>
              </w:rPr>
              <m:t>0</m:t>
            </m:r>
            <m:ctrlPr>
              <w:rPr>
                <w:rFonts w:ascii="Cambria Math" w:hAnsi="Cambria Math" w:eastAsiaTheme="minorEastAsia"/>
              </w:rPr>
            </m:ctrlPr>
          </m:sub>
          <m:sup>
            <m:r>
              <w:rPr>
                <w:rFonts w:ascii="Cambria Math" w:hAnsi="Cambria Math" w:eastAsiaTheme="minorEastAsia"/>
              </w:rPr>
              <m:t>μ</m:t>
            </m:r>
            <m:ctrlPr>
              <w:rPr>
                <w:rFonts w:ascii="Cambria Math" w:hAnsi="Cambria Math" w:eastAsiaTheme="minorEastAsia"/>
              </w:rPr>
            </m:ctrlPr>
          </m:sup>
        </m:sSubSup>
      </m:oMath>
      <w:r>
        <w:rPr>
          <w:rFonts w:hint="eastAsia" w:eastAsiaTheme="minorEastAsia"/>
        </w:rPr>
        <w:t xml:space="preserve"> </w:t>
      </w:r>
      <w:r>
        <w:rPr>
          <w:rFonts w:eastAsiaTheme="minorEastAsia"/>
        </w:rPr>
        <w:t>used in OFDM baseband signal generation</w:t>
      </w:r>
    </w:p>
    <w:p>
      <w:pPr>
        <w:pStyle w:val="29"/>
        <w:numPr>
          <w:ilvl w:val="0"/>
          <w:numId w:val="5"/>
        </w:numPr>
        <w:spacing w:after="120" w:line="360" w:lineRule="auto"/>
        <w:rPr>
          <w:rFonts w:eastAsiaTheme="minorEastAsia"/>
          <w:sz w:val="22"/>
          <w:szCs w:val="22"/>
          <w:lang w:eastAsia="ko-KR"/>
        </w:rPr>
      </w:pPr>
      <w:r>
        <w:rPr>
          <w:rFonts w:eastAsiaTheme="minorEastAsia"/>
        </w:rPr>
        <w:t xml:space="preserve">TP for Clause 5.3.1 for 211 is </w:t>
      </w:r>
    </w:p>
    <w:p>
      <w:pPr>
        <w:pStyle w:val="29"/>
        <w:spacing w:after="120" w:line="360" w:lineRule="auto"/>
        <w:ind w:left="760" w:firstLine="0"/>
        <w:rPr>
          <w:rFonts w:eastAsiaTheme="minorEastAsia"/>
          <w:sz w:val="22"/>
          <w:szCs w:val="22"/>
          <w:lang w:eastAsia="ko-KR"/>
        </w:rPr>
      </w:pPr>
      <w:r>
        <w:rPr>
          <w:rFonts w:eastAsia="DengXian"/>
          <w:lang w:eastAsia="en-US"/>
        </w:rPr>
        <w:tab/>
      </w:r>
      <m:oMath>
        <m:sSub>
          <m:sSubPr>
            <m:ctrlPr>
              <w:rPr>
                <w:rFonts w:ascii="Cambria Math" w:hAnsi="Cambria Math" w:eastAsia="DengXian"/>
                <w:i/>
                <w:lang w:eastAsia="en-US"/>
              </w:rPr>
            </m:ctrlPr>
          </m:sSubPr>
          <m:e>
            <m:r>
              <w:rPr>
                <w:rFonts w:ascii="Cambria Math" w:hAnsi="Cambria Math" w:eastAsia="DengXian"/>
                <w:lang w:eastAsia="en-US"/>
              </w:rPr>
              <m:t>μ</m:t>
            </m:r>
            <m:ctrlPr>
              <w:rPr>
                <w:rFonts w:ascii="Cambria Math" w:hAnsi="Cambria Math" w:eastAsia="DengXian"/>
                <w:i/>
                <w:lang w:eastAsia="en-US"/>
              </w:rPr>
            </m:ctrlPr>
          </m:e>
          <m:sub>
            <m:r>
              <w:rPr>
                <w:rFonts w:ascii="Cambria Math" w:hAnsi="Cambria Math" w:eastAsia="DengXian"/>
                <w:lang w:eastAsia="en-US"/>
              </w:rPr>
              <m:t>0</m:t>
            </m:r>
            <m:ctrlPr>
              <w:rPr>
                <w:rFonts w:ascii="Cambria Math" w:hAnsi="Cambria Math" w:eastAsia="DengXian"/>
                <w:i/>
                <w:lang w:eastAsia="en-US"/>
              </w:rPr>
            </m:ctrlPr>
          </m:sub>
        </m:sSub>
      </m:oMath>
      <w:r>
        <w:rPr>
          <w:rFonts w:eastAsia="DengXian"/>
          <w:lang w:eastAsia="en-US"/>
        </w:rPr>
        <w:t xml:space="preserve"> is the largest </w:t>
      </w:r>
      <m:oMath>
        <m:r>
          <w:rPr>
            <w:rFonts w:ascii="Cambria Math" w:hAnsi="Cambria Math" w:eastAsia="DengXian"/>
            <w:lang w:eastAsia="en-US"/>
          </w:rPr>
          <m:t>μ</m:t>
        </m:r>
      </m:oMath>
      <w:r>
        <w:rPr>
          <w:rFonts w:eastAsia="DengXian"/>
          <w:lang w:eastAsia="en-US"/>
        </w:rPr>
        <w:t xml:space="preserve"> value among the subcarrier spacing configurations by the higher-layer parameter </w:t>
      </w:r>
      <w:r>
        <w:rPr>
          <w:rFonts w:eastAsia="DengXian"/>
          <w:i/>
          <w:lang w:eastAsia="en-US"/>
        </w:rPr>
        <w:t>scs-SpecificCarrierList</w:t>
      </w:r>
      <w:ins w:id="0" w:author="Sharp" w:date="2021-04-20T09:03:00Z">
        <w:r>
          <w:rPr>
            <w:rFonts w:eastAsia="DengXian"/>
            <w:lang w:eastAsia="en-US"/>
          </w:rPr>
          <w:t xml:space="preserve"> for uplink</w:t>
        </w:r>
      </w:ins>
      <w:ins w:id="1" w:author="Sharp" w:date="2021-04-20T09:04:00Z">
        <w:r>
          <w:rPr>
            <w:rFonts w:eastAsia="DengXian"/>
            <w:lang w:eastAsia="en-US"/>
          </w:rPr>
          <w:t xml:space="preserve"> or downlink, and</w:t>
        </w:r>
      </w:ins>
      <w:ins w:id="2" w:author="Sharp" w:date="2021-04-20T09:05:00Z">
        <w:r>
          <w:rPr>
            <w:rFonts w:eastAsia="DengXian"/>
            <w:lang w:eastAsia="en-US"/>
          </w:rPr>
          <w:t xml:space="preserve"> by the higher-layer parameter</w:t>
        </w:r>
      </w:ins>
      <w:ins w:id="3" w:author="Sharp" w:date="2021-04-20T09:04:00Z">
        <w:r>
          <w:rPr>
            <w:rFonts w:eastAsia="DengXian"/>
            <w:lang w:eastAsia="en-US"/>
          </w:rPr>
          <w:t xml:space="preserve"> </w:t>
        </w:r>
      </w:ins>
      <w:ins w:id="4" w:author="Sharp" w:date="2021-04-20T09:04:00Z">
        <w:r>
          <w:rPr>
            <w:rFonts w:eastAsia="DengXian"/>
            <w:i/>
            <w:lang w:eastAsia="en-US"/>
          </w:rPr>
          <w:t>sl-SCS-SpecificCarrierList</w:t>
        </w:r>
      </w:ins>
      <w:ins w:id="5" w:author="Sharp" w:date="2021-04-20T09:04:00Z">
        <w:r>
          <w:rPr>
            <w:rFonts w:eastAsia="DengXian"/>
            <w:lang w:eastAsia="en-US"/>
          </w:rPr>
          <w:t xml:space="preserve"> for sidelink</w:t>
        </w:r>
      </w:ins>
      <w:r>
        <w:rPr>
          <w:rFonts w:eastAsia="DengXian"/>
          <w:lang w:eastAsia="en-US"/>
        </w:rPr>
        <w:t>.</w:t>
      </w:r>
    </w:p>
    <w:p>
      <w:pPr>
        <w:pStyle w:val="29"/>
        <w:numPr>
          <w:ilvl w:val="0"/>
          <w:numId w:val="5"/>
        </w:numPr>
        <w:spacing w:after="120" w:line="360" w:lineRule="auto"/>
        <w:rPr>
          <w:rFonts w:eastAsiaTheme="minorEastAsia"/>
          <w:sz w:val="22"/>
          <w:szCs w:val="22"/>
          <w:lang w:eastAsia="ko-KR"/>
        </w:rPr>
      </w:pPr>
      <w:r>
        <w:rPr>
          <w:rFonts w:hint="eastAsia" w:eastAsiaTheme="minorEastAsia"/>
          <w:sz w:val="22"/>
          <w:szCs w:val="22"/>
          <w:lang w:eastAsia="ko-KR"/>
        </w:rPr>
        <w:t>[3, Sharp]</w:t>
      </w:r>
    </w:p>
    <w:p>
      <w:pPr>
        <w:pStyle w:val="29"/>
        <w:spacing w:after="120" w:line="360" w:lineRule="auto"/>
        <w:ind w:firstLine="0"/>
        <w:rPr>
          <w:rFonts w:eastAsiaTheme="minorEastAsia"/>
          <w:b/>
          <w:i/>
          <w:sz w:val="22"/>
          <w:szCs w:val="22"/>
          <w:lang w:eastAsia="ko-KR"/>
        </w:rPr>
      </w:pPr>
    </w:p>
    <w:p>
      <w:pPr>
        <w:pStyle w:val="29"/>
        <w:spacing w:after="120" w:line="360" w:lineRule="auto"/>
        <w:ind w:firstLine="0"/>
        <w:rPr>
          <w:rFonts w:eastAsiaTheme="minorEastAsia"/>
          <w:sz w:val="22"/>
          <w:szCs w:val="22"/>
          <w:lang w:eastAsia="ko-KR"/>
        </w:rPr>
      </w:pPr>
      <w:r>
        <w:rPr>
          <w:rFonts w:hint="eastAsia" w:eastAsiaTheme="minorEastAsia"/>
          <w:b/>
          <w:i/>
          <w:sz w:val="22"/>
          <w:szCs w:val="22"/>
          <w:lang w:eastAsia="ko-KR"/>
        </w:rPr>
        <w:t>Issue#</w:t>
      </w:r>
      <w:r>
        <w:rPr>
          <w:rFonts w:eastAsiaTheme="minorEastAsia"/>
          <w:b/>
          <w:i/>
          <w:sz w:val="22"/>
          <w:szCs w:val="22"/>
          <w:lang w:eastAsia="ko-KR"/>
        </w:rPr>
        <w:t>PS-3</w:t>
      </w:r>
      <w:r>
        <w:rPr>
          <w:rFonts w:hint="eastAsia" w:eastAsiaTheme="minorEastAsia"/>
          <w:sz w:val="22"/>
          <w:szCs w:val="22"/>
          <w:lang w:eastAsia="ko-KR"/>
        </w:rPr>
        <w:t>:</w:t>
      </w:r>
      <w:r>
        <w:rPr>
          <w:rFonts w:eastAsiaTheme="minorEastAsia"/>
          <w:sz w:val="22"/>
          <w:szCs w:val="22"/>
          <w:lang w:eastAsia="ko-KR"/>
        </w:rPr>
        <w:t xml:space="preserve"> Clarifying multiple PSFCH transmission</w:t>
      </w:r>
    </w:p>
    <w:p>
      <w:pPr>
        <w:pStyle w:val="29"/>
        <w:numPr>
          <w:ilvl w:val="0"/>
          <w:numId w:val="5"/>
        </w:numPr>
        <w:spacing w:after="120" w:line="360" w:lineRule="auto"/>
        <w:rPr>
          <w:rFonts w:eastAsiaTheme="minorEastAsia"/>
          <w:sz w:val="22"/>
          <w:szCs w:val="22"/>
          <w:lang w:eastAsia="ko-KR"/>
        </w:rPr>
      </w:pPr>
      <w:r>
        <w:rPr>
          <w:rFonts w:eastAsiaTheme="minorEastAsia"/>
          <w:sz w:val="22"/>
          <w:szCs w:val="22"/>
          <w:lang w:eastAsia="ko-KR"/>
        </w:rPr>
        <w:t>It may need to fix the description in simultaneous PSFCH transmission/reception.</w:t>
      </w:r>
    </w:p>
    <w:p>
      <w:pPr>
        <w:pStyle w:val="29"/>
        <w:numPr>
          <w:ilvl w:val="0"/>
          <w:numId w:val="5"/>
        </w:numPr>
        <w:spacing w:after="120" w:line="360" w:lineRule="auto"/>
        <w:rPr>
          <w:rFonts w:eastAsiaTheme="minorEastAsia"/>
          <w:sz w:val="22"/>
          <w:szCs w:val="22"/>
          <w:lang w:eastAsia="ko-KR"/>
        </w:rPr>
      </w:pPr>
      <w:r>
        <w:rPr>
          <w:rFonts w:eastAsiaTheme="minorEastAsia"/>
          <w:sz w:val="22"/>
          <w:szCs w:val="22"/>
          <w:lang w:eastAsia="ko-KR"/>
        </w:rPr>
        <w:t>[3, Sharp]</w:t>
      </w:r>
    </w:p>
    <w:p>
      <w:pPr>
        <w:pStyle w:val="29"/>
        <w:numPr>
          <w:ilvl w:val="0"/>
          <w:numId w:val="5"/>
        </w:numPr>
        <w:spacing w:after="120" w:line="360" w:lineRule="auto"/>
        <w:rPr>
          <w:rFonts w:eastAsiaTheme="minorEastAsia"/>
          <w:sz w:val="22"/>
          <w:szCs w:val="22"/>
          <w:lang w:eastAsia="ko-KR"/>
        </w:rPr>
      </w:pPr>
      <w:r>
        <w:rPr>
          <w:rFonts w:eastAsiaTheme="minorEastAsia"/>
          <w:sz w:val="22"/>
          <w:szCs w:val="22"/>
          <w:lang w:eastAsia="ko-KR"/>
        </w:rPr>
        <w:t>This issue may be categorized as physical layer procedure.</w:t>
      </w:r>
    </w:p>
    <w:p>
      <w:pPr>
        <w:pStyle w:val="29"/>
        <w:kinsoku w:val="0"/>
        <w:spacing w:after="0" w:afterAutospacing="0" w:line="360" w:lineRule="auto"/>
        <w:ind w:firstLine="0"/>
        <w:rPr>
          <w:rFonts w:eastAsiaTheme="minorEastAsia"/>
          <w:sz w:val="22"/>
          <w:szCs w:val="22"/>
          <w:lang w:eastAsia="ko-KR"/>
        </w:rPr>
      </w:pPr>
    </w:p>
    <w:p>
      <w:pPr>
        <w:kinsoku w:val="0"/>
        <w:wordWrap/>
        <w:spacing w:after="0"/>
        <w:rPr>
          <w:b/>
        </w:rPr>
      </w:pPr>
      <w:r>
        <w:rPr>
          <w:rFonts w:hint="eastAsia"/>
          <w:b/>
        </w:rPr>
        <w:t>Synchronization</w:t>
      </w:r>
    </w:p>
    <w:p>
      <w:pPr>
        <w:kinsoku w:val="0"/>
        <w:wordWrap/>
        <w:spacing w:after="0"/>
        <w:rPr>
          <w:rFonts w:eastAsia="Malgun Gothic"/>
          <w:lang w:val="en-GB"/>
        </w:rPr>
      </w:pPr>
      <w:r>
        <w:rPr>
          <w:rFonts w:hint="eastAsia" w:eastAsia="Malgun Gothic"/>
          <w:lang w:val="en-GB"/>
        </w:rPr>
        <w:t xml:space="preserve">Issue SY-1: </w:t>
      </w:r>
      <w:r>
        <w:rPr>
          <w:rFonts w:eastAsia="Malgun Gothic"/>
          <w:lang w:val="en-GB"/>
        </w:rPr>
        <w:t>NR SL-TDD-Config in the coverage of eNB</w:t>
      </w:r>
    </w:p>
    <w:p>
      <w:pPr>
        <w:kinsoku w:val="0"/>
        <w:wordWrap/>
        <w:spacing w:after="0"/>
        <w:rPr>
          <w:rFonts w:eastAsia="Malgun Gothic"/>
          <w:lang w:val="en-GB"/>
        </w:rPr>
      </w:pPr>
      <w:r>
        <w:rPr>
          <w:rFonts w:eastAsia="Malgun Gothic"/>
          <w:lang w:val="en-GB"/>
        </w:rPr>
        <w:t>Issue SY-2: Indication of the non-TDD case in sl-TDD-Config</w:t>
      </w:r>
    </w:p>
    <w:p>
      <w:pPr>
        <w:kinsoku w:val="0"/>
        <w:wordWrap/>
        <w:spacing w:after="0"/>
        <w:rPr>
          <w:rFonts w:eastAsia="Malgun Gothic"/>
          <w:lang w:val="en-GB"/>
        </w:rPr>
      </w:pPr>
      <w:r>
        <w:rPr>
          <w:rFonts w:hint="eastAsia" w:eastAsia="Malgun Gothic"/>
          <w:lang w:val="en-GB"/>
        </w:rPr>
        <w:t xml:space="preserve">Issue SY-3: </w:t>
      </w:r>
      <w:r>
        <w:rPr>
          <w:rFonts w:eastAsia="Malgun Gothic"/>
          <w:lang w:val="en-GB"/>
        </w:rPr>
        <w:t>Clarification of the notation of</w:t>
      </w:r>
      <w:r>
        <w:rPr>
          <w:rFonts w:ascii="Times New Roman" w:hAnsi="Times New Roman" w:cs="Times New Roman"/>
        </w:rPr>
        <w:t xml:space="preserve"> “</w:t>
      </w:r>
      <m:oMath>
        <m:sSubSup>
          <m:sSubSupPr>
            <m:ctrlPr>
              <w:rPr>
                <w:rFonts w:ascii="Cambria Math" w:hAnsi="Cambria Math" w:eastAsia="MS Mincho" w:cs="Gulim"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lang w:val="zh-CN"/>
              </w:rPr>
              <m:t>u</m:t>
            </m:r>
            <m:ctrlPr>
              <w:rPr>
                <w:rFonts w:ascii="Cambria Math" w:hAnsi="Cambria Math" w:eastAsia="MS Mincho" w:cs="Gulim"/>
                <w:sz w:val="24"/>
                <w:szCs w:val="24"/>
                <w:lang w:eastAsia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lang w:val="zh-CN"/>
              </w:rPr>
              <m:t>slots</m:t>
            </m:r>
            <m:ctrlPr>
              <w:rPr>
                <w:rFonts w:ascii="Cambria Math" w:hAnsi="Cambria Math" w:eastAsia="MS Mincho" w:cs="Gulim"/>
                <w:sz w:val="24"/>
                <w:szCs w:val="24"/>
                <w:lang w:eastAsia="en-US"/>
              </w:rPr>
            </m:ctrlPr>
          </m:sub>
          <m:sup>
            <m:r>
              <m:rPr>
                <m:sty m:val="p"/>
              </m:rPr>
              <w:rPr>
                <w:rFonts w:ascii="Cambria Math" w:hAnsi="Cambria Math"/>
                <w:lang w:val="zh-CN"/>
              </w:rPr>
              <m:t>SL</m:t>
            </m:r>
            <m:ctrlPr>
              <w:rPr>
                <w:rFonts w:ascii="Cambria Math" w:hAnsi="Cambria Math" w:eastAsia="MS Mincho" w:cs="Gulim"/>
                <w:sz w:val="24"/>
                <w:szCs w:val="24"/>
                <w:lang w:eastAsia="en-US"/>
              </w:rPr>
            </m:ctrlPr>
          </m:sup>
        </m:sSubSup>
      </m:oMath>
      <w:r>
        <w:rPr>
          <w:rFonts w:ascii="Times New Roman" w:hAnsi="Times New Roman" w:cs="Times New Roman"/>
        </w:rPr>
        <w:t>”</w:t>
      </w:r>
    </w:p>
    <w:p>
      <w:pPr>
        <w:kinsoku w:val="0"/>
        <w:wordWrap/>
        <w:spacing w:after="0"/>
        <w:rPr>
          <w:rFonts w:eastAsia="Malgun Gothic"/>
          <w:lang w:val="en-GB"/>
        </w:rPr>
      </w:pPr>
    </w:p>
    <w:p>
      <w:pPr>
        <w:kinsoku w:val="0"/>
        <w:wordWrap/>
        <w:spacing w:after="0"/>
        <w:rPr>
          <w:b/>
        </w:rPr>
      </w:pPr>
      <w:r>
        <w:rPr>
          <w:rFonts w:hint="eastAsia"/>
          <w:b/>
        </w:rPr>
        <w:t>Mode 1</w:t>
      </w:r>
    </w:p>
    <w:p>
      <w:pPr>
        <w:widowControl/>
        <w:wordWrap/>
        <w:autoSpaceDE/>
        <w:autoSpaceDN/>
        <w:spacing w:after="0" w:line="252" w:lineRule="auto"/>
        <w:jc w:val="left"/>
        <w:rPr>
          <w:rFonts w:eastAsia="Malgun Gothic"/>
          <w:lang w:val="en-GB"/>
        </w:rPr>
      </w:pPr>
      <w:r>
        <w:rPr>
          <w:rFonts w:hint="eastAsia" w:eastAsia="Malgun Gothic"/>
          <w:lang w:val="en-GB"/>
        </w:rPr>
        <w:t>I</w:t>
      </w:r>
      <w:r>
        <w:rPr>
          <w:rFonts w:eastAsia="Malgun Gothic"/>
          <w:lang w:val="en-GB"/>
        </w:rPr>
        <w:t>ssue M1-1: SL HARQ-ACK reports to gNB</w:t>
      </w:r>
    </w:p>
    <w:p>
      <w:pPr>
        <w:pStyle w:val="17"/>
        <w:widowControl/>
        <w:numPr>
          <w:ilvl w:val="0"/>
          <w:numId w:val="6"/>
        </w:numPr>
        <w:wordWrap/>
        <w:autoSpaceDE/>
        <w:autoSpaceDN/>
        <w:spacing w:after="0" w:line="252" w:lineRule="auto"/>
        <w:ind w:leftChars="0"/>
        <w:jc w:val="left"/>
        <w:rPr>
          <w:lang w:val="en-GB" w:eastAsia="ja-JP"/>
        </w:rPr>
      </w:pPr>
      <w:r>
        <w:rPr>
          <w:bCs/>
          <w:sz w:val="22"/>
          <w:lang w:val="en-GB" w:eastAsia="ja-JP"/>
        </w:rPr>
        <w:t>M1-1-1</w:t>
      </w:r>
      <w:r>
        <w:rPr>
          <w:sz w:val="22"/>
          <w:lang w:val="en-GB" w:eastAsia="ja-JP"/>
        </w:rPr>
        <w:t>: SL HARQ-ACK reporting when SL FB is not used (see CATT (P1-P3), OPPO (Section 2), Ericsson)</w:t>
      </w:r>
    </w:p>
    <w:p>
      <w:pPr>
        <w:pStyle w:val="17"/>
        <w:widowControl/>
        <w:numPr>
          <w:ilvl w:val="1"/>
          <w:numId w:val="6"/>
        </w:numPr>
        <w:wordWrap/>
        <w:autoSpaceDE/>
        <w:autoSpaceDN/>
        <w:spacing w:after="0" w:line="252" w:lineRule="auto"/>
        <w:ind w:leftChars="0"/>
        <w:jc w:val="left"/>
        <w:rPr>
          <w:lang w:val="en-GB" w:eastAsia="ja-JP"/>
        </w:rPr>
      </w:pPr>
      <w:r>
        <w:rPr>
          <w:lang w:val="en-GB" w:eastAsia="ja-JP"/>
        </w:rPr>
        <w:t>This topic is related to Q1 in the LS from RAN2 (R1-2104559) which is discussed in some contributions (see LGE (P2))</w:t>
      </w:r>
    </w:p>
    <w:p>
      <w:pPr>
        <w:pStyle w:val="17"/>
        <w:widowControl/>
        <w:numPr>
          <w:ilvl w:val="0"/>
          <w:numId w:val="6"/>
        </w:numPr>
        <w:wordWrap/>
        <w:autoSpaceDE/>
        <w:autoSpaceDN/>
        <w:spacing w:after="0" w:line="252" w:lineRule="auto"/>
        <w:ind w:leftChars="0"/>
        <w:jc w:val="left"/>
        <w:rPr>
          <w:lang w:val="en-GB" w:eastAsia="ja-JP"/>
        </w:rPr>
      </w:pPr>
      <w:r>
        <w:rPr>
          <w:bCs/>
          <w:lang w:val="en-GB" w:eastAsia="ja-JP"/>
        </w:rPr>
        <w:t>M1-1-2</w:t>
      </w:r>
      <w:r>
        <w:rPr>
          <w:lang w:val="en-GB" w:eastAsia="ja-JP"/>
        </w:rPr>
        <w:t>: SL HARQ-ACK reporting when the UE does not perform SL transmission on the resources provided by a DG (see Fujitsu (P1), DCM (TP1))</w:t>
      </w:r>
    </w:p>
    <w:p>
      <w:pPr>
        <w:pStyle w:val="17"/>
        <w:widowControl/>
        <w:numPr>
          <w:ilvl w:val="0"/>
          <w:numId w:val="6"/>
        </w:numPr>
        <w:wordWrap/>
        <w:autoSpaceDE/>
        <w:autoSpaceDN/>
        <w:spacing w:after="0" w:line="252" w:lineRule="auto"/>
        <w:ind w:leftChars="0"/>
        <w:jc w:val="left"/>
        <w:rPr>
          <w:lang w:val="en-GB" w:eastAsia="ja-JP"/>
        </w:rPr>
      </w:pPr>
      <w:r>
        <w:rPr>
          <w:bCs/>
          <w:lang w:val="en-GB" w:eastAsia="ja-JP"/>
        </w:rPr>
        <w:t>M1-1-3</w:t>
      </w:r>
      <w:r>
        <w:rPr>
          <w:lang w:val="en-GB" w:eastAsia="ja-JP"/>
        </w:rPr>
        <w:t>: SL HARQ-ACK reporting when multiple pools are configured (see vivo (TP3), ZTE (P2), ASUSTeK (TP1))</w:t>
      </w:r>
    </w:p>
    <w:p>
      <w:pPr>
        <w:pStyle w:val="17"/>
        <w:widowControl/>
        <w:numPr>
          <w:ilvl w:val="0"/>
          <w:numId w:val="6"/>
        </w:numPr>
        <w:wordWrap/>
        <w:autoSpaceDE/>
        <w:autoSpaceDN/>
        <w:spacing w:after="0" w:line="252" w:lineRule="auto"/>
        <w:ind w:leftChars="0"/>
        <w:jc w:val="left"/>
        <w:rPr>
          <w:lang w:val="en-GB" w:eastAsia="ja-JP"/>
        </w:rPr>
      </w:pPr>
      <w:r>
        <w:rPr>
          <w:bCs/>
          <w:lang w:val="en-GB" w:eastAsia="ja-JP"/>
        </w:rPr>
        <w:t>M1-1-4</w:t>
      </w:r>
      <w:r>
        <w:rPr>
          <w:lang w:val="en-GB" w:eastAsia="ja-JP"/>
        </w:rPr>
        <w:t>: SL HARQ-ACK reporting in an incomplete PSFCH period (see vivo (TP4), ZTE (P1))</w:t>
      </w:r>
    </w:p>
    <w:p>
      <w:pPr>
        <w:pStyle w:val="17"/>
        <w:widowControl/>
        <w:numPr>
          <w:ilvl w:val="0"/>
          <w:numId w:val="6"/>
        </w:numPr>
        <w:wordWrap/>
        <w:autoSpaceDE/>
        <w:autoSpaceDN/>
        <w:spacing w:after="0" w:line="252" w:lineRule="auto"/>
        <w:ind w:leftChars="0"/>
        <w:jc w:val="left"/>
        <w:rPr>
          <w:lang w:val="en-GB" w:eastAsia="ja-JP"/>
        </w:rPr>
      </w:pPr>
      <w:r>
        <w:rPr>
          <w:bCs/>
          <w:lang w:val="en-GB" w:eastAsia="ja-JP"/>
        </w:rPr>
        <w:t>M1-1-5</w:t>
      </w:r>
      <w:r>
        <w:rPr>
          <w:lang w:val="en-GB" w:eastAsia="ja-JP"/>
        </w:rPr>
        <w:t>: Aspects related to PUCCH power control (see vivo (TP5))</w:t>
      </w:r>
    </w:p>
    <w:p>
      <w:pPr>
        <w:pStyle w:val="17"/>
        <w:widowControl/>
        <w:numPr>
          <w:ilvl w:val="0"/>
          <w:numId w:val="6"/>
        </w:numPr>
        <w:wordWrap/>
        <w:autoSpaceDE/>
        <w:autoSpaceDN/>
        <w:spacing w:after="0" w:line="252" w:lineRule="auto"/>
        <w:ind w:leftChars="0"/>
        <w:jc w:val="left"/>
        <w:rPr>
          <w:lang w:val="en-GB" w:eastAsia="ja-JP"/>
        </w:rPr>
      </w:pPr>
      <w:r>
        <w:rPr>
          <w:bCs/>
          <w:lang w:val="en-GB" w:eastAsia="ja-JP"/>
        </w:rPr>
        <w:t>M1-1-6</w:t>
      </w:r>
      <w:r>
        <w:rPr>
          <w:lang w:val="en-GB" w:eastAsia="ja-JP"/>
        </w:rPr>
        <w:t>: k&gt;0 in offset between PSFCH and HARQ-ACK reporting (see Sharp (TP3))</w:t>
      </w:r>
    </w:p>
    <w:p>
      <w:pPr>
        <w:kinsoku w:val="0"/>
        <w:wordWrap/>
        <w:spacing w:after="0"/>
        <w:rPr>
          <w:rFonts w:eastAsia="Malgun Gothic"/>
          <w:lang w:val="en-GB"/>
        </w:rPr>
      </w:pPr>
      <w:r>
        <w:rPr>
          <w:rFonts w:hint="eastAsia" w:eastAsia="Malgun Gothic"/>
          <w:lang w:val="en-GB"/>
        </w:rPr>
        <w:t xml:space="preserve">Issue M1-2: </w:t>
      </w:r>
      <w:r>
        <w:rPr>
          <w:rFonts w:eastAsia="Malgun Gothic"/>
          <w:lang w:val="en-GB"/>
        </w:rPr>
        <w:t>DCI-related aspects</w:t>
      </w:r>
    </w:p>
    <w:p>
      <w:pPr>
        <w:pStyle w:val="17"/>
        <w:widowControl/>
        <w:numPr>
          <w:ilvl w:val="0"/>
          <w:numId w:val="7"/>
        </w:numPr>
        <w:wordWrap/>
        <w:autoSpaceDE/>
        <w:autoSpaceDN/>
        <w:spacing w:after="0" w:line="252" w:lineRule="auto"/>
        <w:ind w:leftChars="0"/>
        <w:jc w:val="left"/>
        <w:rPr>
          <w:lang w:val="en-GB" w:eastAsia="ja-JP"/>
        </w:rPr>
      </w:pPr>
      <w:r>
        <w:rPr>
          <w:bCs/>
          <w:sz w:val="22"/>
          <w:lang w:val="en-GB" w:eastAsia="ja-JP"/>
        </w:rPr>
        <w:t>M1-2-1</w:t>
      </w:r>
      <w:r>
        <w:rPr>
          <w:sz w:val="22"/>
          <w:lang w:val="en-GB" w:eastAsia="ja-JP"/>
        </w:rPr>
        <w:t>: Value of n_CI (see vivo (TP1))</w:t>
      </w:r>
    </w:p>
    <w:p>
      <w:pPr>
        <w:pStyle w:val="17"/>
        <w:widowControl/>
        <w:numPr>
          <w:ilvl w:val="0"/>
          <w:numId w:val="7"/>
        </w:numPr>
        <w:wordWrap/>
        <w:autoSpaceDE/>
        <w:autoSpaceDN/>
        <w:spacing w:after="0" w:line="252" w:lineRule="auto"/>
        <w:ind w:leftChars="0"/>
        <w:jc w:val="left"/>
        <w:rPr>
          <w:lang w:val="en-GB" w:eastAsia="ja-JP"/>
        </w:rPr>
      </w:pPr>
      <w:r>
        <w:rPr>
          <w:bCs/>
          <w:lang w:val="en-GB" w:eastAsia="ja-JP"/>
        </w:rPr>
        <w:t>M1-2-2</w:t>
      </w:r>
      <w:r>
        <w:rPr>
          <w:lang w:val="en-GB" w:eastAsia="ja-JP"/>
        </w:rPr>
        <w:t>: DCI size alignment (see vivo (TP2))</w:t>
      </w:r>
    </w:p>
    <w:p>
      <w:pPr>
        <w:pStyle w:val="17"/>
        <w:widowControl/>
        <w:numPr>
          <w:ilvl w:val="0"/>
          <w:numId w:val="7"/>
        </w:numPr>
        <w:wordWrap/>
        <w:autoSpaceDE/>
        <w:autoSpaceDN/>
        <w:spacing w:after="0" w:line="252" w:lineRule="auto"/>
        <w:ind w:leftChars="0"/>
        <w:jc w:val="left"/>
        <w:rPr>
          <w:lang w:val="en-GB" w:eastAsia="ja-JP"/>
        </w:rPr>
      </w:pPr>
      <w:r>
        <w:rPr>
          <w:bCs/>
          <w:lang w:val="en-GB" w:eastAsia="ja-JP"/>
        </w:rPr>
        <w:t>M1-2-3</w:t>
      </w:r>
      <w:r>
        <w:rPr>
          <w:lang w:val="en-GB" w:eastAsia="ja-JP"/>
        </w:rPr>
        <w:t>: Configuration index in DCI format 3_0 for SL-CS-RNTI for retransmissions (see ASUSTeK (TP5), Sharp (TP1))</w:t>
      </w:r>
    </w:p>
    <w:p>
      <w:pPr>
        <w:pStyle w:val="17"/>
        <w:widowControl/>
        <w:numPr>
          <w:ilvl w:val="0"/>
          <w:numId w:val="7"/>
        </w:numPr>
        <w:wordWrap/>
        <w:autoSpaceDE/>
        <w:autoSpaceDN/>
        <w:spacing w:line="252" w:lineRule="auto"/>
        <w:ind w:leftChars="0"/>
        <w:jc w:val="left"/>
        <w:rPr>
          <w:lang w:val="en-GB" w:eastAsia="ja-JP"/>
        </w:rPr>
      </w:pPr>
      <w:r>
        <w:rPr>
          <w:bCs/>
          <w:lang w:val="en-GB" w:eastAsia="ja-JP"/>
        </w:rPr>
        <w:t>M1-2-4</w:t>
      </w:r>
      <w:r>
        <w:rPr>
          <w:lang w:val="en-GB" w:eastAsia="ja-JP"/>
        </w:rPr>
        <w:t>: Search space overlapping between SL and Uu in the same carrier (LGE (P1))</w:t>
      </w:r>
    </w:p>
    <w:p>
      <w:pPr>
        <w:kinsoku w:val="0"/>
        <w:wordWrap/>
        <w:spacing w:after="0"/>
        <w:rPr>
          <w:rFonts w:eastAsia="Malgun Gothic"/>
          <w:lang w:val="en-GB"/>
        </w:rPr>
      </w:pPr>
      <w:r>
        <w:rPr>
          <w:rFonts w:hint="eastAsia" w:eastAsia="Malgun Gothic"/>
          <w:lang w:val="en-GB"/>
        </w:rPr>
        <w:t xml:space="preserve">Issue </w:t>
      </w:r>
      <w:r>
        <w:rPr>
          <w:rFonts w:eastAsia="Malgun Gothic"/>
          <w:lang w:val="en-GB"/>
        </w:rPr>
        <w:t>M1-3: Editorial corrections</w:t>
      </w:r>
    </w:p>
    <w:p>
      <w:pPr>
        <w:pStyle w:val="17"/>
        <w:widowControl/>
        <w:numPr>
          <w:ilvl w:val="0"/>
          <w:numId w:val="6"/>
        </w:numPr>
        <w:wordWrap/>
        <w:autoSpaceDE/>
        <w:autoSpaceDN/>
        <w:spacing w:after="0" w:line="252" w:lineRule="auto"/>
        <w:ind w:leftChars="0"/>
        <w:jc w:val="left"/>
        <w:rPr>
          <w:bCs/>
          <w:lang w:val="en-GB" w:eastAsia="ja-JP"/>
        </w:rPr>
      </w:pPr>
      <w:r>
        <w:rPr>
          <w:bCs/>
          <w:sz w:val="22"/>
          <w:lang w:val="en-GB" w:eastAsia="ja-JP"/>
        </w:rPr>
        <w:t>38.213</w:t>
      </w:r>
    </w:p>
    <w:p>
      <w:pPr>
        <w:pStyle w:val="17"/>
        <w:widowControl/>
        <w:numPr>
          <w:ilvl w:val="1"/>
          <w:numId w:val="6"/>
        </w:numPr>
        <w:wordWrap/>
        <w:autoSpaceDE/>
        <w:autoSpaceDN/>
        <w:spacing w:after="0" w:line="252" w:lineRule="auto"/>
        <w:ind w:leftChars="0"/>
        <w:jc w:val="left"/>
        <w:rPr>
          <w:lang w:val="en-GB" w:eastAsia="ja-JP"/>
        </w:rPr>
      </w:pPr>
      <w:r>
        <w:rPr>
          <w:lang w:val="en-GB" w:eastAsia="ja-JP"/>
        </w:rPr>
        <w:t>Clause 10.2A: clarification of the CG validated (ASUSTeK (TP4))</w:t>
      </w:r>
    </w:p>
    <w:p>
      <w:pPr>
        <w:pStyle w:val="17"/>
        <w:widowControl/>
        <w:numPr>
          <w:ilvl w:val="1"/>
          <w:numId w:val="6"/>
        </w:numPr>
        <w:wordWrap/>
        <w:autoSpaceDE/>
        <w:autoSpaceDN/>
        <w:spacing w:after="0" w:line="252" w:lineRule="auto"/>
        <w:ind w:leftChars="0"/>
        <w:jc w:val="left"/>
        <w:rPr>
          <w:lang w:val="en-GB" w:eastAsia="ja-JP"/>
        </w:rPr>
      </w:pPr>
      <w:r>
        <w:rPr>
          <w:lang w:val="en-GB" w:eastAsia="ja-JP"/>
        </w:rPr>
        <w:t>Clause 16.5: Correct “One HARQ-ACK information bit” (Sharp (TP4))</w:t>
      </w:r>
    </w:p>
    <w:p>
      <w:pPr>
        <w:pStyle w:val="17"/>
        <w:widowControl/>
        <w:numPr>
          <w:ilvl w:val="2"/>
          <w:numId w:val="6"/>
        </w:numPr>
        <w:wordWrap/>
        <w:autoSpaceDE/>
        <w:autoSpaceDN/>
        <w:spacing w:after="0" w:line="252" w:lineRule="auto"/>
        <w:ind w:leftChars="0"/>
        <w:jc w:val="left"/>
        <w:rPr>
          <w:lang w:val="en-GB" w:eastAsia="ja-JP"/>
        </w:rPr>
      </w:pPr>
      <w:r>
        <w:rPr>
          <w:lang w:val="en-GB" w:eastAsia="ja-JP"/>
        </w:rPr>
        <w:t>FL assessment: The correction seems reasonable but it was discussed earlier without consensus.</w:t>
      </w:r>
    </w:p>
    <w:p>
      <w:pPr>
        <w:pStyle w:val="17"/>
        <w:widowControl/>
        <w:numPr>
          <w:ilvl w:val="0"/>
          <w:numId w:val="6"/>
        </w:numPr>
        <w:wordWrap/>
        <w:autoSpaceDE/>
        <w:autoSpaceDN/>
        <w:spacing w:after="0" w:line="252" w:lineRule="auto"/>
        <w:ind w:leftChars="0"/>
        <w:jc w:val="left"/>
        <w:rPr>
          <w:bCs/>
          <w:lang w:val="en-GB" w:eastAsia="ja-JP"/>
        </w:rPr>
      </w:pPr>
      <w:r>
        <w:rPr>
          <w:bCs/>
          <w:lang w:val="en-GB" w:eastAsia="ja-JP"/>
        </w:rPr>
        <w:t>38.214</w:t>
      </w:r>
    </w:p>
    <w:p>
      <w:pPr>
        <w:pStyle w:val="17"/>
        <w:widowControl/>
        <w:numPr>
          <w:ilvl w:val="1"/>
          <w:numId w:val="6"/>
        </w:numPr>
        <w:wordWrap/>
        <w:autoSpaceDE/>
        <w:autoSpaceDN/>
        <w:spacing w:after="0" w:line="252" w:lineRule="auto"/>
        <w:ind w:leftChars="0"/>
        <w:jc w:val="left"/>
        <w:rPr>
          <w:lang w:val="en-GB" w:eastAsia="ja-JP"/>
        </w:rPr>
      </w:pPr>
      <w:r>
        <w:rPr>
          <w:lang w:val="en-GB" w:eastAsia="ja-JP"/>
        </w:rPr>
        <w:t>Clause 8.1.2: correct reference (ASUSTeK (TP3))</w:t>
      </w:r>
    </w:p>
    <w:p>
      <w:pPr>
        <w:pStyle w:val="17"/>
        <w:widowControl/>
        <w:numPr>
          <w:ilvl w:val="1"/>
          <w:numId w:val="6"/>
        </w:numPr>
        <w:wordWrap/>
        <w:autoSpaceDE/>
        <w:autoSpaceDN/>
        <w:spacing w:after="0" w:line="252" w:lineRule="auto"/>
        <w:ind w:leftChars="0"/>
        <w:jc w:val="left"/>
        <w:rPr>
          <w:lang w:val="en-GB" w:eastAsia="ja-JP"/>
        </w:rPr>
      </w:pPr>
      <w:r>
        <w:rPr>
          <w:lang w:val="en-GB" w:eastAsia="ja-JP"/>
        </w:rPr>
        <w:t xml:space="preserve">Clause 8.1.2.1: </w:t>
      </w:r>
    </w:p>
    <w:p>
      <w:pPr>
        <w:pStyle w:val="17"/>
        <w:widowControl/>
        <w:numPr>
          <w:ilvl w:val="2"/>
          <w:numId w:val="6"/>
        </w:numPr>
        <w:wordWrap/>
        <w:autoSpaceDE/>
        <w:autoSpaceDN/>
        <w:spacing w:after="0" w:line="252" w:lineRule="auto"/>
        <w:ind w:leftChars="0"/>
        <w:jc w:val="left"/>
        <w:rPr>
          <w:lang w:val="en-GB" w:eastAsia="ja-JP"/>
        </w:rPr>
      </w:pPr>
      <w:r>
        <w:rPr>
          <w:lang w:val="en-GB" w:eastAsia="ja-JP"/>
        </w:rPr>
        <w:t>Indicate how the “Configuration index” field is set (see ZTE (P5), ASUSTeK (TP3))</w:t>
      </w:r>
    </w:p>
    <w:p>
      <w:pPr>
        <w:pStyle w:val="17"/>
        <w:widowControl/>
        <w:numPr>
          <w:ilvl w:val="2"/>
          <w:numId w:val="6"/>
        </w:numPr>
        <w:wordWrap/>
        <w:autoSpaceDE/>
        <w:autoSpaceDN/>
        <w:spacing w:after="0" w:line="252" w:lineRule="auto"/>
        <w:ind w:leftChars="0"/>
        <w:jc w:val="left"/>
        <w:rPr>
          <w:lang w:val="en-GB" w:eastAsia="ja-JP"/>
        </w:rPr>
      </w:pPr>
      <w:r>
        <w:rPr>
          <w:lang w:val="en-GB" w:eastAsia="ja-JP"/>
        </w:rPr>
        <w:t xml:space="preserve">RRC parameter name alignment </w:t>
      </w:r>
      <w:r>
        <w:rPr>
          <w:i/>
          <w:iCs/>
          <w:lang w:val="en-GB" w:eastAsia="ja-JP"/>
        </w:rPr>
        <w:t xml:space="preserve">timeGapFirstSidelinkTransmission </w:t>
      </w:r>
      <w:r>
        <w:t>(ASUSTeK (TP3))</w:t>
      </w:r>
    </w:p>
    <w:p>
      <w:pPr>
        <w:pStyle w:val="17"/>
        <w:widowControl/>
        <w:numPr>
          <w:ilvl w:val="1"/>
          <w:numId w:val="6"/>
        </w:numPr>
        <w:wordWrap/>
        <w:autoSpaceDE/>
        <w:autoSpaceDN/>
        <w:spacing w:line="252" w:lineRule="auto"/>
        <w:ind w:leftChars="0"/>
        <w:jc w:val="left"/>
        <w:rPr>
          <w:lang w:val="en-GB" w:eastAsia="ja-JP"/>
        </w:rPr>
      </w:pPr>
      <w:r>
        <w:rPr>
          <w:lang w:val="en-GB" w:eastAsia="ja-JP"/>
        </w:rPr>
        <w:t>Clause 8.4.1.2.2 typo (see OPPO (TP3))</w:t>
      </w:r>
    </w:p>
    <w:p>
      <w:pPr>
        <w:kinsoku w:val="0"/>
        <w:wordWrap/>
        <w:spacing w:after="0"/>
        <w:rPr>
          <w:rFonts w:eastAsia="Malgun Gothic"/>
          <w:lang w:val="en-GB"/>
        </w:rPr>
      </w:pPr>
      <w:r>
        <w:rPr>
          <w:rFonts w:hint="eastAsia" w:eastAsia="Malgun Gothic"/>
          <w:lang w:val="en-GB"/>
        </w:rPr>
        <w:t xml:space="preserve">Issue M1-4: </w:t>
      </w:r>
      <w:r>
        <w:rPr>
          <w:rFonts w:eastAsia="Malgun Gothic"/>
          <w:lang w:val="en-GB"/>
        </w:rPr>
        <w:t>TPs corresponding to agreements in previous meetings</w:t>
      </w:r>
    </w:p>
    <w:p>
      <w:pPr>
        <w:pStyle w:val="17"/>
        <w:widowControl/>
        <w:numPr>
          <w:ilvl w:val="0"/>
          <w:numId w:val="8"/>
        </w:numPr>
        <w:wordWrap/>
        <w:autoSpaceDE/>
        <w:autoSpaceDN/>
        <w:spacing w:line="252" w:lineRule="auto"/>
        <w:ind w:leftChars="0"/>
        <w:jc w:val="left"/>
        <w:rPr>
          <w:lang w:val="en-GB" w:eastAsia="ja-JP"/>
        </w:rPr>
      </w:pPr>
      <w:r>
        <w:rPr>
          <w:sz w:val="22"/>
          <w:lang w:val="en-GB" w:eastAsia="ja-JP"/>
        </w:rPr>
        <w:t>TS 38.213 Clause 16.5: Agreement/LS from RAN1#104, reply LS received in R2-2104463 (see vivo (TP6), ZTE (P4), Nokia+NSB (P1), DCM (TP2))</w:t>
      </w:r>
    </w:p>
    <w:p>
      <w:pPr>
        <w:kinsoku w:val="0"/>
        <w:wordWrap/>
        <w:spacing w:after="0"/>
        <w:rPr>
          <w:lang w:val="en-GB"/>
        </w:rPr>
      </w:pPr>
    </w:p>
    <w:p>
      <w:pPr>
        <w:kinsoku w:val="0"/>
        <w:wordWrap/>
        <w:spacing w:after="0"/>
        <w:rPr>
          <w:b/>
        </w:rPr>
      </w:pPr>
      <w:r>
        <w:rPr>
          <w:rFonts w:hint="eastAsia"/>
          <w:b/>
        </w:rPr>
        <w:t>Mode 2</w:t>
      </w:r>
    </w:p>
    <w:p>
      <w:r>
        <w:t>Issue M2-1 – TP to implement the agreement from [104b-e-NR-5G_V2X-03]</w:t>
      </w:r>
    </w:p>
    <w:p>
      <w:r>
        <w:t xml:space="preserve">Issue M2-2 – </w:t>
      </w:r>
      <w:bookmarkStart w:id="0" w:name="_Hlk71732824"/>
      <w:r>
        <w:t>Resource exclusion/selection for multiple transport blocks</w:t>
      </w:r>
      <w:bookmarkEnd w:id="0"/>
    </w:p>
    <w:p>
      <w:r>
        <w:t>Issue M2-3 – Correction to step 6) to include slots within Tproc0</w:t>
      </w:r>
    </w:p>
    <w:p>
      <w:r>
        <w:t>Issue M2-4 – Introduce a dropping condition when HARQ RTT time gap is not met</w:t>
      </w:r>
    </w:p>
    <w:p>
      <w:r>
        <w:t>Issue M2-5 – HARQ RTT time gap capturing issue in MAC – related to LS R1-2104559</w:t>
      </w:r>
    </w:p>
    <w:p>
      <w:r>
        <w:t xml:space="preserve">Issue M2-6 – </w:t>
      </w:r>
      <w:r>
        <w:rPr>
          <w:rFonts w:hint="eastAsia"/>
        </w:rPr>
        <w:t xml:space="preserve">In TS 38.214, the subscripts of the notations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hint="eastAsia" w:ascii="Cambria Math" w:hAnsi="Cambria Math"/>
              </w:rPr>
              <m:t>t</m:t>
            </m:r>
            <m:r>
              <m:rPr>
                <m:sty m:val="p"/>
              </m:rPr>
              <w:rPr>
                <w:rFonts w:hint="eastAsia" w:ascii="Cambria Math" w:hAnsi="Cambria Math"/>
              </w:rPr>
              <m:t>'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hint="eastAsia" w:ascii="Cambria Math" w:hAnsi="Cambria Math"/>
              </w:rPr>
              <m:t>m</m:t>
            </m:r>
            <m:r>
              <m:rPr>
                <m:sty m:val="p"/>
              </m:rPr>
              <w:rPr>
                <w:rFonts w:hint="eastAsia" w:ascii="Cambria Math" w:hAnsi="Cambria Math"/>
              </w:rPr>
              <m:t>+</m:t>
            </m:r>
            <m:r>
              <w:rPr>
                <w:rFonts w:hint="eastAsia" w:ascii="Cambria Math" w:hAnsi="Cambria Math"/>
              </w:rPr>
              <m:t>q</m:t>
            </m:r>
            <m:r>
              <m:rPr>
                <m:sty m:val="p"/>
              </m:rPr>
              <w:rPr>
                <w:rFonts w:hint="eastAsia" w:ascii="Cambria Math" w:hAnsi="Cambria Math"/>
              </w:rPr>
              <m:t>×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hint="eastAsia" w:ascii="Cambria Math" w:hAnsi="Cambria Math"/>
                  </w:rPr>
                  <m:t>P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w:rPr>
                    <w:rFonts w:hint="eastAsia" w:ascii="Cambria Math" w:hAnsi="Cambria Math"/>
                  </w:rPr>
                  <m:t>rsvp</m:t>
                </m:r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>_</m:t>
                </m:r>
                <m:r>
                  <w:rPr>
                    <w:rFonts w:hint="eastAsia" w:ascii="Cambria Math" w:hAnsi="Cambria Math"/>
                  </w:rPr>
                  <m:t>RX</m:t>
                </m:r>
                <m:ctrlPr>
                  <w:rPr>
                    <w:rFonts w:ascii="Cambria Math" w:hAnsi="Cambria Math"/>
                  </w:rPr>
                </m:ctrlPr>
              </m:sub>
              <m:sup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>'</m:t>
                </m:r>
                <m:ctrlPr>
                  <w:rPr>
                    <w:rFonts w:ascii="Cambria Math" w:hAnsi="Cambria Math"/>
                  </w:rPr>
                </m:ctrlPr>
              </m:sup>
            </m:sSubSup>
            <m:ctrlPr>
              <w:rPr>
                <w:rFonts w:ascii="Cambria Math" w:hAnsi="Cambria Math"/>
              </w:rPr>
            </m:ctrlPr>
          </m:sub>
          <m:sup>
            <m:r>
              <w:rPr>
                <w:rFonts w:hint="eastAsia" w:ascii="Cambria Math" w:hAnsi="Cambria Math"/>
              </w:rPr>
              <m:t>SL</m:t>
            </m:r>
            <m:ctrlPr>
              <w:rPr>
                <w:rFonts w:ascii="Cambria Math" w:hAnsi="Cambria Math"/>
              </w:rPr>
            </m:ctrlPr>
          </m:sup>
        </m:sSubSup>
      </m:oMath>
      <w:r>
        <w:rPr>
          <w:rFonts w:hint="eastAsia"/>
        </w:rPr>
        <w:t xml:space="preserve"> 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hint="eastAsia" w:ascii="Cambria Math" w:hAnsi="Cambria Math"/>
              </w:rPr>
              <m:t>R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hint="eastAsia" w:ascii="Cambria Math" w:hAnsi="Cambria Math"/>
              </w:rPr>
              <m:t>x</m:t>
            </m:r>
            <m:r>
              <m:rPr>
                <m:sty m:val="p"/>
              </m:rPr>
              <w:rPr>
                <w:rFonts w:hint="eastAsia" w:ascii="Cambria Math" w:hAnsi="Cambria Math"/>
              </w:rPr>
              <m:t>,</m:t>
            </m:r>
            <m:r>
              <w:rPr>
                <w:rFonts w:hint="eastAsia" w:ascii="Cambria Math" w:hAnsi="Cambria Math"/>
              </w:rPr>
              <m:t>y</m:t>
            </m:r>
            <m:r>
              <m:rPr>
                <m:sty m:val="p"/>
              </m:rPr>
              <w:rPr>
                <w:rFonts w:hint="eastAsia" w:ascii="Cambria Math" w:hAnsi="Cambria Math"/>
              </w:rPr>
              <m:t>+</m:t>
            </m:r>
            <m:r>
              <w:rPr>
                <w:rFonts w:hint="eastAsia" w:ascii="Cambria Math" w:hAnsi="Cambria Math"/>
              </w:rPr>
              <m:t>j</m:t>
            </m:r>
            <m:r>
              <m:rPr>
                <m:sty m:val="p"/>
              </m:rPr>
              <w:rPr>
                <w:rFonts w:hint="eastAsia" w:ascii="Cambria Math" w:hAnsi="Cambria Math"/>
              </w:rPr>
              <m:t>×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hint="eastAsia" w:ascii="Cambria Math" w:hAnsi="Cambria Math"/>
                  </w:rPr>
                  <m:t>P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w:rPr>
                    <w:rFonts w:hint="eastAsia" w:ascii="Cambria Math" w:hAnsi="Cambria Math"/>
                  </w:rPr>
                  <m:t>rsvp</m:t>
                </m:r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>_</m:t>
                </m:r>
                <m:r>
                  <w:rPr>
                    <w:rFonts w:hint="eastAsia" w:ascii="Cambria Math" w:hAnsi="Cambria Math"/>
                  </w:rPr>
                  <m:t>TX</m:t>
                </m:r>
                <m:ctrlPr>
                  <w:rPr>
                    <w:rFonts w:ascii="Cambria Math" w:hAnsi="Cambria Math"/>
                  </w:rPr>
                </m:ctrlPr>
              </m:sub>
              <m:sup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>'</m:t>
                </m:r>
                <m:ctrlPr>
                  <w:rPr>
                    <w:rFonts w:ascii="Cambria Math" w:hAnsi="Cambria Math"/>
                  </w:rPr>
                </m:ctrlPr>
              </m:sup>
            </m:sSubSup>
            <m:ctrlPr>
              <w:rPr>
                <w:rFonts w:ascii="Cambria Math" w:hAnsi="Cambria Math"/>
              </w:rPr>
            </m:ctrlPr>
          </m:sub>
        </m:sSub>
      </m:oMath>
      <w:r>
        <w:rPr>
          <w:rFonts w:hint="eastAsia"/>
        </w:rPr>
        <w:t xml:space="preserve">should be changed into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hint="eastAsia" w:ascii="Cambria Math" w:hAnsi="Cambria Math"/>
              </w:rPr>
              <m:t>t</m:t>
            </m:r>
            <m:r>
              <m:rPr>
                <m:sty m:val="p"/>
              </m:rPr>
              <w:rPr>
                <w:rFonts w:hint="eastAsia" w:ascii="Cambria Math" w:hAnsi="Cambria Math"/>
              </w:rPr>
              <m:t>'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mod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hint="eastAsia" w:ascii="Cambria Math" w:hAnsi="Cambria Math"/>
              </w:rPr>
              <m:t>m</m:t>
            </m:r>
            <m:r>
              <m:rPr>
                <m:sty m:val="p"/>
              </m:rPr>
              <w:rPr>
                <w:rFonts w:hint="eastAsia" w:ascii="Cambria Math" w:hAnsi="Cambria Math"/>
              </w:rPr>
              <m:t>+</m:t>
            </m:r>
            <m:r>
              <w:rPr>
                <w:rFonts w:hint="eastAsia" w:ascii="Cambria Math" w:hAnsi="Cambria Math"/>
              </w:rPr>
              <m:t>q</m:t>
            </m:r>
            <m:r>
              <m:rPr>
                <m:sty m:val="p"/>
              </m:rPr>
              <w:rPr>
                <w:rFonts w:hint="eastAsia" w:ascii="Cambria Math" w:hAnsi="Cambria Math"/>
              </w:rPr>
              <m:t>×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hint="eastAsia" w:ascii="Cambria Math" w:hAnsi="Cambria Math"/>
                  </w:rPr>
                  <m:t>P</m:t>
                </m:r>
                <m:ctrlPr>
                  <w:rPr>
                    <w:rFonts w:ascii="Cambria Math" w:hAnsi="Cambria Math"/>
                  </w:rPr>
                </m:ctrlPr>
              </m:e>
              <m: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hint="eastAsia" w:ascii="Cambria Math" w:hAnsi="Cambria Math"/>
                      </w:rPr>
                      <m:t>rsvp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b>
                    <m:r>
                      <w:rPr>
                        <w:rFonts w:hint="eastAsia" w:ascii="Cambria Math" w:hAnsi="Cambria Math"/>
                      </w:rPr>
                      <m:t>RX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</m:sSub>
                <m:ctrlPr>
                  <w:rPr>
                    <w:rFonts w:ascii="Cambria Math" w:hAnsi="Cambria Math"/>
                  </w:rPr>
                </m:ctrlPr>
              </m:sub>
              <m:sup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>'</m:t>
                </m:r>
                <m:ctrlPr>
                  <w:rPr>
                    <w:rFonts w:ascii="Cambria Math" w:hAnsi="Cambria Math"/>
                  </w:rPr>
                </m:ctrlPr>
              </m:sup>
            </m:sSubSup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'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ctrlPr>
                  <w:rPr>
                    <w:rFonts w:ascii="Cambria Math" w:hAnsi="Cambria Math"/>
                  </w:rPr>
                </m:ctrlPr>
              </m:e>
              <m:sub>
                <m:r>
                  <w:rPr>
                    <w:rFonts w:ascii="Cambria Math" w:hAnsi="Cambria Math"/>
                  </w:rPr>
                  <m:t>max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hint="eastAsia" w:ascii="Cambria Math" w:hAnsi="Cambria Math"/>
              </w:rPr>
              <m:t>SL</m:t>
            </m:r>
            <m:ctrlPr>
              <w:rPr>
                <w:rFonts w:ascii="Cambria Math" w:hAnsi="Cambria Math"/>
              </w:rPr>
            </m:ctrlPr>
          </m:sup>
        </m:sSubSup>
      </m:oMath>
      <w:r>
        <w:rPr>
          <w:rFonts w:hint="eastAsia"/>
        </w:rPr>
        <w:t xml:space="preserve"> 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hint="eastAsia" w:ascii="Cambria Math" w:hAnsi="Cambria Math"/>
              </w:rPr>
              <m:t>R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hint="eastAsia" w:ascii="Cambria Math" w:hAnsi="Cambria Math"/>
              </w:rPr>
              <m:t>x</m:t>
            </m:r>
            <m:r>
              <m:rPr>
                <m:sty m:val="p"/>
              </m:rPr>
              <w:rPr>
                <w:rFonts w:hint="eastAsia" w:ascii="Cambria Math" w:hAnsi="Cambria Math"/>
              </w:rPr>
              <m:t>,</m:t>
            </m:r>
            <m:r>
              <w:rPr>
                <w:rFonts w:ascii="Cambria Math" w:hAnsi="Cambria Math"/>
              </w:rPr>
              <m:t>mod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hint="eastAsia" w:ascii="Cambria Math" w:hAnsi="Cambria Math"/>
              </w:rPr>
              <m:t>y</m:t>
            </m:r>
            <m:r>
              <m:rPr>
                <m:sty m:val="p"/>
              </m:rPr>
              <w:rPr>
                <w:rFonts w:hint="eastAsia" w:ascii="Cambria Math" w:hAnsi="Cambria Math"/>
              </w:rPr>
              <m:t>+</m:t>
            </m:r>
            <m:r>
              <w:rPr>
                <w:rFonts w:hint="eastAsia" w:ascii="Cambria Math" w:hAnsi="Cambria Math"/>
              </w:rPr>
              <m:t>j</m:t>
            </m:r>
            <m:r>
              <m:rPr>
                <m:sty m:val="p"/>
              </m:rPr>
              <w:rPr>
                <w:rFonts w:hint="eastAsia" w:ascii="Cambria Math" w:hAnsi="Cambria Math"/>
              </w:rPr>
              <m:t>×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hint="eastAsia" w:ascii="Cambria Math" w:hAnsi="Cambria Math"/>
                  </w:rPr>
                  <m:t>P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w:rPr>
                    <w:rFonts w:hint="eastAsia" w:ascii="Cambria Math" w:hAnsi="Cambria Math"/>
                  </w:rPr>
                  <m:t>rsvp</m:t>
                </m:r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>_</m:t>
                </m:r>
                <m:r>
                  <w:rPr>
                    <w:rFonts w:hint="eastAsia" w:ascii="Cambria Math" w:hAnsi="Cambria Math"/>
                  </w:rPr>
                  <m:t>TX</m:t>
                </m:r>
                <m:ctrlPr>
                  <w:rPr>
                    <w:rFonts w:ascii="Cambria Math" w:hAnsi="Cambria Math"/>
                  </w:rPr>
                </m:ctrlPr>
              </m:sub>
              <m:sup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>'</m:t>
                </m:r>
                <m:ctrlPr>
                  <w:rPr>
                    <w:rFonts w:ascii="Cambria Math" w:hAnsi="Cambria Math"/>
                  </w:rPr>
                </m:ctrlPr>
              </m:sup>
            </m:sSubSup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'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  <m:ctrlPr>
                  <w:rPr>
                    <w:rFonts w:ascii="Cambria Math" w:hAnsi="Cambria Math"/>
                  </w:rPr>
                </m:ctrlPr>
              </m:e>
              <m:sub>
                <m:r>
                  <w:rPr>
                    <w:rFonts w:ascii="Cambria Math" w:hAnsi="Cambria Math"/>
                  </w:rPr>
                  <m:t>max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 xml:space="preserve"> </m:t>
        </m:r>
      </m:oMath>
      <w:r>
        <w:rPr>
          <w:rFonts w:hint="eastAsia"/>
        </w:rPr>
        <w:t>respectively</w:t>
      </w:r>
    </w:p>
    <w:p>
      <w:r>
        <w:t>Issue M2-7 – E</w:t>
      </w:r>
      <w:r>
        <w:rPr>
          <w:rFonts w:hint="eastAsia"/>
        </w:rPr>
        <w:t>xclude the slots with PSFCH when sl-LengthSymbols≤9 in the identification of candidate resources in the sensing procedure</w:t>
      </w:r>
    </w:p>
    <w:p>
      <w:r>
        <w:t>Issue M2-8 – Clarification on timing relation between re-evaluation moment and initial selection moment</w:t>
      </w:r>
    </w:p>
    <w:p>
      <w:pPr>
        <w:kinsoku w:val="0"/>
        <w:wordWrap/>
        <w:spacing w:after="0"/>
        <w:rPr>
          <w:rFonts w:eastAsia="Malgun Gothic"/>
        </w:rPr>
      </w:pPr>
    </w:p>
    <w:p>
      <w:pPr>
        <w:kinsoku w:val="0"/>
        <w:wordWrap/>
        <w:spacing w:after="0"/>
        <w:rPr>
          <w:b/>
        </w:rPr>
      </w:pPr>
      <w:r>
        <w:rPr>
          <w:rFonts w:hint="eastAsia"/>
          <w:b/>
        </w:rPr>
        <w:t>Physical layer procedure</w:t>
      </w:r>
    </w:p>
    <w:p>
      <w:pPr>
        <w:kinsoku w:val="0"/>
        <w:wordWrap/>
        <w:spacing w:after="0"/>
        <w:rPr>
          <w:rFonts w:eastAsia="Malgun Gothic"/>
        </w:rPr>
      </w:pPr>
      <w:r>
        <w:rPr>
          <w:rFonts w:eastAsia="Malgun Gothic"/>
        </w:rPr>
        <w:t>Issue PP-1: TP for multiplexing SL HARQ-ACK reports on a PUSCH</w:t>
      </w:r>
    </w:p>
    <w:p>
      <w:pPr>
        <w:pStyle w:val="17"/>
        <w:numPr>
          <w:ilvl w:val="0"/>
          <w:numId w:val="5"/>
        </w:numPr>
        <w:kinsoku w:val="0"/>
        <w:wordWrap/>
        <w:spacing w:after="0"/>
        <w:ind w:leftChars="0"/>
        <w:rPr>
          <w:rFonts w:eastAsia="Malgun Gothic"/>
        </w:rPr>
      </w:pPr>
      <w:r>
        <w:rPr>
          <w:rFonts w:eastAsia="Malgun Gothic"/>
        </w:rPr>
        <w:t>Huawei [R1-2104235], CATT [R-12104478], vivo [R1-2105464], Ericsson [R1-2105895], LG [R1-2105291], Apple [R1-2105082], DCM [R1-2105681]</w:t>
      </w:r>
    </w:p>
    <w:p>
      <w:pPr>
        <w:kinsoku w:val="0"/>
        <w:wordWrap/>
        <w:spacing w:after="0"/>
        <w:rPr>
          <w:rFonts w:eastAsia="Malgun Gothic"/>
        </w:rPr>
      </w:pPr>
      <w:r>
        <w:rPr>
          <w:rFonts w:hint="eastAsia" w:eastAsia="Malgun Gothic"/>
        </w:rPr>
        <w:t xml:space="preserve">Issue PP-2: </w:t>
      </w:r>
      <w:r>
        <w:rPr>
          <w:rFonts w:eastAsia="Malgun Gothic"/>
        </w:rPr>
        <w:t>Prioritization rule between PUSCH carrying SL HARQ-ACK reports and SL TX and/or RX</w:t>
      </w:r>
    </w:p>
    <w:p>
      <w:pPr>
        <w:pStyle w:val="17"/>
        <w:numPr>
          <w:ilvl w:val="0"/>
          <w:numId w:val="5"/>
        </w:numPr>
        <w:kinsoku w:val="0"/>
        <w:wordWrap/>
        <w:spacing w:after="0"/>
        <w:ind w:leftChars="0"/>
        <w:rPr>
          <w:rFonts w:eastAsia="Malgun Gothic"/>
        </w:rPr>
      </w:pPr>
      <w:r>
        <w:rPr>
          <w:rFonts w:eastAsia="Malgun Gothic"/>
        </w:rPr>
        <w:t>Fujitsu [R1-2102720], Apple [R1-2105082]</w:t>
      </w:r>
    </w:p>
    <w:p>
      <w:pPr>
        <w:kinsoku w:val="0"/>
        <w:wordWrap/>
        <w:spacing w:after="0"/>
        <w:rPr>
          <w:rFonts w:eastAsia="Malgun Gothic"/>
        </w:rPr>
      </w:pPr>
      <w:r>
        <w:rPr>
          <w:rFonts w:eastAsia="Malgun Gothic"/>
        </w:rPr>
        <w:t>Issue PP-3: Editorial corrections</w:t>
      </w:r>
    </w:p>
    <w:p>
      <w:pPr>
        <w:pStyle w:val="17"/>
        <w:numPr>
          <w:ilvl w:val="0"/>
          <w:numId w:val="5"/>
        </w:numPr>
        <w:kinsoku w:val="0"/>
        <w:wordWrap/>
        <w:spacing w:after="0"/>
        <w:ind w:leftChars="0"/>
        <w:rPr>
          <w:rFonts w:eastAsia="Malgun Gothic"/>
        </w:rPr>
      </w:pPr>
      <w:r>
        <w:rPr>
          <w:rFonts w:eastAsia="Malgun Gothic"/>
        </w:rPr>
        <w:t xml:space="preserve">Value of sl-PSFCH-RB-Set </w:t>
      </w:r>
    </w:p>
    <w:p>
      <w:pPr>
        <w:pStyle w:val="17"/>
        <w:numPr>
          <w:ilvl w:val="1"/>
          <w:numId w:val="5"/>
        </w:numPr>
        <w:kinsoku w:val="0"/>
        <w:wordWrap/>
        <w:spacing w:after="0"/>
        <w:ind w:leftChars="0"/>
        <w:rPr>
          <w:rFonts w:eastAsia="Malgun Gothic"/>
        </w:rPr>
      </w:pPr>
      <w:r>
        <w:rPr>
          <w:rFonts w:eastAsia="Malgun Gothic"/>
        </w:rPr>
        <w:t>Huawei [R1-2104235]</w:t>
      </w:r>
    </w:p>
    <w:p>
      <w:pPr>
        <w:pStyle w:val="17"/>
        <w:numPr>
          <w:ilvl w:val="0"/>
          <w:numId w:val="5"/>
        </w:numPr>
        <w:kinsoku w:val="0"/>
        <w:wordWrap/>
        <w:spacing w:after="0"/>
        <w:ind w:leftChars="0"/>
        <w:rPr>
          <w:rFonts w:eastAsia="Malgun Gothic"/>
        </w:rPr>
      </w:pPr>
      <w:r>
        <w:rPr>
          <w:rFonts w:eastAsia="Malgun Gothic"/>
        </w:rPr>
        <w:t>Applicable condition of using sl-P0-PSSCH-PSCCH</w:t>
      </w:r>
    </w:p>
    <w:p>
      <w:pPr>
        <w:pStyle w:val="17"/>
        <w:numPr>
          <w:ilvl w:val="1"/>
          <w:numId w:val="5"/>
        </w:numPr>
        <w:kinsoku w:val="0"/>
        <w:wordWrap/>
        <w:spacing w:after="0"/>
        <w:ind w:leftChars="0"/>
        <w:rPr>
          <w:rFonts w:eastAsia="Malgun Gothic"/>
        </w:rPr>
      </w:pPr>
      <w:r>
        <w:rPr>
          <w:rFonts w:eastAsia="Malgun Gothic"/>
        </w:rPr>
        <w:t>Qualcomm [R1-2104649]</w:t>
      </w:r>
    </w:p>
    <w:p>
      <w:pPr>
        <w:pStyle w:val="17"/>
        <w:numPr>
          <w:ilvl w:val="0"/>
          <w:numId w:val="5"/>
        </w:numPr>
        <w:kinsoku w:val="0"/>
        <w:wordWrap/>
        <w:spacing w:after="0"/>
        <w:ind w:leftChars="0"/>
        <w:rPr>
          <w:rFonts w:eastAsia="Malgun Gothic"/>
        </w:rPr>
      </w:pPr>
      <w:r>
        <w:rPr>
          <w:rFonts w:eastAsia="Malgun Gothic"/>
        </w:rPr>
        <w:t>Replacement of “a serving cell” with “a carrier”</w:t>
      </w:r>
    </w:p>
    <w:p>
      <w:pPr>
        <w:pStyle w:val="17"/>
        <w:numPr>
          <w:ilvl w:val="1"/>
          <w:numId w:val="5"/>
        </w:numPr>
        <w:kinsoku w:val="0"/>
        <w:wordWrap/>
        <w:spacing w:after="0"/>
        <w:ind w:leftChars="0"/>
        <w:rPr>
          <w:rFonts w:eastAsia="Malgun Gothic"/>
        </w:rPr>
      </w:pPr>
      <w:r>
        <w:rPr>
          <w:rFonts w:eastAsia="Malgun Gothic"/>
        </w:rPr>
        <w:t>DCM [R1-2105681]</w:t>
      </w:r>
    </w:p>
    <w:p>
      <w:pPr>
        <w:pStyle w:val="17"/>
        <w:numPr>
          <w:ilvl w:val="0"/>
          <w:numId w:val="5"/>
        </w:numPr>
        <w:kinsoku w:val="0"/>
        <w:wordWrap/>
        <w:spacing w:after="0"/>
        <w:ind w:leftChars="0"/>
        <w:rPr>
          <w:rFonts w:eastAsia="Malgun Gothic"/>
        </w:rPr>
      </w:pPr>
      <w:r>
        <w:rPr>
          <w:rFonts w:eastAsia="Malgun Gothic"/>
        </w:rPr>
        <w:t>Reference correction</w:t>
      </w:r>
    </w:p>
    <w:p>
      <w:pPr>
        <w:pStyle w:val="17"/>
        <w:numPr>
          <w:ilvl w:val="1"/>
          <w:numId w:val="5"/>
        </w:numPr>
        <w:kinsoku w:val="0"/>
        <w:wordWrap/>
        <w:spacing w:after="0"/>
        <w:ind w:leftChars="0"/>
        <w:rPr>
          <w:rFonts w:eastAsia="Malgun Gothic"/>
        </w:rPr>
      </w:pPr>
      <w:r>
        <w:rPr>
          <w:rFonts w:eastAsia="Malgun Gothic"/>
        </w:rPr>
        <w:t>DCM [R1-2105681]</w:t>
      </w:r>
    </w:p>
    <w:p>
      <w:pPr>
        <w:kinsoku w:val="0"/>
        <w:wordWrap/>
        <w:spacing w:after="0"/>
        <w:rPr>
          <w:rFonts w:eastAsia="Malgun Gothic"/>
        </w:rPr>
      </w:pPr>
    </w:p>
    <w:p>
      <w:pPr>
        <w:kinsoku w:val="0"/>
        <w:wordWrap/>
        <w:spacing w:after="0"/>
        <w:rPr>
          <w:b/>
        </w:rPr>
      </w:pPr>
      <w:r>
        <w:rPr>
          <w:rFonts w:hint="eastAsia"/>
          <w:b/>
        </w:rPr>
        <w:t>QoS</w:t>
      </w:r>
    </w:p>
    <w:p>
      <w:pPr>
        <w:kinsoku w:val="0"/>
        <w:wordWrap/>
        <w:spacing w:after="0"/>
      </w:pPr>
      <w:r>
        <w:t>Issue QS-1: UE behaviour if highest CBR in CBR range configuration is less than 100 %</w:t>
      </w:r>
    </w:p>
    <w:sectPr>
      <w:pgSz w:w="11906" w:h="16838"/>
      <w:pgMar w:top="1701" w:right="1440" w:bottom="1440" w:left="1440" w:header="851" w:footer="992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modern"/>
    <w:pitch w:val="default"/>
    <w:sig w:usb0="900002AF" w:usb1="01D77CFB" w:usb2="00000012" w:usb3="00000000" w:csb0="0008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DengXian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Gulim">
    <w:panose1 w:val="020B0600000101010101"/>
    <w:charset w:val="81"/>
    <w:family w:val="modern"/>
    <w:pitch w:val="default"/>
    <w:sig w:usb0="B00002AF" w:usb1="69D77CFB" w:usb2="00000030" w:usb3="00000000" w:csb0="4008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A5B51"/>
    <w:multiLevelType w:val="multilevel"/>
    <w:tmpl w:val="0C2A5B51"/>
    <w:lvl w:ilvl="0" w:tentative="0">
      <w:start w:val="0"/>
      <w:numFmt w:val="bullet"/>
      <w:lvlText w:val="-"/>
      <w:lvlJc w:val="left"/>
      <w:pPr>
        <w:ind w:left="42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860" w:hanging="40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0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60" w:hanging="40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060" w:hanging="40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460" w:hanging="40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860" w:hanging="40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260" w:hanging="40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660" w:hanging="400"/>
      </w:pPr>
      <w:rPr>
        <w:rFonts w:hint="default" w:ascii="Wingdings" w:hAnsi="Wingdings"/>
      </w:rPr>
    </w:lvl>
  </w:abstractNum>
  <w:abstractNum w:abstractNumId="1">
    <w:nsid w:val="15407B24"/>
    <w:multiLevelType w:val="multilevel"/>
    <w:tmpl w:val="15407B24"/>
    <w:lvl w:ilvl="0" w:tentative="0">
      <w:start w:val="0"/>
      <w:numFmt w:val="bullet"/>
      <w:lvlText w:val="-"/>
      <w:lvlJc w:val="left"/>
      <w:pPr>
        <w:ind w:left="76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1200" w:hanging="40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00" w:hanging="40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00" w:hanging="40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0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00" w:hanging="40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00" w:hanging="40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00" w:hanging="40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00" w:hanging="400"/>
      </w:pPr>
      <w:rPr>
        <w:rFonts w:hint="default" w:ascii="Wingdings" w:hAnsi="Wingdings"/>
      </w:rPr>
    </w:lvl>
  </w:abstractNum>
  <w:abstractNum w:abstractNumId="2">
    <w:nsid w:val="17A82A70"/>
    <w:multiLevelType w:val="multilevel"/>
    <w:tmpl w:val="17A82A70"/>
    <w:lvl w:ilvl="0" w:tentative="0">
      <w:start w:val="1"/>
      <w:numFmt w:val="bullet"/>
      <w:lvlText w:val=""/>
      <w:lvlJc w:val="left"/>
      <w:pPr>
        <w:ind w:left="400" w:hanging="40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00" w:hanging="40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00" w:hanging="40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00" w:hanging="40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000" w:hanging="40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400" w:hanging="40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800" w:hanging="40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200" w:hanging="40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600" w:hanging="400"/>
      </w:pPr>
      <w:rPr>
        <w:rFonts w:hint="default" w:ascii="Wingdings" w:hAnsi="Wingdings"/>
      </w:rPr>
    </w:lvl>
  </w:abstractNum>
  <w:abstractNum w:abstractNumId="3">
    <w:nsid w:val="314B380B"/>
    <w:multiLevelType w:val="multilevel"/>
    <w:tmpl w:val="314B380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3FF5F2B"/>
    <w:multiLevelType w:val="multilevel"/>
    <w:tmpl w:val="43FF5F2B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b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5">
    <w:nsid w:val="582A7E70"/>
    <w:multiLevelType w:val="multilevel"/>
    <w:tmpl w:val="582A7E7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6FFB403F"/>
    <w:multiLevelType w:val="multilevel"/>
    <w:tmpl w:val="6FFB403F"/>
    <w:lvl w:ilvl="0" w:tentative="0">
      <w:start w:val="0"/>
      <w:numFmt w:val="bullet"/>
      <w:lvlText w:val="-"/>
      <w:lvlJc w:val="left"/>
      <w:pPr>
        <w:ind w:left="760" w:hanging="360"/>
      </w:pPr>
      <w:rPr>
        <w:rFonts w:hint="eastAsia" w:ascii="Malgun Gothic" w:hAnsi="Malgun Gothic" w:eastAsia="Malgun Gothic" w:cstheme="minorBidi"/>
      </w:rPr>
    </w:lvl>
    <w:lvl w:ilvl="1" w:tentative="0">
      <w:start w:val="1"/>
      <w:numFmt w:val="bullet"/>
      <w:lvlText w:val=""/>
      <w:lvlJc w:val="left"/>
      <w:pPr>
        <w:ind w:left="1200" w:hanging="40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00" w:hanging="40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00" w:hanging="40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0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00" w:hanging="40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00" w:hanging="40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00" w:hanging="40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00" w:hanging="400"/>
      </w:pPr>
      <w:rPr>
        <w:rFonts w:hint="default" w:ascii="Wingdings" w:hAnsi="Wingdings"/>
      </w:rPr>
    </w:lvl>
  </w:abstractNum>
  <w:abstractNum w:abstractNumId="7">
    <w:nsid w:val="71300A20"/>
    <w:multiLevelType w:val="multilevel"/>
    <w:tmpl w:val="71300A2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harp">
    <w15:presenceInfo w15:providerId="None" w15:userId="Shar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800"/>
  <w:hyphenationZone w:val="425"/>
  <w:displayHorizontalDrawingGridEvery w:val="0"/>
  <w:displayVerticalDrawingGridEvery w:val="2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B02"/>
    <w:rsid w:val="00005B99"/>
    <w:rsid w:val="000757E3"/>
    <w:rsid w:val="00075D81"/>
    <w:rsid w:val="00091E8A"/>
    <w:rsid w:val="000C14BC"/>
    <w:rsid w:val="000C351A"/>
    <w:rsid w:val="000D143F"/>
    <w:rsid w:val="000D2171"/>
    <w:rsid w:val="000D4C0B"/>
    <w:rsid w:val="000D7B02"/>
    <w:rsid w:val="00120BDC"/>
    <w:rsid w:val="00161670"/>
    <w:rsid w:val="00171A4C"/>
    <w:rsid w:val="00184731"/>
    <w:rsid w:val="00184F9D"/>
    <w:rsid w:val="00196A38"/>
    <w:rsid w:val="001D2D83"/>
    <w:rsid w:val="00233C5B"/>
    <w:rsid w:val="00234609"/>
    <w:rsid w:val="002B4339"/>
    <w:rsid w:val="002D5FA0"/>
    <w:rsid w:val="002E0AEB"/>
    <w:rsid w:val="002E2154"/>
    <w:rsid w:val="002E4F28"/>
    <w:rsid w:val="0030462B"/>
    <w:rsid w:val="003146C1"/>
    <w:rsid w:val="003444DD"/>
    <w:rsid w:val="00363471"/>
    <w:rsid w:val="003931CA"/>
    <w:rsid w:val="003A3703"/>
    <w:rsid w:val="003B2632"/>
    <w:rsid w:val="003B5664"/>
    <w:rsid w:val="003C0E79"/>
    <w:rsid w:val="003C73C6"/>
    <w:rsid w:val="003F32E8"/>
    <w:rsid w:val="00435A00"/>
    <w:rsid w:val="00460D24"/>
    <w:rsid w:val="00483124"/>
    <w:rsid w:val="004B0AC9"/>
    <w:rsid w:val="004C5E7A"/>
    <w:rsid w:val="00522F78"/>
    <w:rsid w:val="00532C37"/>
    <w:rsid w:val="0059210B"/>
    <w:rsid w:val="005A681C"/>
    <w:rsid w:val="00642D02"/>
    <w:rsid w:val="006C343D"/>
    <w:rsid w:val="006D7C9F"/>
    <w:rsid w:val="006E76AF"/>
    <w:rsid w:val="006F7CB0"/>
    <w:rsid w:val="00712DAB"/>
    <w:rsid w:val="007717FC"/>
    <w:rsid w:val="00772906"/>
    <w:rsid w:val="00786065"/>
    <w:rsid w:val="007A0941"/>
    <w:rsid w:val="007D6CF7"/>
    <w:rsid w:val="007F2010"/>
    <w:rsid w:val="007F23D9"/>
    <w:rsid w:val="007F6A90"/>
    <w:rsid w:val="00820F5F"/>
    <w:rsid w:val="00822E4E"/>
    <w:rsid w:val="0083137C"/>
    <w:rsid w:val="00845701"/>
    <w:rsid w:val="008510B0"/>
    <w:rsid w:val="008618B9"/>
    <w:rsid w:val="0087050E"/>
    <w:rsid w:val="00880E24"/>
    <w:rsid w:val="008847AE"/>
    <w:rsid w:val="00936E4E"/>
    <w:rsid w:val="00953D33"/>
    <w:rsid w:val="00957C3A"/>
    <w:rsid w:val="00975E96"/>
    <w:rsid w:val="009C0FBE"/>
    <w:rsid w:val="009C5816"/>
    <w:rsid w:val="009D244D"/>
    <w:rsid w:val="009D27A9"/>
    <w:rsid w:val="009F5EE8"/>
    <w:rsid w:val="00A216B5"/>
    <w:rsid w:val="00A27899"/>
    <w:rsid w:val="00A51918"/>
    <w:rsid w:val="00A6635D"/>
    <w:rsid w:val="00A919CB"/>
    <w:rsid w:val="00AC1DEB"/>
    <w:rsid w:val="00AF63FB"/>
    <w:rsid w:val="00B076D8"/>
    <w:rsid w:val="00B2614D"/>
    <w:rsid w:val="00B93932"/>
    <w:rsid w:val="00B94F24"/>
    <w:rsid w:val="00BA4B7C"/>
    <w:rsid w:val="00BB09A9"/>
    <w:rsid w:val="00BB258D"/>
    <w:rsid w:val="00BB47D3"/>
    <w:rsid w:val="00C06C38"/>
    <w:rsid w:val="00C16C8E"/>
    <w:rsid w:val="00C412CB"/>
    <w:rsid w:val="00C70C25"/>
    <w:rsid w:val="00C76C8E"/>
    <w:rsid w:val="00CB0FE3"/>
    <w:rsid w:val="00CB2BE1"/>
    <w:rsid w:val="00CB300E"/>
    <w:rsid w:val="00CF5E0D"/>
    <w:rsid w:val="00D02F79"/>
    <w:rsid w:val="00D42902"/>
    <w:rsid w:val="00D43901"/>
    <w:rsid w:val="00D4698E"/>
    <w:rsid w:val="00D75D6D"/>
    <w:rsid w:val="00D8212A"/>
    <w:rsid w:val="00DB730D"/>
    <w:rsid w:val="00DC4549"/>
    <w:rsid w:val="00DF3C26"/>
    <w:rsid w:val="00E1731B"/>
    <w:rsid w:val="00E51F5E"/>
    <w:rsid w:val="00EA6B6C"/>
    <w:rsid w:val="00EA7514"/>
    <w:rsid w:val="00EA7801"/>
    <w:rsid w:val="00F20DBC"/>
    <w:rsid w:val="00F60B71"/>
    <w:rsid w:val="00F7692B"/>
    <w:rsid w:val="00FA3E5B"/>
    <w:rsid w:val="00FA47B2"/>
    <w:rsid w:val="00FB3B35"/>
    <w:rsid w:val="00FB6D7E"/>
    <w:rsid w:val="00FD7B4C"/>
    <w:rsid w:val="28EC381E"/>
    <w:rsid w:val="52AD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paragraph" w:styleId="2">
    <w:name w:val="heading 1"/>
    <w:basedOn w:val="1"/>
    <w:next w:val="1"/>
    <w:link w:val="18"/>
    <w:qFormat/>
    <w:uiPriority w:val="9"/>
    <w:pPr>
      <w:numPr>
        <w:ilvl w:val="0"/>
        <w:numId w:val="1"/>
      </w:numPr>
      <w:wordWrap/>
      <w:autoSpaceDE/>
      <w:autoSpaceDN/>
      <w:spacing w:before="240" w:after="60" w:line="240" w:lineRule="auto"/>
      <w:jc w:val="left"/>
      <w:outlineLvl w:val="0"/>
    </w:pPr>
    <w:rPr>
      <w:rFonts w:ascii="Arial" w:hAnsi="Arial" w:eastAsia="Batang" w:cs="Times New Roman"/>
      <w:b/>
      <w:bCs/>
      <w:kern w:val="32"/>
      <w:sz w:val="32"/>
      <w:szCs w:val="32"/>
      <w:lang w:val="en-GB"/>
    </w:rPr>
  </w:style>
  <w:style w:type="paragraph" w:styleId="3">
    <w:name w:val="heading 2"/>
    <w:basedOn w:val="1"/>
    <w:next w:val="1"/>
    <w:link w:val="19"/>
    <w:qFormat/>
    <w:uiPriority w:val="9"/>
    <w:pPr>
      <w:keepNext/>
      <w:numPr>
        <w:ilvl w:val="1"/>
        <w:numId w:val="1"/>
      </w:numPr>
      <w:wordWrap/>
      <w:autoSpaceDE/>
      <w:autoSpaceDN/>
      <w:spacing w:before="240" w:after="60" w:line="240" w:lineRule="auto"/>
      <w:jc w:val="left"/>
      <w:outlineLvl w:val="1"/>
    </w:pPr>
    <w:rPr>
      <w:rFonts w:ascii="Arial" w:hAnsi="Arial" w:eastAsia="Batang" w:cs="Times New Roman"/>
      <w:b/>
      <w:bCs/>
      <w:i/>
      <w:iCs/>
      <w:kern w:val="0"/>
      <w:sz w:val="24"/>
      <w:szCs w:val="28"/>
      <w:lang w:val="en-GB"/>
    </w:rPr>
  </w:style>
  <w:style w:type="paragraph" w:styleId="4">
    <w:name w:val="heading 3"/>
    <w:basedOn w:val="1"/>
    <w:next w:val="1"/>
    <w:link w:val="20"/>
    <w:qFormat/>
    <w:uiPriority w:val="0"/>
    <w:pPr>
      <w:keepNext/>
      <w:widowControl/>
      <w:numPr>
        <w:ilvl w:val="2"/>
        <w:numId w:val="1"/>
      </w:numPr>
      <w:wordWrap/>
      <w:autoSpaceDE/>
      <w:autoSpaceDN/>
      <w:spacing w:before="240" w:after="60" w:line="240" w:lineRule="auto"/>
      <w:jc w:val="left"/>
      <w:outlineLvl w:val="2"/>
    </w:pPr>
    <w:rPr>
      <w:rFonts w:ascii="Arial" w:hAnsi="Arial" w:eastAsia="Batang" w:cs="Times New Roman"/>
      <w:b/>
      <w:kern w:val="0"/>
      <w:szCs w:val="26"/>
      <w:lang w:val="en-GB"/>
    </w:rPr>
  </w:style>
  <w:style w:type="paragraph" w:styleId="5">
    <w:name w:val="heading 4"/>
    <w:basedOn w:val="4"/>
    <w:next w:val="1"/>
    <w:link w:val="21"/>
    <w:qFormat/>
    <w:uiPriority w:val="9"/>
    <w:pPr>
      <w:numPr>
        <w:ilvl w:val="3"/>
      </w:numPr>
      <w:outlineLvl w:val="3"/>
    </w:pPr>
    <w:rPr>
      <w:i/>
    </w:rPr>
  </w:style>
  <w:style w:type="paragraph" w:styleId="6">
    <w:name w:val="heading 5"/>
    <w:basedOn w:val="5"/>
    <w:next w:val="1"/>
    <w:link w:val="22"/>
    <w:qFormat/>
    <w:uiPriority w:val="9"/>
    <w:pPr>
      <w:numPr>
        <w:ilvl w:val="4"/>
      </w:numPr>
      <w:tabs>
        <w:tab w:val="left" w:pos="864"/>
      </w:tabs>
      <w:ind w:left="864" w:hanging="864"/>
      <w:outlineLvl w:val="4"/>
    </w:pPr>
    <w:rPr>
      <w:bCs/>
      <w:i w:val="0"/>
      <w:iCs/>
      <w:sz w:val="18"/>
    </w:rPr>
  </w:style>
  <w:style w:type="paragraph" w:styleId="7">
    <w:name w:val="heading 6"/>
    <w:basedOn w:val="1"/>
    <w:next w:val="1"/>
    <w:link w:val="23"/>
    <w:qFormat/>
    <w:uiPriority w:val="9"/>
    <w:pPr>
      <w:widowControl/>
      <w:numPr>
        <w:ilvl w:val="5"/>
        <w:numId w:val="1"/>
      </w:numPr>
      <w:wordWrap/>
      <w:autoSpaceDE/>
      <w:autoSpaceDN/>
      <w:spacing w:before="240" w:after="60" w:line="240" w:lineRule="auto"/>
      <w:jc w:val="left"/>
      <w:outlineLvl w:val="5"/>
    </w:pPr>
    <w:rPr>
      <w:rFonts w:ascii="Arial" w:hAnsi="Arial" w:eastAsia="Batang" w:cs="Times New Roman"/>
      <w:b/>
      <w:bCs/>
      <w:i/>
      <w:kern w:val="0"/>
      <w:sz w:val="18"/>
      <w:lang w:val="en-GB"/>
    </w:rPr>
  </w:style>
  <w:style w:type="paragraph" w:styleId="8">
    <w:name w:val="heading 7"/>
    <w:basedOn w:val="1"/>
    <w:next w:val="1"/>
    <w:link w:val="24"/>
    <w:qFormat/>
    <w:uiPriority w:val="9"/>
    <w:pPr>
      <w:widowControl/>
      <w:numPr>
        <w:ilvl w:val="6"/>
        <w:numId w:val="1"/>
      </w:numPr>
      <w:wordWrap/>
      <w:autoSpaceDE/>
      <w:autoSpaceDN/>
      <w:spacing w:before="240" w:after="60" w:line="240" w:lineRule="auto"/>
      <w:jc w:val="left"/>
      <w:outlineLvl w:val="6"/>
    </w:pPr>
    <w:rPr>
      <w:rFonts w:ascii="Times New Roman" w:hAnsi="Times New Roman" w:eastAsia="Batang" w:cs="Times New Roman"/>
      <w:kern w:val="0"/>
      <w:sz w:val="24"/>
      <w:szCs w:val="24"/>
      <w:lang w:val="en-GB"/>
    </w:rPr>
  </w:style>
  <w:style w:type="paragraph" w:styleId="9">
    <w:name w:val="heading 8"/>
    <w:basedOn w:val="1"/>
    <w:next w:val="1"/>
    <w:link w:val="25"/>
    <w:qFormat/>
    <w:uiPriority w:val="9"/>
    <w:pPr>
      <w:widowControl/>
      <w:numPr>
        <w:ilvl w:val="7"/>
        <w:numId w:val="1"/>
      </w:numPr>
      <w:tabs>
        <w:tab w:val="clear" w:pos="1440"/>
      </w:tabs>
      <w:wordWrap/>
      <w:autoSpaceDE/>
      <w:autoSpaceDN/>
      <w:spacing w:before="240" w:after="60" w:line="240" w:lineRule="auto"/>
      <w:jc w:val="left"/>
      <w:outlineLvl w:val="7"/>
    </w:pPr>
    <w:rPr>
      <w:rFonts w:ascii="Times New Roman" w:hAnsi="Times New Roman" w:eastAsia="Batang" w:cs="Times New Roman"/>
      <w:i/>
      <w:iCs/>
      <w:kern w:val="0"/>
      <w:sz w:val="24"/>
      <w:szCs w:val="24"/>
      <w:lang w:val="en-GB"/>
    </w:rPr>
  </w:style>
  <w:style w:type="paragraph" w:styleId="10">
    <w:name w:val="heading 9"/>
    <w:basedOn w:val="1"/>
    <w:next w:val="1"/>
    <w:link w:val="26"/>
    <w:qFormat/>
    <w:uiPriority w:val="9"/>
    <w:pPr>
      <w:widowControl/>
      <w:numPr>
        <w:ilvl w:val="8"/>
        <w:numId w:val="1"/>
      </w:numPr>
      <w:wordWrap/>
      <w:autoSpaceDE/>
      <w:autoSpaceDN/>
      <w:spacing w:before="240" w:after="60" w:line="240" w:lineRule="auto"/>
      <w:jc w:val="left"/>
      <w:outlineLvl w:val="8"/>
    </w:pPr>
    <w:rPr>
      <w:rFonts w:ascii="Arial" w:hAnsi="Arial" w:eastAsia="Batang" w:cs="Times New Roman"/>
      <w:kern w:val="0"/>
      <w:sz w:val="22"/>
      <w:lang w:val="en-GB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28"/>
    <w:semiHidden/>
    <w:unhideWhenUsed/>
    <w:uiPriority w:val="99"/>
    <w:pPr>
      <w:spacing w:after="0" w:line="240" w:lineRule="auto"/>
    </w:pPr>
    <w:rPr>
      <w:rFonts w:asciiTheme="majorHAnsi" w:hAnsiTheme="majorHAnsi" w:eastAsiaTheme="majorEastAsia" w:cstheme="majorBidi"/>
      <w:sz w:val="18"/>
      <w:szCs w:val="18"/>
    </w:rPr>
  </w:style>
  <w:style w:type="paragraph" w:styleId="12">
    <w:name w:val="footer"/>
    <w:basedOn w:val="1"/>
    <w:link w:val="32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13">
    <w:name w:val="header"/>
    <w:basedOn w:val="1"/>
    <w:link w:val="31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table" w:styleId="15">
    <w:name w:val="Table Grid"/>
    <w:basedOn w:val="1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7">
    <w:name w:val="List Paragraph"/>
    <w:basedOn w:val="1"/>
    <w:link w:val="27"/>
    <w:qFormat/>
    <w:uiPriority w:val="34"/>
    <w:pPr>
      <w:ind w:left="800" w:leftChars="400"/>
    </w:pPr>
  </w:style>
  <w:style w:type="character" w:customStyle="1" w:styleId="18">
    <w:name w:val="제목 1 Char"/>
    <w:basedOn w:val="16"/>
    <w:link w:val="2"/>
    <w:qFormat/>
    <w:uiPriority w:val="9"/>
    <w:rPr>
      <w:rFonts w:ascii="Arial" w:hAnsi="Arial" w:eastAsia="Batang" w:cs="Times New Roman"/>
      <w:b/>
      <w:bCs/>
      <w:kern w:val="32"/>
      <w:sz w:val="32"/>
      <w:szCs w:val="32"/>
      <w:lang w:val="en-GB"/>
    </w:rPr>
  </w:style>
  <w:style w:type="character" w:customStyle="1" w:styleId="19">
    <w:name w:val="제목 2 Char"/>
    <w:basedOn w:val="16"/>
    <w:link w:val="3"/>
    <w:qFormat/>
    <w:uiPriority w:val="9"/>
    <w:rPr>
      <w:rFonts w:ascii="Arial" w:hAnsi="Arial" w:eastAsia="Batang" w:cs="Times New Roman"/>
      <w:b/>
      <w:bCs/>
      <w:i/>
      <w:iCs/>
      <w:kern w:val="0"/>
      <w:sz w:val="24"/>
      <w:szCs w:val="28"/>
      <w:lang w:val="en-GB"/>
    </w:rPr>
  </w:style>
  <w:style w:type="character" w:customStyle="1" w:styleId="20">
    <w:name w:val="제목 3 Char"/>
    <w:basedOn w:val="16"/>
    <w:link w:val="4"/>
    <w:qFormat/>
    <w:uiPriority w:val="0"/>
    <w:rPr>
      <w:rFonts w:ascii="Arial" w:hAnsi="Arial" w:eastAsia="Batang" w:cs="Times New Roman"/>
      <w:b/>
      <w:kern w:val="0"/>
      <w:szCs w:val="26"/>
      <w:lang w:val="en-GB"/>
    </w:rPr>
  </w:style>
  <w:style w:type="character" w:customStyle="1" w:styleId="21">
    <w:name w:val="제목 4 Char"/>
    <w:basedOn w:val="16"/>
    <w:link w:val="5"/>
    <w:qFormat/>
    <w:uiPriority w:val="9"/>
    <w:rPr>
      <w:rFonts w:ascii="Arial" w:hAnsi="Arial" w:eastAsia="Batang" w:cs="Times New Roman"/>
      <w:b/>
      <w:i/>
      <w:kern w:val="0"/>
      <w:szCs w:val="26"/>
      <w:lang w:val="en-GB"/>
    </w:rPr>
  </w:style>
  <w:style w:type="character" w:customStyle="1" w:styleId="22">
    <w:name w:val="제목 5 Char"/>
    <w:basedOn w:val="16"/>
    <w:link w:val="6"/>
    <w:qFormat/>
    <w:uiPriority w:val="9"/>
    <w:rPr>
      <w:rFonts w:ascii="Arial" w:hAnsi="Arial" w:eastAsia="Batang" w:cs="Times New Roman"/>
      <w:b/>
      <w:bCs/>
      <w:iCs/>
      <w:kern w:val="0"/>
      <w:sz w:val="18"/>
      <w:szCs w:val="26"/>
      <w:lang w:val="en-GB"/>
    </w:rPr>
  </w:style>
  <w:style w:type="character" w:customStyle="1" w:styleId="23">
    <w:name w:val="제목 6 Char"/>
    <w:basedOn w:val="16"/>
    <w:link w:val="7"/>
    <w:qFormat/>
    <w:uiPriority w:val="9"/>
    <w:rPr>
      <w:rFonts w:ascii="Arial" w:hAnsi="Arial" w:eastAsia="Batang" w:cs="Times New Roman"/>
      <w:b/>
      <w:bCs/>
      <w:i/>
      <w:kern w:val="0"/>
      <w:sz w:val="18"/>
      <w:lang w:val="en-GB"/>
    </w:rPr>
  </w:style>
  <w:style w:type="character" w:customStyle="1" w:styleId="24">
    <w:name w:val="제목 7 Char"/>
    <w:basedOn w:val="16"/>
    <w:link w:val="8"/>
    <w:qFormat/>
    <w:uiPriority w:val="9"/>
    <w:rPr>
      <w:rFonts w:ascii="Times New Roman" w:hAnsi="Times New Roman" w:eastAsia="Batang" w:cs="Times New Roman"/>
      <w:kern w:val="0"/>
      <w:sz w:val="24"/>
      <w:szCs w:val="24"/>
      <w:lang w:val="en-GB"/>
    </w:rPr>
  </w:style>
  <w:style w:type="character" w:customStyle="1" w:styleId="25">
    <w:name w:val="제목 8 Char"/>
    <w:basedOn w:val="16"/>
    <w:link w:val="9"/>
    <w:qFormat/>
    <w:uiPriority w:val="9"/>
    <w:rPr>
      <w:rFonts w:ascii="Times New Roman" w:hAnsi="Times New Roman" w:eastAsia="Batang" w:cs="Times New Roman"/>
      <w:i/>
      <w:iCs/>
      <w:kern w:val="0"/>
      <w:sz w:val="24"/>
      <w:szCs w:val="24"/>
      <w:lang w:val="en-GB"/>
    </w:rPr>
  </w:style>
  <w:style w:type="character" w:customStyle="1" w:styleId="26">
    <w:name w:val="제목 9 Char"/>
    <w:basedOn w:val="16"/>
    <w:link w:val="10"/>
    <w:qFormat/>
    <w:uiPriority w:val="9"/>
    <w:rPr>
      <w:rFonts w:ascii="Arial" w:hAnsi="Arial" w:eastAsia="Batang" w:cs="Times New Roman"/>
      <w:kern w:val="0"/>
      <w:sz w:val="22"/>
      <w:lang w:val="en-GB"/>
    </w:rPr>
  </w:style>
  <w:style w:type="character" w:customStyle="1" w:styleId="27">
    <w:name w:val="목록 단락 Char"/>
    <w:link w:val="17"/>
    <w:qFormat/>
    <w:uiPriority w:val="34"/>
  </w:style>
  <w:style w:type="character" w:customStyle="1" w:styleId="28">
    <w:name w:val="풍선 도움말 텍스트 Char"/>
    <w:basedOn w:val="16"/>
    <w:link w:val="11"/>
    <w:semiHidden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customStyle="1" w:styleId="29">
    <w:name w:val="Style1"/>
    <w:basedOn w:val="1"/>
    <w:link w:val="30"/>
    <w:qFormat/>
    <w:uiPriority w:val="0"/>
    <w:pPr>
      <w:widowControl/>
      <w:wordWrap/>
      <w:autoSpaceDE/>
      <w:autoSpaceDN/>
      <w:spacing w:after="100" w:afterAutospacing="1" w:line="300" w:lineRule="auto"/>
      <w:ind w:firstLine="360"/>
      <w:contextualSpacing/>
    </w:pPr>
    <w:rPr>
      <w:rFonts w:ascii="Times New Roman" w:hAnsi="Times New Roman" w:eastAsia="宋体" w:cs="Times New Roman"/>
      <w:kern w:val="0"/>
      <w:szCs w:val="20"/>
      <w:lang w:eastAsia="zh-CN"/>
    </w:rPr>
  </w:style>
  <w:style w:type="character" w:customStyle="1" w:styleId="30">
    <w:name w:val="Style1 Char"/>
    <w:link w:val="29"/>
    <w:qFormat/>
    <w:uiPriority w:val="0"/>
    <w:rPr>
      <w:rFonts w:ascii="Times New Roman" w:hAnsi="Times New Roman" w:eastAsia="宋体" w:cs="Times New Roman"/>
      <w:kern w:val="0"/>
      <w:szCs w:val="20"/>
      <w:lang w:eastAsia="zh-CN"/>
    </w:rPr>
  </w:style>
  <w:style w:type="character" w:customStyle="1" w:styleId="31">
    <w:name w:val="머리글 Char"/>
    <w:basedOn w:val="16"/>
    <w:link w:val="13"/>
    <w:qFormat/>
    <w:uiPriority w:val="99"/>
  </w:style>
  <w:style w:type="character" w:customStyle="1" w:styleId="32">
    <w:name w:val="바닥글 Char"/>
    <w:basedOn w:val="16"/>
    <w:link w:val="1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CD2A12-FF51-4756-9BCA-B93BCDC7C9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936</Words>
  <Characters>5336</Characters>
  <Lines>44</Lines>
  <Paragraphs>12</Paragraphs>
  <TotalTime>1</TotalTime>
  <ScaleCrop>false</ScaleCrop>
  <LinksUpToDate>false</LinksUpToDate>
  <CharactersWithSpaces>6260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2021-05-14T03:41:00Z</dcterms:created>
  <dc:creator>Hanbyul Seo</dc:creator>
  <cp:lastModifiedBy>yuhou hu</cp:lastModifiedBy>
  <dcterms:modified xsi:type="dcterms:W3CDTF">2021-05-14T04:05:15Z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2052-11.8.2.9022</vt:lpwstr>
  </property>
</Properties>
</file>