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ＭＳ 明朝"/>
          <w:sz w:val="22"/>
          <w:szCs w:val="22"/>
          <w:lang w:val="en-US"/>
        </w:rPr>
      </w:pPr>
    </w:p>
    <w:p w14:paraId="7FA45B17" w14:textId="77777777" w:rsidR="00B51A2E" w:rsidRDefault="00B51A2E" w:rsidP="00B51A2E">
      <w:pPr>
        <w:rPr>
          <w:rFonts w:eastAsia="游ゴシック"/>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f6"/>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f6"/>
        <w:numPr>
          <w:ilvl w:val="1"/>
          <w:numId w:val="24"/>
        </w:numPr>
        <w:ind w:leftChars="0"/>
        <w:rPr>
          <w:rFonts w:ascii="ＭＳ ゴシック" w:hAnsi="ＭＳ ゴシック"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4E1E3B8"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H</w:t>
      </w:r>
      <w:r w:rsidRPr="00974662">
        <w:rPr>
          <w:rFonts w:ascii="Arial" w:eastAsia="ＭＳ 明朝" w:hAnsi="Arial"/>
          <w:sz w:val="28"/>
          <w:szCs w:val="32"/>
          <w:lang w:val="en-US"/>
        </w:rPr>
        <w:t>alf-duplex operation in CA with unpaired spectrum</w:t>
      </w:r>
    </w:p>
    <w:p w14:paraId="0EE6C82E" w14:textId="217B8FC8" w:rsidR="00974662" w:rsidRDefault="00974662" w:rsidP="00974662">
      <w:pPr>
        <w:rPr>
          <w:rFonts w:eastAsia="ＭＳ 明朝" w:cs="Batang"/>
          <w:sz w:val="22"/>
          <w:szCs w:val="22"/>
        </w:rPr>
      </w:pPr>
      <w:r>
        <w:rPr>
          <w:rFonts w:eastAsia="ＭＳ 明朝" w:cs="Batang"/>
          <w:sz w:val="22"/>
          <w:szCs w:val="22"/>
        </w:rPr>
        <w:t xml:space="preserve">Following proposal </w:t>
      </w:r>
      <w:r w:rsidR="00C31451">
        <w:rPr>
          <w:rFonts w:eastAsia="ＭＳ 明朝" w:cs="Batang"/>
          <w:sz w:val="22"/>
          <w:szCs w:val="22"/>
        </w:rPr>
        <w:t>is</w:t>
      </w:r>
      <w:r>
        <w:rPr>
          <w:rFonts w:eastAsia="ＭＳ 明朝" w:cs="Batang"/>
          <w:sz w:val="22"/>
          <w:szCs w:val="22"/>
        </w:rPr>
        <w:t xml:space="preserve"> made in </w:t>
      </w:r>
      <w:r w:rsidR="00C31451">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simul-RxTx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simul-RxTx</w:t>
            </w:r>
            <w:r>
              <w:t xml:space="preserve"> between bands, the UE cannot support </w:t>
            </w:r>
            <w:r>
              <w:rPr>
                <w:rFonts w:ascii="Times" w:eastAsia="Batang" w:hAnsi="Times"/>
                <w:lang w:eastAsia="en-US"/>
              </w:rPr>
              <w:t xml:space="preserve">simul-RxTx </w:t>
            </w:r>
            <w:r>
              <w:t xml:space="preserve">within each band of that </w:t>
            </w:r>
            <w:proofErr w:type="gramStart"/>
            <w:r>
              <w:t>BC</w:t>
            </w:r>
            <w:proofErr w:type="gramEnd"/>
            <w:r>
              <w:t xml:space="preserve">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 xml:space="preserve">Case a) may, or Case b) may not, support simul-RxTx for inter-band BC, based on </w:t>
            </w:r>
            <w:r>
              <w:rPr>
                <w:rFonts w:ascii="Times" w:eastAsia="Batang" w:hAnsi="Times"/>
                <w:i/>
                <w:lang w:eastAsia="en-US"/>
              </w:rPr>
              <w:t>simultaneousRxTxInterBandCA</w:t>
            </w:r>
            <w:r>
              <w:rPr>
                <w:rFonts w:ascii="Times" w:eastAsia="Batang" w:hAnsi="Times"/>
                <w:lang w:eastAsia="en-US"/>
              </w:rPr>
              <w:t>, and</w:t>
            </w:r>
          </w:p>
          <w:p w14:paraId="6A7B484A"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r>
              <w:rPr>
                <w:rFonts w:ascii="Times" w:eastAsia="Batang" w:hAnsi="Times"/>
                <w:i/>
                <w:lang w:eastAsia="en-US"/>
              </w:rPr>
              <w:t xml:space="preserve">simultaneousRxTxInterBandCA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f6"/>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w:t>
            </w:r>
            <w:proofErr w:type="gramStart"/>
            <w:r>
              <w:rPr>
                <w:rFonts w:ascii="Times" w:eastAsia="Batang" w:hAnsi="Times"/>
                <w:lang w:eastAsia="en-US"/>
              </w:rPr>
              <w:t>i.e.</w:t>
            </w:r>
            <w:proofErr w:type="gramEnd"/>
            <w:r>
              <w:rPr>
                <w:rFonts w:ascii="Times" w:eastAsia="Batang" w:hAnsi="Times"/>
                <w:lang w:eastAsia="en-US"/>
              </w:rPr>
              <w:t xml:space="preserv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r>
              <w:rPr>
                <w:rFonts w:ascii="Times" w:eastAsia="Batang" w:hAnsi="Times"/>
                <w:i/>
                <w:lang w:eastAsia="en-US"/>
              </w:rPr>
              <w:t>simultaneousRxTxInterBandCA</w:t>
            </w:r>
            <w:r>
              <w:rPr>
                <w:rFonts w:ascii="Times" w:eastAsia="Batang" w:hAnsi="Times"/>
                <w:lang w:eastAsia="en-US"/>
              </w:rPr>
              <w:t xml:space="preserve"> for a </w:t>
            </w:r>
            <w:proofErr w:type="gramStart"/>
            <w:r>
              <w:rPr>
                <w:rFonts w:ascii="Times" w:eastAsia="Batang" w:hAnsi="Times"/>
                <w:lang w:eastAsia="en-US"/>
              </w:rPr>
              <w:t>BC, and</w:t>
            </w:r>
            <w:proofErr w:type="gramEnd"/>
            <w:r>
              <w:rPr>
                <w:rFonts w:ascii="Times" w:eastAsia="Batang" w:hAnsi="Times"/>
                <w:lang w:eastAsia="en-US"/>
              </w:rPr>
              <w:t xml:space="preserve">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 xml:space="preserve">subset of the above inter-band combination, the UE may be able to report/support DL/UL collision handling then it is not clear whether gNB has correct/same understanding </w:t>
            </w:r>
            <w:proofErr w:type="gramStart"/>
            <w:r>
              <w:t>in order for</w:t>
            </w:r>
            <w:proofErr w:type="gramEnd"/>
            <w:r>
              <w:t xml:space="preserve">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 xml:space="preserve">simul-RxTx </w:t>
            </w:r>
            <w:r>
              <w:t xml:space="preserve">across band A and B, and the UE </w:t>
            </w:r>
            <w:proofErr w:type="gramStart"/>
            <w:r>
              <w:t>doesn’t</w:t>
            </w:r>
            <w:proofErr w:type="gramEnd"/>
            <w:r>
              <w:t xml:space="preserve"> support </w:t>
            </w:r>
            <w:r>
              <w:rPr>
                <w:rFonts w:ascii="Times" w:eastAsia="Batang" w:hAnsi="Times"/>
                <w:lang w:eastAsia="en-US"/>
              </w:rPr>
              <w:t>simul-RxTx</w:t>
            </w:r>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ＭＳ 明朝" w:cs="Batang"/>
          <w:sz w:val="22"/>
          <w:szCs w:val="22"/>
        </w:rPr>
      </w:pPr>
      <w:r>
        <w:rPr>
          <w:rFonts w:eastAsia="ＭＳ 明朝" w:cs="Batang"/>
          <w:sz w:val="22"/>
          <w:szCs w:val="22"/>
        </w:rPr>
        <w:t>Based on the above proposal, following point can be discussed in RAN1#10</w:t>
      </w:r>
      <w:r w:rsidR="00C31451">
        <w:rPr>
          <w:rFonts w:eastAsia="ＭＳ 明朝" w:cs="Batang"/>
          <w:sz w:val="22"/>
          <w:szCs w:val="22"/>
        </w:rPr>
        <w:t>5</w:t>
      </w:r>
      <w:r>
        <w:rPr>
          <w:rFonts w:eastAsia="ＭＳ 明朝" w:cs="Batang"/>
          <w:sz w:val="22"/>
          <w:szCs w:val="22"/>
        </w:rPr>
        <w:t>-e meeting.</w:t>
      </w:r>
    </w:p>
    <w:p w14:paraId="29B532A7" w14:textId="77777777" w:rsidR="00974662" w:rsidRDefault="00974662" w:rsidP="00974662">
      <w:pPr>
        <w:rPr>
          <w:rFonts w:ascii="Arial" w:eastAsia="ＭＳ 明朝" w:hAnsi="Arial"/>
          <w:sz w:val="32"/>
          <w:szCs w:val="32"/>
        </w:rPr>
      </w:pPr>
    </w:p>
    <w:p w14:paraId="276503FD" w14:textId="2437CC85" w:rsidR="00974662" w:rsidRPr="00AD5375" w:rsidRDefault="00B51A2E" w:rsidP="00974662">
      <w:pPr>
        <w:pStyle w:val="30"/>
        <w:rPr>
          <w:rFonts w:eastAsia="ＭＳ 明朝" w:cs="Batang"/>
          <w:b/>
          <w:bCs/>
          <w:sz w:val="22"/>
          <w:szCs w:val="22"/>
        </w:rPr>
      </w:pPr>
      <w:r>
        <w:rPr>
          <w:rFonts w:eastAsia="ＭＳ 明朝" w:cs="Batang"/>
          <w:b/>
          <w:bCs/>
          <w:sz w:val="22"/>
          <w:szCs w:val="22"/>
        </w:rPr>
        <w:t>FL proposal #1</w:t>
      </w:r>
    </w:p>
    <w:p w14:paraId="6956DA26" w14:textId="2A496A04" w:rsidR="00974662" w:rsidRPr="00C31451" w:rsidRDefault="00C31451" w:rsidP="00136E4A">
      <w:pPr>
        <w:pStyle w:val="aff6"/>
        <w:numPr>
          <w:ilvl w:val="0"/>
          <w:numId w:val="13"/>
        </w:numPr>
        <w:ind w:leftChars="0"/>
        <w:rPr>
          <w:rFonts w:eastAsia="ＭＳ 明朝" w:cs="Batang"/>
          <w:sz w:val="22"/>
          <w:szCs w:val="22"/>
        </w:rPr>
      </w:pPr>
      <w:r>
        <w:rPr>
          <w:rFonts w:eastAsia="ＭＳ 明朝" w:cs="Batang"/>
          <w:b/>
          <w:bCs/>
          <w:sz w:val="22"/>
          <w:szCs w:val="22"/>
        </w:rPr>
        <w:t>Discuss following proposal and corresponding specification impact</w:t>
      </w:r>
    </w:p>
    <w:p w14:paraId="1ED7A4E6" w14:textId="6F56721D" w:rsidR="00C31451" w:rsidRPr="00C31451" w:rsidRDefault="00C31451" w:rsidP="00C31451">
      <w:pPr>
        <w:pStyle w:val="aff6"/>
        <w:numPr>
          <w:ilvl w:val="1"/>
          <w:numId w:val="13"/>
        </w:numPr>
        <w:ind w:leftChars="0"/>
        <w:rPr>
          <w:rFonts w:eastAsia="ＭＳ 明朝" w:cs="Batang"/>
          <w:b/>
          <w:bCs/>
          <w:sz w:val="22"/>
          <w:szCs w:val="22"/>
        </w:rPr>
      </w:pPr>
      <w:r w:rsidRPr="00C31451">
        <w:rPr>
          <w:rFonts w:eastAsia="ＭＳ 明朝"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8"/>
        <w:tblW w:w="4950" w:type="pct"/>
        <w:tblInd w:w="0" w:type="dxa"/>
        <w:tblLook w:val="04A0" w:firstRow="1" w:lastRow="0" w:firstColumn="1" w:lastColumn="0" w:noHBand="0" w:noVBand="1"/>
      </w:tblPr>
      <w:tblGrid>
        <w:gridCol w:w="1268"/>
        <w:gridCol w:w="8264"/>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w:t>
            </w:r>
            <w:proofErr w:type="gramStart"/>
            <w:r w:rsidR="005D720D">
              <w:rPr>
                <w:rFonts w:eastAsiaTheme="minorEastAsia"/>
                <w:sz w:val="22"/>
                <w:lang w:eastAsia="zh-CN"/>
              </w:rPr>
              <w:t>e.g.</w:t>
            </w:r>
            <w:proofErr w:type="gramEnd"/>
            <w:r w:rsidR="005D720D">
              <w:rPr>
                <w:rFonts w:eastAsiaTheme="minorEastAsia"/>
                <w:sz w:val="22"/>
                <w:lang w:eastAsia="zh-CN"/>
              </w:rPr>
              <w:t xml:space="preserve"> on RAN2 could be left to RAN2 to decide, if any.</w:t>
            </w: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r>
              <w:rPr>
                <w:rFonts w:ascii="Times" w:eastAsia="Batang" w:hAnsi="Times"/>
                <w:i/>
                <w:lang w:eastAsia="en-US"/>
              </w:rPr>
              <w:t>simultaneousRxTxInterBandCA</w:t>
            </w:r>
            <w:r>
              <w:rPr>
                <w:rFonts w:eastAsiaTheme="minorEastAsia"/>
                <w:sz w:val="22"/>
                <w:lang w:eastAsia="zh-CN"/>
              </w:rPr>
              <w:t xml:space="preserve"> for a band combination but </w:t>
            </w:r>
            <w:proofErr w:type="gramStart"/>
            <w:r>
              <w:rPr>
                <w:rFonts w:eastAsiaTheme="minorEastAsia"/>
                <w:sz w:val="22"/>
                <w:lang w:eastAsia="zh-CN"/>
              </w:rPr>
              <w:t>doesn’t</w:t>
            </w:r>
            <w:proofErr w:type="gramEnd"/>
            <w:r>
              <w:rPr>
                <w:rFonts w:eastAsiaTheme="minorEastAsia"/>
                <w:sz w:val="22"/>
                <w:lang w:eastAsia="zh-CN"/>
              </w:rPr>
              <w:t xml:space="preserve"> support simultaneous Tx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w:t>
            </w:r>
            <w:proofErr w:type="gramStart"/>
            <w:r w:rsidR="003A7D52" w:rsidRPr="003A7D52">
              <w:rPr>
                <w:rFonts w:eastAsiaTheme="minorEastAsia"/>
                <w:sz w:val="20"/>
                <w:lang w:eastAsia="zh-CN"/>
              </w:rPr>
              <w:t>doesn’t</w:t>
            </w:r>
            <w:proofErr w:type="gramEnd"/>
            <w:r w:rsidR="003A7D52" w:rsidRPr="003A7D52">
              <w:rPr>
                <w:rFonts w:eastAsiaTheme="minorEastAsia"/>
                <w:sz w:val="20"/>
                <w:lang w:eastAsia="zh-CN"/>
              </w:rPr>
              <w:t xml:space="preserve"> indicate </w:t>
            </w:r>
            <w:r w:rsidR="003A7D52" w:rsidRPr="003A7D52">
              <w:rPr>
                <w:rFonts w:ascii="Times" w:eastAsia="Batang" w:hAnsi="Times"/>
                <w:i/>
                <w:sz w:val="20"/>
                <w:lang w:eastAsia="en-US"/>
              </w:rPr>
              <w:t>simultaneousRxTxInterBandCA</w:t>
            </w:r>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w:t>
            </w:r>
            <w:proofErr w:type="spellStart"/>
            <w:r w:rsidR="003A7D52" w:rsidRPr="003A7D52">
              <w:rPr>
                <w:rFonts w:eastAsiaTheme="minorEastAsia"/>
                <w:i/>
                <w:sz w:val="20"/>
                <w:lang w:eastAsia="zh-CN"/>
              </w:rPr>
              <w:t>behavior</w:t>
            </w:r>
            <w:proofErr w:type="spellEnd"/>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r w:rsidRPr="003A7D52">
              <w:rPr>
                <w:rFonts w:ascii="Times" w:eastAsia="Batang" w:hAnsi="Times"/>
                <w:i/>
                <w:sz w:val="20"/>
                <w:lang w:eastAsia="en-US"/>
              </w:rPr>
              <w:t>simultaneousRxTxInterBandCA</w:t>
            </w:r>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w:t>
            </w:r>
            <w:proofErr w:type="spellStart"/>
            <w:r w:rsidRPr="003A7D52">
              <w:rPr>
                <w:rFonts w:eastAsiaTheme="minorEastAsia"/>
                <w:i/>
                <w:sz w:val="20"/>
                <w:lang w:eastAsia="zh-CN"/>
              </w:rPr>
              <w:t>behavior</w:t>
            </w:r>
            <w:proofErr w:type="spellEnd"/>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 xml:space="preserve">The second case seems to have huge spec </w:t>
            </w:r>
            <w:proofErr w:type="spellStart"/>
            <w:r>
              <w:rPr>
                <w:rFonts w:eastAsiaTheme="minorEastAsia"/>
                <w:sz w:val="22"/>
                <w:lang w:eastAsia="zh-CN"/>
              </w:rPr>
              <w:t>impac</w:t>
            </w:r>
            <w:proofErr w:type="spellEnd"/>
            <w:r>
              <w:rPr>
                <w:rFonts w:eastAsiaTheme="minorEastAsia"/>
                <w:sz w:val="22"/>
                <w:lang w:eastAsia="zh-CN"/>
              </w:rPr>
              <w:t xml:space="preserve"> with potential NBC issue. It seems better if we can also update the corresponding UE feature for this the second case by updating the existing FG or </w:t>
            </w:r>
            <w:proofErr w:type="spellStart"/>
            <w:r>
              <w:rPr>
                <w:rFonts w:eastAsiaTheme="minorEastAsia"/>
                <w:sz w:val="22"/>
                <w:lang w:eastAsia="zh-CN"/>
              </w:rPr>
              <w:t>defiing</w:t>
            </w:r>
            <w:proofErr w:type="spellEnd"/>
            <w:r>
              <w:rPr>
                <w:rFonts w:eastAsiaTheme="minorEastAsia"/>
                <w:sz w:val="22"/>
                <w:lang w:eastAsia="zh-CN"/>
              </w:rPr>
              <w:t xml:space="preserve"> new FG for it.</w:t>
            </w: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431"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t xml:space="preserve">According to the RAN4 spec, it seems the same TDD pattern is required for intra-band CA case. It seems that UE </w:t>
            </w:r>
            <w:proofErr w:type="gramStart"/>
            <w:r>
              <w:rPr>
                <w:rFonts w:eastAsiaTheme="minorEastAsia"/>
                <w:sz w:val="22"/>
                <w:lang w:eastAsia="zh-CN"/>
              </w:rPr>
              <w:t>doesn’t</w:t>
            </w:r>
            <w:proofErr w:type="gramEnd"/>
            <w:r>
              <w:rPr>
                <w:rFonts w:eastAsiaTheme="minorEastAsia"/>
                <w:sz w:val="22"/>
                <w:lang w:eastAsia="zh-CN"/>
              </w:rPr>
              <w:t xml:space="preserve"> need to perform half-duplex collision handling </w:t>
            </w:r>
            <w:proofErr w:type="spellStart"/>
            <w:r>
              <w:rPr>
                <w:rFonts w:eastAsiaTheme="minorEastAsia"/>
                <w:sz w:val="22"/>
                <w:lang w:eastAsia="zh-CN"/>
              </w:rPr>
              <w:t>purly</w:t>
            </w:r>
            <w:proofErr w:type="spellEnd"/>
            <w:r>
              <w:rPr>
                <w:rFonts w:eastAsiaTheme="minorEastAsia"/>
                <w:sz w:val="22"/>
                <w:lang w:eastAsia="zh-CN"/>
              </w:rPr>
              <w:t xml:space="preserve"> for the intra-band CA case. If this is the case, then it seems the proposal is not needed.</w:t>
            </w:r>
          </w:p>
        </w:tc>
      </w:tr>
      <w:tr w:rsidR="00E818EB" w14:paraId="57723CFA" w14:textId="77777777" w:rsidTr="00B51A2E">
        <w:tc>
          <w:tcPr>
            <w:tcW w:w="569" w:type="pct"/>
            <w:tcBorders>
              <w:top w:val="single" w:sz="4" w:space="0" w:color="auto"/>
              <w:left w:val="single" w:sz="4" w:space="0" w:color="auto"/>
              <w:bottom w:val="single" w:sz="4" w:space="0" w:color="auto"/>
              <w:right w:val="single" w:sz="4" w:space="0" w:color="auto"/>
            </w:tcBorders>
          </w:tcPr>
          <w:p w14:paraId="172E6857" w14:textId="1F89B266" w:rsidR="00E818EB" w:rsidRDefault="00E818EB">
            <w:pPr>
              <w:spacing w:afterLines="50" w:after="120"/>
              <w:jc w:val="both"/>
              <w:textAlignment w:val="baseline"/>
              <w:rPr>
                <w:rFonts w:eastAsiaTheme="minorEastAsia"/>
                <w:sz w:val="22"/>
                <w:lang w:eastAsia="zh-CN"/>
              </w:rPr>
            </w:pPr>
            <w:r>
              <w:rPr>
                <w:rFonts w:eastAsiaTheme="minorEastAsia" w:hint="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3E93FA8B" w14:textId="5EE05C8E" w:rsidR="00E818EB" w:rsidRDefault="00E818EB">
            <w:pPr>
              <w:spacing w:afterLines="50" w:after="120"/>
              <w:jc w:val="both"/>
              <w:textAlignment w:val="baseline"/>
              <w:rPr>
                <w:rFonts w:eastAsiaTheme="minorEastAsia"/>
                <w:sz w:val="22"/>
                <w:lang w:eastAsia="zh-CN"/>
              </w:rPr>
            </w:pPr>
            <w:r>
              <w:rPr>
                <w:rFonts w:eastAsiaTheme="minorEastAsia"/>
                <w:sz w:val="22"/>
                <w:lang w:eastAsia="zh-CN"/>
              </w:rPr>
              <w:t>We just agreed last meeting that half duplex operation is possible for intra-band only case, and even if the pattern is the same, collision may happen on flexible symbols.</w:t>
            </w:r>
          </w:p>
          <w:p w14:paraId="6A659E2E" w14:textId="20AE457A" w:rsidR="00E818EB" w:rsidRDefault="00E818EB" w:rsidP="006E7EBB">
            <w:pPr>
              <w:spacing w:afterLines="50" w:after="120"/>
              <w:jc w:val="both"/>
              <w:textAlignment w:val="baseline"/>
              <w:rPr>
                <w:rFonts w:eastAsiaTheme="minorEastAsia"/>
                <w:sz w:val="22"/>
                <w:lang w:eastAsia="zh-CN"/>
              </w:rPr>
            </w:pPr>
            <w:r>
              <w:rPr>
                <w:rFonts w:eastAsiaTheme="minorEastAsia"/>
                <w:sz w:val="22"/>
                <w:lang w:eastAsia="zh-CN"/>
              </w:rPr>
              <w:lastRenderedPageBreak/>
              <w:t xml:space="preserve">Spec impact </w:t>
            </w:r>
            <w:r w:rsidR="006E7EBB">
              <w:rPr>
                <w:rFonts w:eastAsiaTheme="minorEastAsia"/>
                <w:sz w:val="22"/>
                <w:lang w:eastAsia="zh-CN"/>
              </w:rPr>
              <w:t>can be discussed</w:t>
            </w:r>
            <w:r>
              <w:rPr>
                <w:rFonts w:eastAsiaTheme="minorEastAsia"/>
                <w:sz w:val="22"/>
                <w:lang w:eastAsia="zh-CN"/>
              </w:rPr>
              <w:t xml:space="preserve"> </w:t>
            </w:r>
            <w:r w:rsidR="006E7EBB">
              <w:rPr>
                <w:rFonts w:eastAsiaTheme="minorEastAsia"/>
                <w:sz w:val="22"/>
                <w:lang w:eastAsia="zh-CN"/>
              </w:rPr>
              <w:t>–</w:t>
            </w:r>
            <w:r>
              <w:rPr>
                <w:rFonts w:eastAsiaTheme="minorEastAsia"/>
                <w:sz w:val="22"/>
                <w:lang w:eastAsia="zh-CN"/>
              </w:rPr>
              <w:t xml:space="preserve"> </w:t>
            </w:r>
            <w:r w:rsidR="006E7EBB">
              <w:rPr>
                <w:rFonts w:eastAsiaTheme="minorEastAsia"/>
                <w:sz w:val="22"/>
                <w:lang w:eastAsia="zh-CN"/>
              </w:rPr>
              <w:t>right now in our assessment it is minor:</w:t>
            </w:r>
            <w:r>
              <w:rPr>
                <w:rFonts w:eastAsiaTheme="minorEastAsia"/>
                <w:sz w:val="22"/>
                <w:lang w:eastAsia="zh-CN"/>
              </w:rPr>
              <w:t xml:space="preserve"> only clarify the definition of reference cell once in the text is fine</w:t>
            </w:r>
            <w:r w:rsidR="006E7EBB">
              <w:rPr>
                <w:rFonts w:eastAsiaTheme="minorEastAsia"/>
                <w:sz w:val="22"/>
                <w:lang w:eastAsia="zh-CN"/>
              </w:rPr>
              <w:t>.</w:t>
            </w:r>
          </w:p>
        </w:tc>
      </w:tr>
      <w:tr w:rsidR="005E6884" w14:paraId="6280B158" w14:textId="77777777" w:rsidTr="00B51A2E">
        <w:tc>
          <w:tcPr>
            <w:tcW w:w="569" w:type="pct"/>
            <w:tcBorders>
              <w:top w:val="single" w:sz="4" w:space="0" w:color="auto"/>
              <w:left w:val="single" w:sz="4" w:space="0" w:color="auto"/>
              <w:bottom w:val="single" w:sz="4" w:space="0" w:color="auto"/>
              <w:right w:val="single" w:sz="4" w:space="0" w:color="auto"/>
            </w:tcBorders>
          </w:tcPr>
          <w:p w14:paraId="1CD50CBA" w14:textId="164820FF"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lastRenderedPageBreak/>
              <w:t>Ericsson</w:t>
            </w:r>
          </w:p>
        </w:tc>
        <w:tc>
          <w:tcPr>
            <w:tcW w:w="4431" w:type="pct"/>
            <w:tcBorders>
              <w:top w:val="single" w:sz="4" w:space="0" w:color="auto"/>
              <w:left w:val="single" w:sz="4" w:space="0" w:color="auto"/>
              <w:bottom w:val="single" w:sz="4" w:space="0" w:color="auto"/>
              <w:right w:val="single" w:sz="4" w:space="0" w:color="auto"/>
            </w:tcBorders>
          </w:tcPr>
          <w:p w14:paraId="34560168" w14:textId="72E62F8A"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t xml:space="preserve">We are fine with the proposal. But my feeling is UE side of companies need to comment on </w:t>
            </w:r>
            <w:r w:rsidR="003B488F">
              <w:rPr>
                <w:rFonts w:eastAsiaTheme="minorEastAsia"/>
                <w:sz w:val="22"/>
                <w:lang w:eastAsia="zh-CN"/>
              </w:rPr>
              <w:t>t</w:t>
            </w:r>
            <w:r>
              <w:rPr>
                <w:rFonts w:eastAsiaTheme="minorEastAsia"/>
                <w:sz w:val="22"/>
                <w:lang w:eastAsia="zh-CN"/>
              </w:rPr>
              <w:t>his thread also.</w:t>
            </w:r>
          </w:p>
        </w:tc>
      </w:tr>
      <w:tr w:rsidR="003B488F" w14:paraId="25BF2E57" w14:textId="77777777" w:rsidTr="00B51A2E">
        <w:tc>
          <w:tcPr>
            <w:tcW w:w="569" w:type="pct"/>
            <w:tcBorders>
              <w:top w:val="single" w:sz="4" w:space="0" w:color="auto"/>
              <w:left w:val="single" w:sz="4" w:space="0" w:color="auto"/>
              <w:bottom w:val="single" w:sz="4" w:space="0" w:color="auto"/>
              <w:right w:val="single" w:sz="4" w:space="0" w:color="auto"/>
            </w:tcBorders>
          </w:tcPr>
          <w:p w14:paraId="65EE03EC" w14:textId="6F71B0D8" w:rsidR="003B488F" w:rsidRPr="003B488F" w:rsidRDefault="003B488F">
            <w:pPr>
              <w:spacing w:afterLines="50" w:after="120"/>
              <w:jc w:val="both"/>
              <w:textAlignment w:val="baseline"/>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17609EED" w14:textId="77777777" w:rsidR="003B488F" w:rsidRDefault="003B488F">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feedbacks!</w:t>
            </w:r>
          </w:p>
          <w:p w14:paraId="3859D982" w14:textId="4F94F034" w:rsidR="003B488F" w:rsidRDefault="003B488F">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lthough there have been only three companies commenting, we should move forward considering the deadline.</w:t>
            </w:r>
          </w:p>
          <w:p w14:paraId="0C8DDDF6" w14:textId="7FFECC8B" w:rsidR="003B488F" w:rsidRPr="003B488F" w:rsidRDefault="003B488F" w:rsidP="003B488F">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s I commented, </w:t>
            </w:r>
            <w:r w:rsidRPr="003B488F">
              <w:rPr>
                <w:rFonts w:eastAsia="ＭＳ 明朝"/>
                <w:sz w:val="22"/>
                <w:lang w:eastAsia="ja-JP"/>
              </w:rPr>
              <w:t>it seems better to see the spec impact (i.e., TP) based on the proposal from Huawei so that concern on spec impact from ZTE can be potentially addressed.</w:t>
            </w:r>
          </w:p>
          <w:p w14:paraId="77196EDE" w14:textId="6E854312" w:rsidR="003B488F" w:rsidRPr="003B488F" w:rsidRDefault="003B488F" w:rsidP="003B488F">
            <w:pPr>
              <w:spacing w:afterLines="50" w:after="120"/>
              <w:jc w:val="both"/>
              <w:textAlignment w:val="baseline"/>
              <w:rPr>
                <w:rFonts w:eastAsia="ＭＳ 明朝"/>
                <w:sz w:val="22"/>
                <w:lang w:eastAsia="ja-JP"/>
              </w:rPr>
            </w:pPr>
            <w:r w:rsidRPr="003B488F">
              <w:rPr>
                <w:rFonts w:eastAsia="ＭＳ 明朝"/>
                <w:sz w:val="22"/>
                <w:lang w:eastAsia="ja-JP"/>
              </w:rPr>
              <w:t xml:space="preserve">So, </w:t>
            </w:r>
            <w:proofErr w:type="gramStart"/>
            <w:r w:rsidRPr="003B488F">
              <w:rPr>
                <w:rFonts w:eastAsia="ＭＳ 明朝"/>
                <w:sz w:val="22"/>
                <w:lang w:eastAsia="ja-JP"/>
              </w:rPr>
              <w:t>I</w:t>
            </w:r>
            <w:r>
              <w:rPr>
                <w:rFonts w:eastAsia="ＭＳ 明朝"/>
                <w:sz w:val="22"/>
                <w:lang w:eastAsia="ja-JP"/>
              </w:rPr>
              <w:t>’d</w:t>
            </w:r>
            <w:proofErr w:type="gramEnd"/>
            <w:r>
              <w:rPr>
                <w:rFonts w:eastAsia="ＭＳ 明朝"/>
                <w:sz w:val="22"/>
                <w:lang w:eastAsia="ja-JP"/>
              </w:rPr>
              <w:t xml:space="preserve"> like to</w:t>
            </w:r>
            <w:r w:rsidRPr="003B488F">
              <w:rPr>
                <w:rFonts w:eastAsia="ＭＳ 明朝"/>
                <w:sz w:val="22"/>
                <w:lang w:eastAsia="ja-JP"/>
              </w:rPr>
              <w:t xml:space="preserve"> ask Huawei to prepare TP based on </w:t>
            </w:r>
            <w:r>
              <w:rPr>
                <w:rFonts w:eastAsia="ＭＳ 明朝"/>
                <w:sz w:val="22"/>
                <w:lang w:eastAsia="ja-JP"/>
              </w:rPr>
              <w:t>the proposal/assessment.</w:t>
            </w:r>
          </w:p>
        </w:tc>
      </w:tr>
      <w:tr w:rsidR="008E30E2" w14:paraId="14070079" w14:textId="77777777" w:rsidTr="00B51A2E">
        <w:tc>
          <w:tcPr>
            <w:tcW w:w="569" w:type="pct"/>
            <w:tcBorders>
              <w:top w:val="single" w:sz="4" w:space="0" w:color="auto"/>
              <w:left w:val="single" w:sz="4" w:space="0" w:color="auto"/>
              <w:bottom w:val="single" w:sz="4" w:space="0" w:color="auto"/>
              <w:right w:val="single" w:sz="4" w:space="0" w:color="auto"/>
            </w:tcBorders>
          </w:tcPr>
          <w:p w14:paraId="70CA1E2F" w14:textId="11A6D752" w:rsidR="008E30E2" w:rsidRDefault="008E30E2">
            <w:pPr>
              <w:spacing w:afterLines="50" w:after="120"/>
              <w:jc w:val="both"/>
              <w:textAlignment w:val="baseline"/>
              <w:rPr>
                <w:rFonts w:eastAsia="ＭＳ 明朝"/>
                <w:sz w:val="22"/>
              </w:rPr>
            </w:pPr>
            <w:r>
              <w:rPr>
                <w:rFonts w:eastAsia="ＭＳ 明朝"/>
                <w:sz w:val="22"/>
              </w:rPr>
              <w:t>Huawei</w:t>
            </w:r>
          </w:p>
        </w:tc>
        <w:tc>
          <w:tcPr>
            <w:tcW w:w="4431" w:type="pct"/>
            <w:tcBorders>
              <w:top w:val="single" w:sz="4" w:space="0" w:color="auto"/>
              <w:left w:val="single" w:sz="4" w:space="0" w:color="auto"/>
              <w:bottom w:val="single" w:sz="4" w:space="0" w:color="auto"/>
              <w:right w:val="single" w:sz="4" w:space="0" w:color="auto"/>
            </w:tcBorders>
          </w:tcPr>
          <w:p w14:paraId="14F4F27A" w14:textId="18B0172A" w:rsidR="002B0854" w:rsidRDefault="008E30E2" w:rsidP="002B0854">
            <w:pPr>
              <w:spacing w:afterLines="50" w:after="120"/>
              <w:jc w:val="both"/>
              <w:textAlignment w:val="baseline"/>
              <w:rPr>
                <w:rFonts w:eastAsia="ＭＳ 明朝"/>
                <w:sz w:val="22"/>
              </w:rPr>
            </w:pPr>
            <w:r>
              <w:rPr>
                <w:rFonts w:eastAsia="ＭＳ 明朝"/>
                <w:sz w:val="22"/>
              </w:rPr>
              <w:t>Please see the TP in the appendix. Please note the TP v1 is based on the latest spec without incorporating the agreed CR from last meeting</w:t>
            </w:r>
            <w:r w:rsidR="002B0854">
              <w:rPr>
                <w:rFonts w:eastAsia="ＭＳ 明朝"/>
                <w:sz w:val="22"/>
              </w:rPr>
              <w:t>.</w:t>
            </w:r>
          </w:p>
        </w:tc>
      </w:tr>
      <w:tr w:rsidR="002457B2" w14:paraId="5C2AAAFC" w14:textId="77777777" w:rsidTr="00B51A2E">
        <w:tc>
          <w:tcPr>
            <w:tcW w:w="569" w:type="pct"/>
            <w:tcBorders>
              <w:top w:val="single" w:sz="4" w:space="0" w:color="auto"/>
              <w:left w:val="single" w:sz="4" w:space="0" w:color="auto"/>
              <w:bottom w:val="single" w:sz="4" w:space="0" w:color="auto"/>
              <w:right w:val="single" w:sz="4" w:space="0" w:color="auto"/>
            </w:tcBorders>
          </w:tcPr>
          <w:p w14:paraId="27A1A60A" w14:textId="4DB87830" w:rsidR="002457B2" w:rsidRDefault="002457B2">
            <w:pPr>
              <w:spacing w:afterLines="50" w:after="120"/>
              <w:jc w:val="both"/>
              <w:textAlignment w:val="baseline"/>
              <w:rPr>
                <w:rFonts w:eastAsia="ＭＳ 明朝"/>
                <w:sz w:val="22"/>
              </w:rPr>
            </w:pPr>
            <w:r>
              <w:rPr>
                <w:rFonts w:eastAsia="ＭＳ 明朝"/>
                <w:sz w:val="22"/>
              </w:rPr>
              <w:t>Qualcomm</w:t>
            </w:r>
          </w:p>
        </w:tc>
        <w:tc>
          <w:tcPr>
            <w:tcW w:w="4431" w:type="pct"/>
            <w:tcBorders>
              <w:top w:val="single" w:sz="4" w:space="0" w:color="auto"/>
              <w:left w:val="single" w:sz="4" w:space="0" w:color="auto"/>
              <w:bottom w:val="single" w:sz="4" w:space="0" w:color="auto"/>
              <w:right w:val="single" w:sz="4" w:space="0" w:color="auto"/>
            </w:tcBorders>
          </w:tcPr>
          <w:p w14:paraId="1CDCBFCC" w14:textId="5EEA16B4" w:rsidR="00247300" w:rsidRDefault="00706083" w:rsidP="002B0854">
            <w:pPr>
              <w:spacing w:afterLines="50" w:after="120"/>
              <w:jc w:val="both"/>
              <w:textAlignment w:val="baseline"/>
              <w:rPr>
                <w:rFonts w:eastAsia="ＭＳ 明朝"/>
                <w:sz w:val="22"/>
              </w:rPr>
            </w:pPr>
            <w:r>
              <w:rPr>
                <w:rFonts w:eastAsia="ＭＳ 明朝"/>
                <w:sz w:val="22"/>
              </w:rPr>
              <w:t>Unclear</w:t>
            </w:r>
            <w:r w:rsidR="00DE66D6">
              <w:rPr>
                <w:rFonts w:eastAsia="ＭＳ 明朝"/>
                <w:sz w:val="22"/>
              </w:rPr>
              <w:t xml:space="preserve"> to us</w:t>
            </w:r>
            <w:r>
              <w:rPr>
                <w:rFonts w:eastAsia="ＭＳ 明朝"/>
                <w:sz w:val="22"/>
              </w:rPr>
              <w:t xml:space="preserve"> what the motivation of the proposal is</w:t>
            </w:r>
            <w:r w:rsidR="00DE66D6">
              <w:rPr>
                <w:rFonts w:eastAsia="ＭＳ 明朝"/>
                <w:sz w:val="22"/>
              </w:rPr>
              <w:t xml:space="preserve">. </w:t>
            </w:r>
            <w:r w:rsidR="005558A8">
              <w:rPr>
                <w:rFonts w:eastAsia="ＭＳ 明朝"/>
                <w:sz w:val="22"/>
              </w:rPr>
              <w:t xml:space="preserve">The current proposal </w:t>
            </w:r>
            <w:r w:rsidR="00BD02D7">
              <w:rPr>
                <w:rFonts w:eastAsia="ＭＳ 明朝"/>
                <w:sz w:val="22"/>
              </w:rPr>
              <w:t xml:space="preserve">would </w:t>
            </w:r>
            <w:r w:rsidR="004F32CF">
              <w:rPr>
                <w:rFonts w:eastAsia="ＭＳ 明朝"/>
                <w:sz w:val="22"/>
              </w:rPr>
              <w:t>mean that the UE must apply directional conflict resolution in</w:t>
            </w:r>
            <w:r w:rsidR="00247300">
              <w:rPr>
                <w:rFonts w:eastAsia="ＭＳ 明朝"/>
                <w:sz w:val="22"/>
              </w:rPr>
              <w:t>cluding</w:t>
            </w:r>
            <w:r w:rsidR="004F32CF">
              <w:rPr>
                <w:rFonts w:eastAsia="ＭＳ 明朝"/>
                <w:sz w:val="22"/>
              </w:rPr>
              <w:t xml:space="preserve"> FDD cells, which</w:t>
            </w:r>
            <w:r w:rsidR="00247300">
              <w:rPr>
                <w:rFonts w:eastAsia="ＭＳ 明朝"/>
                <w:sz w:val="22"/>
              </w:rPr>
              <w:t xml:space="preserve"> was never even discussed per our understanding. </w:t>
            </w:r>
            <w:r w:rsidR="00CB0AA7">
              <w:rPr>
                <w:rFonts w:eastAsia="ＭＳ 明朝"/>
                <w:sz w:val="22"/>
              </w:rPr>
              <w:t xml:space="preserve">We </w:t>
            </w:r>
            <w:r w:rsidR="00C034BF">
              <w:rPr>
                <w:rFonts w:eastAsia="ＭＳ 明朝"/>
                <w:sz w:val="22"/>
              </w:rPr>
              <w:t xml:space="preserve">think </w:t>
            </w:r>
            <w:r w:rsidR="002E227D">
              <w:rPr>
                <w:rFonts w:eastAsia="ＭＳ 明朝"/>
                <w:sz w:val="22"/>
              </w:rPr>
              <w:t xml:space="preserve">the proposal should not be agreed. </w:t>
            </w:r>
            <w:r w:rsidR="004A30BB">
              <w:rPr>
                <w:rFonts w:eastAsia="ＭＳ 明朝"/>
                <w:sz w:val="22"/>
              </w:rPr>
              <w:t xml:space="preserve">Of course, it is possible that we just misunderstood the </w:t>
            </w:r>
            <w:r w:rsidR="000B4C6A">
              <w:rPr>
                <w:rFonts w:eastAsia="ＭＳ 明朝"/>
                <w:sz w:val="22"/>
              </w:rPr>
              <w:t xml:space="preserve">purpose, in which case some clarification could </w:t>
            </w:r>
            <w:r w:rsidR="007C44B5">
              <w:rPr>
                <w:rFonts w:eastAsia="ＭＳ 明朝"/>
                <w:sz w:val="22"/>
              </w:rPr>
              <w:t>help</w:t>
            </w:r>
            <w:r w:rsidR="00EF4FCC">
              <w:rPr>
                <w:rFonts w:eastAsia="ＭＳ 明朝"/>
                <w:sz w:val="22"/>
              </w:rPr>
              <w:t xml:space="preserve"> and would be appreciated</w:t>
            </w:r>
            <w:r w:rsidR="000B4C6A">
              <w:rPr>
                <w:rFonts w:eastAsia="ＭＳ 明朝"/>
                <w:sz w:val="22"/>
              </w:rPr>
              <w:t xml:space="preserve">. </w:t>
            </w:r>
            <w:r w:rsidR="00BE3571">
              <w:rPr>
                <w:rFonts w:eastAsia="ＭＳ 明朝"/>
                <w:sz w:val="22"/>
              </w:rPr>
              <w:t xml:space="preserve">Was the proposal meant to </w:t>
            </w:r>
            <w:r w:rsidR="00C3235D">
              <w:rPr>
                <w:rFonts w:eastAsia="ＭＳ 明朝"/>
                <w:sz w:val="22"/>
              </w:rPr>
              <w:t xml:space="preserve">cover only the intra-band part of inter- plus intra-band CA </w:t>
            </w:r>
            <w:r w:rsidR="00D5527F">
              <w:rPr>
                <w:rFonts w:eastAsia="ＭＳ 明朝"/>
                <w:sz w:val="22"/>
              </w:rPr>
              <w:t>combinations</w:t>
            </w:r>
            <w:r w:rsidR="00C3235D">
              <w:rPr>
                <w:rFonts w:eastAsia="ＭＳ 明朝"/>
                <w:sz w:val="22"/>
              </w:rPr>
              <w:t xml:space="preserve">? </w:t>
            </w:r>
            <w:r w:rsidR="00D5527F">
              <w:rPr>
                <w:rFonts w:eastAsia="ＭＳ 明朝"/>
                <w:sz w:val="22"/>
              </w:rPr>
              <w:t xml:space="preserve">But then what issue the UE </w:t>
            </w:r>
            <w:r w:rsidR="00675015">
              <w:rPr>
                <w:rFonts w:eastAsia="ＭＳ 明朝"/>
                <w:sz w:val="22"/>
              </w:rPr>
              <w:t xml:space="preserve">would </w:t>
            </w:r>
            <w:r w:rsidR="00D5527F">
              <w:rPr>
                <w:rFonts w:eastAsia="ＭＳ 明朝"/>
                <w:sz w:val="22"/>
              </w:rPr>
              <w:t>need to resolve in intra</w:t>
            </w:r>
            <w:r w:rsidR="00675015">
              <w:rPr>
                <w:rFonts w:eastAsia="ＭＳ 明朝"/>
                <w:sz w:val="22"/>
              </w:rPr>
              <w:t xml:space="preserve">-band FDD? </w:t>
            </w:r>
            <w:r w:rsidR="000B4C6A">
              <w:rPr>
                <w:rFonts w:eastAsia="ＭＳ 明朝"/>
                <w:sz w:val="22"/>
              </w:rPr>
              <w:t xml:space="preserve">We do not think that </w:t>
            </w:r>
            <w:r w:rsidR="007B6FD1">
              <w:rPr>
                <w:rFonts w:eastAsia="ＭＳ 明朝"/>
                <w:sz w:val="22"/>
              </w:rPr>
              <w:t>the definitions</w:t>
            </w:r>
            <w:r w:rsidR="00675015">
              <w:rPr>
                <w:rFonts w:eastAsia="ＭＳ 明朝"/>
                <w:sz w:val="22"/>
              </w:rPr>
              <w:t xml:space="preserve"> </w:t>
            </w:r>
            <w:proofErr w:type="gramStart"/>
            <w:r w:rsidR="00675015">
              <w:rPr>
                <w:rFonts w:eastAsia="ＭＳ 明朝"/>
                <w:sz w:val="22"/>
              </w:rPr>
              <w:t>actually</w:t>
            </w:r>
            <w:r w:rsidR="007B6FD1">
              <w:rPr>
                <w:rFonts w:eastAsia="ＭＳ 明朝"/>
                <w:sz w:val="22"/>
              </w:rPr>
              <w:t xml:space="preserve"> work</w:t>
            </w:r>
            <w:proofErr w:type="gramEnd"/>
            <w:r w:rsidR="007B6FD1">
              <w:rPr>
                <w:rFonts w:eastAsia="ＭＳ 明朝"/>
                <w:sz w:val="22"/>
              </w:rPr>
              <w:t xml:space="preserve"> with considering FDD cells, even though RAN4 seem to have allowed </w:t>
            </w:r>
            <w:r w:rsidR="0098441C">
              <w:rPr>
                <w:rFonts w:eastAsia="ＭＳ 明朝"/>
                <w:sz w:val="22"/>
              </w:rPr>
              <w:t>half duplex capability limitation across FDD-TDD cells</w:t>
            </w:r>
            <w:r w:rsidR="007C44B5">
              <w:rPr>
                <w:rFonts w:eastAsia="ＭＳ 明朝"/>
                <w:sz w:val="22"/>
              </w:rPr>
              <w:t xml:space="preserve"> as well</w:t>
            </w:r>
            <w:r w:rsidR="0098441C">
              <w:rPr>
                <w:rFonts w:eastAsia="ＭＳ 明朝"/>
                <w:sz w:val="22"/>
              </w:rPr>
              <w:t xml:space="preserve">. </w:t>
            </w:r>
          </w:p>
          <w:p w14:paraId="79D3386B" w14:textId="77777777" w:rsidR="005558A8" w:rsidRDefault="00121158" w:rsidP="002B0854">
            <w:pPr>
              <w:spacing w:afterLines="50" w:after="120"/>
              <w:jc w:val="both"/>
              <w:textAlignment w:val="baseline"/>
              <w:rPr>
                <w:rFonts w:eastAsia="ＭＳ 明朝"/>
                <w:sz w:val="22"/>
              </w:rPr>
            </w:pPr>
            <w:r>
              <w:rPr>
                <w:rFonts w:eastAsia="ＭＳ 明朝"/>
                <w:sz w:val="22"/>
              </w:rPr>
              <w:t xml:space="preserve">The TP itself </w:t>
            </w:r>
            <w:r w:rsidR="000A54A7">
              <w:rPr>
                <w:rFonts w:eastAsia="ＭＳ 明朝"/>
                <w:sz w:val="22"/>
              </w:rPr>
              <w:t xml:space="preserve">seems </w:t>
            </w:r>
            <w:r w:rsidR="00145AD1">
              <w:rPr>
                <w:rFonts w:eastAsia="ＭＳ 明朝"/>
                <w:sz w:val="22"/>
              </w:rPr>
              <w:t>unrelated to the proposal</w:t>
            </w:r>
            <w:r>
              <w:rPr>
                <w:rFonts w:eastAsia="ＭＳ 明朝"/>
                <w:sz w:val="22"/>
              </w:rPr>
              <w:t xml:space="preserve">. </w:t>
            </w:r>
            <w:r w:rsidR="004F32CF">
              <w:rPr>
                <w:rFonts w:eastAsia="ＭＳ 明朝"/>
                <w:sz w:val="22"/>
              </w:rPr>
              <w:t xml:space="preserve"> </w:t>
            </w:r>
          </w:p>
          <w:p w14:paraId="37286678" w14:textId="39E1FDA2" w:rsidR="007C44B5" w:rsidRDefault="007C44B5" w:rsidP="007C44B5">
            <w:pPr>
              <w:spacing w:afterLines="50" w:after="120"/>
              <w:jc w:val="both"/>
              <w:textAlignment w:val="baseline"/>
              <w:rPr>
                <w:rFonts w:eastAsia="ＭＳ 明朝"/>
                <w:sz w:val="22"/>
              </w:rPr>
            </w:pPr>
            <w:r>
              <w:rPr>
                <w:rFonts w:eastAsia="ＭＳ 明朝"/>
                <w:sz w:val="22"/>
              </w:rPr>
              <w:t xml:space="preserve">Would be </w:t>
            </w:r>
            <w:r w:rsidR="00EF4FCC">
              <w:rPr>
                <w:rFonts w:eastAsia="ＭＳ 明朝"/>
                <w:sz w:val="22"/>
              </w:rPr>
              <w:t>ideal</w:t>
            </w:r>
            <w:r>
              <w:rPr>
                <w:rFonts w:eastAsia="ＭＳ 明朝"/>
                <w:sz w:val="22"/>
              </w:rPr>
              <w:t xml:space="preserve"> to stop having continued </w:t>
            </w:r>
            <w:proofErr w:type="spellStart"/>
            <w:r>
              <w:rPr>
                <w:rFonts w:eastAsia="ＭＳ 明朝"/>
                <w:sz w:val="22"/>
              </w:rPr>
              <w:t>diusussion</w:t>
            </w:r>
            <w:proofErr w:type="spellEnd"/>
            <w:r>
              <w:rPr>
                <w:rFonts w:eastAsia="ＭＳ 明朝"/>
                <w:sz w:val="22"/>
              </w:rPr>
              <w:t xml:space="preserve"> on this feature at every meeting. This was a TEI that was supposed to be finished in one quarter. Don’t even remember when, three years ago? With every text proposal it is less clear what the feature is used for. </w:t>
            </w:r>
          </w:p>
          <w:p w14:paraId="7F6B8DC5" w14:textId="0440B3C1" w:rsidR="007C44B5" w:rsidRDefault="007C44B5" w:rsidP="002B0854">
            <w:pPr>
              <w:spacing w:afterLines="50" w:after="120"/>
              <w:jc w:val="both"/>
              <w:textAlignment w:val="baseline"/>
              <w:rPr>
                <w:rFonts w:eastAsia="ＭＳ 明朝"/>
                <w:sz w:val="22"/>
              </w:rPr>
            </w:pPr>
            <w:r>
              <w:rPr>
                <w:rFonts w:eastAsia="ＭＳ 明朝"/>
                <w:sz w:val="22"/>
              </w:rPr>
              <w:t xml:space="preserve">As we </w:t>
            </w:r>
            <w:r w:rsidR="00774689">
              <w:rPr>
                <w:rFonts w:eastAsia="ＭＳ 明朝"/>
                <w:sz w:val="22"/>
              </w:rPr>
              <w:t xml:space="preserve">have </w:t>
            </w:r>
            <w:r>
              <w:rPr>
                <w:rFonts w:eastAsia="ＭＳ 明朝"/>
                <w:sz w:val="22"/>
              </w:rPr>
              <w:t xml:space="preserve">explained, the feature is fundamentally broken because it describes resolving directional conflicts with assuming zero timing advance while the actual conflict occurs </w:t>
            </w:r>
            <w:r w:rsidR="000A58DD">
              <w:rPr>
                <w:rFonts w:eastAsia="ＭＳ 明朝"/>
                <w:sz w:val="22"/>
              </w:rPr>
              <w:t xml:space="preserve">between DL and UL </w:t>
            </w:r>
            <w:r>
              <w:rPr>
                <w:rFonts w:eastAsia="ＭＳ 明朝"/>
                <w:sz w:val="22"/>
              </w:rPr>
              <w:t xml:space="preserve">with actual timing advance. </w:t>
            </w:r>
            <w:proofErr w:type="gramStart"/>
            <w:r>
              <w:rPr>
                <w:rFonts w:eastAsia="ＭＳ 明朝"/>
                <w:sz w:val="22"/>
              </w:rPr>
              <w:t>So</w:t>
            </w:r>
            <w:proofErr w:type="gramEnd"/>
            <w:r>
              <w:rPr>
                <w:rFonts w:eastAsia="ＭＳ 明朝"/>
                <w:sz w:val="22"/>
              </w:rPr>
              <w:t xml:space="preserve"> the decisions made by the algorithm are </w:t>
            </w:r>
            <w:r w:rsidR="00E5250B">
              <w:rPr>
                <w:rFonts w:eastAsia="ＭＳ 明朝"/>
                <w:sz w:val="22"/>
              </w:rPr>
              <w:t xml:space="preserve">often </w:t>
            </w:r>
            <w:r>
              <w:rPr>
                <w:rFonts w:eastAsia="ＭＳ 明朝"/>
                <w:sz w:val="22"/>
              </w:rPr>
              <w:t>erroneous.</w:t>
            </w:r>
          </w:p>
        </w:tc>
      </w:tr>
      <w:tr w:rsidR="000A5C9A" w14:paraId="55FE25E6" w14:textId="77777777" w:rsidTr="00B51A2E">
        <w:tc>
          <w:tcPr>
            <w:tcW w:w="569" w:type="pct"/>
            <w:tcBorders>
              <w:top w:val="single" w:sz="4" w:space="0" w:color="auto"/>
              <w:left w:val="single" w:sz="4" w:space="0" w:color="auto"/>
              <w:bottom w:val="single" w:sz="4" w:space="0" w:color="auto"/>
              <w:right w:val="single" w:sz="4" w:space="0" w:color="auto"/>
            </w:tcBorders>
          </w:tcPr>
          <w:p w14:paraId="781D6DE4" w14:textId="16EC2E53" w:rsidR="000A5C9A" w:rsidRDefault="000A5C9A">
            <w:pPr>
              <w:spacing w:afterLines="50" w:after="120"/>
              <w:jc w:val="both"/>
              <w:textAlignment w:val="baseline"/>
              <w:rPr>
                <w:rFonts w:eastAsia="ＭＳ 明朝" w:hint="eastAsia"/>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0FC83514" w14:textId="77777777" w:rsidR="000A5C9A" w:rsidRDefault="000A5C9A" w:rsidP="000A5C9A">
            <w:pPr>
              <w:rPr>
                <w:rFonts w:asciiTheme="minorHAnsi" w:eastAsiaTheme="minorEastAsia" w:hAnsiTheme="minorHAnsi" w:cstheme="minorBidi"/>
                <w:sz w:val="22"/>
                <w:szCs w:val="22"/>
                <w:lang w:val="en-US"/>
              </w:rPr>
            </w:pPr>
            <w:r>
              <w:rPr>
                <w:rFonts w:asciiTheme="minorHAnsi" w:eastAsiaTheme="minorEastAsia" w:hAnsiTheme="minorHAnsi" w:cstheme="minorBidi" w:hint="eastAsia"/>
                <w:sz w:val="22"/>
                <w:szCs w:val="22"/>
              </w:rPr>
              <w:t>Thank you very much for the checking and feedback!</w:t>
            </w:r>
          </w:p>
          <w:p w14:paraId="0EA903EE" w14:textId="2CD03C8D" w:rsidR="000A5C9A" w:rsidRDefault="000A5C9A" w:rsidP="000A5C9A">
            <w:pPr>
              <w:rPr>
                <w:rFonts w:asciiTheme="minorHAnsi" w:eastAsiaTheme="minorEastAsia" w:hAnsiTheme="minorHAnsi" w:cstheme="minorBidi" w:hint="eastAsia"/>
                <w:sz w:val="22"/>
                <w:szCs w:val="22"/>
              </w:rPr>
            </w:pPr>
            <w:proofErr w:type="gramStart"/>
            <w:r>
              <w:rPr>
                <w:rFonts w:asciiTheme="minorHAnsi" w:eastAsiaTheme="minorEastAsia" w:hAnsiTheme="minorHAnsi" w:cstheme="minorBidi" w:hint="eastAsia"/>
                <w:sz w:val="22"/>
                <w:szCs w:val="22"/>
              </w:rPr>
              <w:t xml:space="preserve">Regarding </w:t>
            </w:r>
            <w:r>
              <w:rPr>
                <w:rFonts w:asciiTheme="minorHAnsi" w:eastAsiaTheme="minorEastAsia" w:hAnsiTheme="minorHAnsi" w:cstheme="minorBidi"/>
                <w:sz w:val="22"/>
                <w:szCs w:val="22"/>
              </w:rPr>
              <w:t xml:space="preserve"> Qualcomm’</w:t>
            </w:r>
            <w:r>
              <w:rPr>
                <w:rFonts w:asciiTheme="minorHAnsi" w:eastAsiaTheme="minorEastAsia" w:hAnsiTheme="minorHAnsi" w:cstheme="minorBidi" w:hint="eastAsia"/>
                <w:sz w:val="22"/>
                <w:szCs w:val="22"/>
              </w:rPr>
              <w:t>s</w:t>
            </w:r>
            <w:proofErr w:type="gramEnd"/>
            <w:r>
              <w:rPr>
                <w:rFonts w:asciiTheme="minorHAnsi" w:eastAsiaTheme="minorEastAsia" w:hAnsiTheme="minorHAnsi" w:cstheme="minorBidi" w:hint="eastAsia"/>
                <w:sz w:val="22"/>
                <w:szCs w:val="22"/>
              </w:rPr>
              <w:t xml:space="preserve"> comment/concern on the applicability to FDD cells, I think the following capability definition could solve the concern. In my understanding, the intension of Huawei</w:t>
            </w:r>
            <w:r>
              <w:rPr>
                <w:rFonts w:asciiTheme="minorHAnsi" w:eastAsia="ＭＳ 明朝" w:hAnsiTheme="minorHAnsi" w:cstheme="minorBidi"/>
                <w:sz w:val="22"/>
                <w:szCs w:val="22"/>
                <w:lang w:eastAsia="ja-JP"/>
              </w:rPr>
              <w:t>’s</w:t>
            </w:r>
            <w:r>
              <w:rPr>
                <w:rFonts w:asciiTheme="minorHAnsi" w:eastAsiaTheme="minorEastAsia" w:hAnsiTheme="minorHAnsi" w:cstheme="minorBidi" w:hint="eastAsia"/>
                <w:sz w:val="22"/>
                <w:szCs w:val="22"/>
              </w:rPr>
              <w:t xml:space="preserve"> proposal is to cover the case of directional collision handling on flexible symbols between TDD cells within a band. Further clarification/explanation from </w:t>
            </w:r>
            <w:r>
              <w:rPr>
                <w:rFonts w:asciiTheme="minorHAnsi" w:eastAsiaTheme="minorEastAsia" w:hAnsiTheme="minorHAnsi" w:cstheme="minorBidi"/>
                <w:sz w:val="22"/>
                <w:szCs w:val="22"/>
              </w:rPr>
              <w:t>Huawei</w:t>
            </w:r>
            <w:r>
              <w:rPr>
                <w:rFonts w:asciiTheme="minorHAnsi" w:eastAsiaTheme="minorEastAsia" w:hAnsiTheme="minorHAnsi" w:cstheme="minorBidi" w:hint="eastAsia"/>
                <w:sz w:val="22"/>
                <w:szCs w:val="22"/>
              </w:rPr>
              <w:t xml:space="preserve"> would be helpful.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3"/>
              <w:gridCol w:w="592"/>
              <w:gridCol w:w="473"/>
              <w:gridCol w:w="592"/>
              <w:gridCol w:w="608"/>
            </w:tblGrid>
            <w:tr w:rsidR="000A5C9A" w14:paraId="533DB562" w14:textId="77777777" w:rsidTr="000A5C9A">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50875C4" w14:textId="77777777" w:rsidR="000A5C9A" w:rsidRDefault="000A5C9A" w:rsidP="000A5C9A">
                  <w:pPr>
                    <w:pStyle w:val="TAL"/>
                    <w:rPr>
                      <w:rFonts w:eastAsia="Times New Roman" w:hint="eastAsia"/>
                      <w:b/>
                      <w:bCs/>
                      <w:i/>
                      <w:iCs/>
                    </w:rPr>
                  </w:pPr>
                  <w:r>
                    <w:rPr>
                      <w:b/>
                      <w:bCs/>
                      <w:i/>
                      <w:iCs/>
                    </w:rPr>
                    <w:t>half-DuplexTDD-CA-SameSCS-r16</w:t>
                  </w:r>
                </w:p>
                <w:p w14:paraId="309A8B70" w14:textId="77777777" w:rsidR="000A5C9A" w:rsidRDefault="000A5C9A" w:rsidP="000A5C9A">
                  <w:pPr>
                    <w:pStyle w:val="TAL"/>
                    <w:rPr>
                      <w:rFonts w:cs="Arial"/>
                      <w:b/>
                      <w:i/>
                    </w:rPr>
                  </w:pPr>
                  <w:r>
                    <w:rPr>
                      <w:bCs/>
                      <w:iCs/>
                    </w:rPr>
                    <w:t xml:space="preserve">Indicates whether the UE supports directional collision handling between reference and other cell(s) for half-duplex operation </w:t>
                  </w:r>
                  <w:r>
                    <w:rPr>
                      <w:bCs/>
                      <w:iCs/>
                      <w:color w:val="FF0000"/>
                    </w:rPr>
                    <w:t>in TDD</w:t>
                  </w:r>
                  <w:r>
                    <w:rPr>
                      <w:bCs/>
                      <w:iCs/>
                    </w:rPr>
                    <w:t xml:space="preserve"> CA with same SCS. The UE can include this field, only if </w:t>
                  </w:r>
                  <w:proofErr w:type="spellStart"/>
                  <w:r>
                    <w:rPr>
                      <w:bCs/>
                      <w:i/>
                      <w:iCs/>
                    </w:rPr>
                    <w:t>simultaneousRxTxInterBandCA</w:t>
                  </w:r>
                  <w:proofErr w:type="spellEnd"/>
                  <w:r>
                    <w:rPr>
                      <w:bCs/>
                      <w:iCs/>
                    </w:rPr>
                    <w:t xml:space="preserve"> is not present.</w:t>
                  </w:r>
                </w:p>
              </w:tc>
              <w:tc>
                <w:tcPr>
                  <w:tcW w:w="368" w:type="pct"/>
                  <w:tcBorders>
                    <w:top w:val="single" w:sz="4" w:space="0" w:color="808080"/>
                    <w:left w:val="single" w:sz="4" w:space="0" w:color="808080"/>
                    <w:bottom w:val="single" w:sz="4" w:space="0" w:color="808080"/>
                    <w:right w:val="single" w:sz="4" w:space="0" w:color="808080"/>
                  </w:tcBorders>
                  <w:hideMark/>
                </w:tcPr>
                <w:p w14:paraId="33E41A1C" w14:textId="77777777" w:rsidR="000A5C9A" w:rsidRDefault="000A5C9A" w:rsidP="000A5C9A">
                  <w:pPr>
                    <w:pStyle w:val="TAL"/>
                    <w:jc w:val="center"/>
                    <w:rPr>
                      <w:lang w:eastAsia="ko-KR"/>
                    </w:rPr>
                  </w:pPr>
                  <w:r>
                    <w:rPr>
                      <w:szCs w:val="18"/>
                    </w:rPr>
                    <w:t>BC</w:t>
                  </w:r>
                </w:p>
              </w:tc>
              <w:tc>
                <w:tcPr>
                  <w:tcW w:w="294" w:type="pct"/>
                  <w:tcBorders>
                    <w:top w:val="single" w:sz="4" w:space="0" w:color="808080"/>
                    <w:left w:val="single" w:sz="4" w:space="0" w:color="808080"/>
                    <w:bottom w:val="single" w:sz="4" w:space="0" w:color="808080"/>
                    <w:right w:val="single" w:sz="4" w:space="0" w:color="808080"/>
                  </w:tcBorders>
                  <w:hideMark/>
                </w:tcPr>
                <w:p w14:paraId="50CA7684" w14:textId="77777777" w:rsidR="000A5C9A" w:rsidRDefault="000A5C9A" w:rsidP="000A5C9A">
                  <w:pPr>
                    <w:pStyle w:val="TAL"/>
                    <w:jc w:val="center"/>
                    <w:rPr>
                      <w:lang w:eastAsia="ja-JP"/>
                    </w:rPr>
                  </w:pPr>
                  <w:r>
                    <w:t>No</w:t>
                  </w:r>
                </w:p>
              </w:tc>
              <w:tc>
                <w:tcPr>
                  <w:tcW w:w="368" w:type="pct"/>
                  <w:tcBorders>
                    <w:top w:val="single" w:sz="4" w:space="0" w:color="808080"/>
                    <w:left w:val="single" w:sz="4" w:space="0" w:color="808080"/>
                    <w:bottom w:val="single" w:sz="4" w:space="0" w:color="808080"/>
                    <w:right w:val="single" w:sz="4" w:space="0" w:color="808080"/>
                  </w:tcBorders>
                  <w:hideMark/>
                </w:tcPr>
                <w:p w14:paraId="023197B3" w14:textId="77777777" w:rsidR="000A5C9A" w:rsidRDefault="000A5C9A" w:rsidP="000A5C9A">
                  <w:pPr>
                    <w:pStyle w:val="TAL"/>
                    <w:jc w:val="center"/>
                  </w:pPr>
                  <w:r>
                    <w:rPr>
                      <w:bCs/>
                      <w:iCs/>
                      <w:color w:val="FF0000"/>
                    </w:rPr>
                    <w:t>TDD only</w:t>
                  </w:r>
                </w:p>
              </w:tc>
              <w:tc>
                <w:tcPr>
                  <w:tcW w:w="378" w:type="pct"/>
                  <w:tcBorders>
                    <w:top w:val="single" w:sz="4" w:space="0" w:color="808080"/>
                    <w:left w:val="single" w:sz="4" w:space="0" w:color="808080"/>
                    <w:bottom w:val="single" w:sz="4" w:space="0" w:color="808080"/>
                    <w:right w:val="single" w:sz="4" w:space="0" w:color="808080"/>
                  </w:tcBorders>
                  <w:hideMark/>
                </w:tcPr>
                <w:p w14:paraId="4395572A" w14:textId="77777777" w:rsidR="000A5C9A" w:rsidRDefault="000A5C9A" w:rsidP="000A5C9A">
                  <w:pPr>
                    <w:pStyle w:val="TAL"/>
                    <w:jc w:val="center"/>
                  </w:pPr>
                  <w:r>
                    <w:rPr>
                      <w:bCs/>
                      <w:iCs/>
                    </w:rPr>
                    <w:t>N/A</w:t>
                  </w:r>
                </w:p>
              </w:tc>
            </w:tr>
          </w:tbl>
          <w:p w14:paraId="01645A41" w14:textId="77777777" w:rsidR="000A5C9A" w:rsidRDefault="000A5C9A" w:rsidP="000A5C9A">
            <w:pPr>
              <w:rPr>
                <w:rFonts w:asciiTheme="minorHAnsi" w:eastAsiaTheme="minorEastAsia" w:hAnsiTheme="minorHAnsi" w:cstheme="minorBidi"/>
                <w:sz w:val="22"/>
                <w:szCs w:val="22"/>
              </w:rPr>
            </w:pPr>
          </w:p>
          <w:p w14:paraId="01E72770" w14:textId="0828AA25" w:rsidR="000A5C9A" w:rsidRDefault="000A5C9A" w:rsidP="000A5C9A">
            <w:pPr>
              <w:rPr>
                <w:rFonts w:asciiTheme="minorHAnsi" w:eastAsiaTheme="minorEastAsia" w:hAnsiTheme="minorHAnsi" w:cstheme="minorBidi" w:hint="eastAsia"/>
                <w:sz w:val="22"/>
                <w:szCs w:val="22"/>
              </w:rPr>
            </w:pPr>
            <w:proofErr w:type="gramStart"/>
            <w:r>
              <w:rPr>
                <w:rFonts w:asciiTheme="minorHAnsi" w:eastAsiaTheme="minorEastAsia" w:hAnsiTheme="minorHAnsi" w:cstheme="minorBidi" w:hint="eastAsia"/>
                <w:sz w:val="22"/>
                <w:szCs w:val="22"/>
              </w:rPr>
              <w:t>Actually</w:t>
            </w:r>
            <w:proofErr w:type="gramEnd"/>
            <w:r>
              <w:rPr>
                <w:rFonts w:asciiTheme="minorHAnsi" w:eastAsiaTheme="minorEastAsia" w:hAnsiTheme="minorHAnsi" w:cstheme="minorBidi" w:hint="eastAsia"/>
                <w:sz w:val="22"/>
                <w:szCs w:val="22"/>
              </w:rPr>
              <w:t xml:space="preserve"> I share similar concern with Peter since we had CR discussion for this feature almost every meeting.</w:t>
            </w:r>
          </w:p>
          <w:p w14:paraId="1C0DBC51" w14:textId="5B95DAF5" w:rsidR="000A5C9A" w:rsidRPr="000A5C9A" w:rsidRDefault="000A5C9A" w:rsidP="000A5C9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I really hope this discussion could be the last one.</w:t>
            </w: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Huawei, HiSilicon</w:t>
      </w:r>
    </w:p>
    <w:p w14:paraId="06BA940B" w14:textId="5EA768DF" w:rsid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Huawei, HiSilicon</w:t>
      </w:r>
    </w:p>
    <w:p w14:paraId="3AC19602" w14:textId="2FA499C7" w:rsidR="008E30E2" w:rsidRDefault="008E30E2" w:rsidP="00C31451">
      <w:pPr>
        <w:rPr>
          <w:bCs/>
          <w:sz w:val="22"/>
          <w:szCs w:val="18"/>
        </w:rPr>
      </w:pPr>
      <w:r>
        <w:rPr>
          <w:bCs/>
          <w:sz w:val="22"/>
          <w:szCs w:val="18"/>
        </w:rPr>
        <w:tab/>
      </w:r>
    </w:p>
    <w:p w14:paraId="58AC32F8" w14:textId="597DEA97"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8E30E2">
        <w:rPr>
          <w:rFonts w:ascii="Arial" w:eastAsia="Batang" w:hAnsi="Arial"/>
          <w:sz w:val="32"/>
          <w:szCs w:val="32"/>
          <w:lang w:val="en-US" w:eastAsia="ko-KR"/>
        </w:rPr>
        <w:lastRenderedPageBreak/>
        <w:t>Appendix</w:t>
      </w:r>
    </w:p>
    <w:p w14:paraId="56E94226" w14:textId="21E45C86"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TP version 1</w:t>
      </w:r>
    </w:p>
    <w:tbl>
      <w:tblPr>
        <w:tblStyle w:val="aff4"/>
        <w:tblW w:w="0" w:type="auto"/>
        <w:tblLook w:val="04A0" w:firstRow="1" w:lastRow="0" w:firstColumn="1" w:lastColumn="0" w:noHBand="0" w:noVBand="1"/>
      </w:tblPr>
      <w:tblGrid>
        <w:gridCol w:w="9628"/>
      </w:tblGrid>
      <w:tr w:rsidR="008E30E2" w14:paraId="750BC05D" w14:textId="77777777" w:rsidTr="008E30E2">
        <w:tc>
          <w:tcPr>
            <w:tcW w:w="9628" w:type="dxa"/>
          </w:tcPr>
          <w:p w14:paraId="0A0C9195" w14:textId="77777777" w:rsidR="008E30E2" w:rsidRPr="008E30E2" w:rsidRDefault="008E30E2" w:rsidP="008E30E2">
            <w:pPr>
              <w:keepNext/>
              <w:keepLines/>
              <w:spacing w:before="180"/>
              <w:ind w:left="1134" w:hanging="1134"/>
              <w:outlineLvl w:val="1"/>
              <w:rPr>
                <w:rFonts w:ascii="Arial" w:eastAsia="SimSun" w:hAnsi="Arial"/>
                <w:sz w:val="32"/>
                <w:lang w:eastAsia="zh-CN"/>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bookmarkStart w:id="13" w:name="_Toc45699220"/>
            <w:bookmarkStart w:id="14" w:name="_Toc66974098"/>
            <w:r w:rsidRPr="008E30E2">
              <w:rPr>
                <w:rFonts w:ascii="Arial" w:eastAsia="SimSun" w:hAnsi="Arial"/>
                <w:sz w:val="32"/>
                <w:lang w:eastAsia="zh-CN"/>
              </w:rPr>
              <w:lastRenderedPageBreak/>
              <w:t>11.1</w:t>
            </w:r>
            <w:r w:rsidRPr="008E30E2">
              <w:rPr>
                <w:rFonts w:ascii="Arial" w:eastAsia="SimSun" w:hAnsi="Arial"/>
                <w:sz w:val="32"/>
                <w:lang w:eastAsia="zh-CN"/>
              </w:rPr>
              <w:tab/>
              <w:t>Slot configuration</w:t>
            </w:r>
            <w:bookmarkEnd w:id="4"/>
            <w:bookmarkEnd w:id="5"/>
            <w:bookmarkEnd w:id="6"/>
            <w:bookmarkEnd w:id="7"/>
            <w:bookmarkEnd w:id="8"/>
            <w:bookmarkEnd w:id="9"/>
            <w:bookmarkEnd w:id="10"/>
            <w:bookmarkEnd w:id="11"/>
            <w:bookmarkEnd w:id="12"/>
            <w:bookmarkEnd w:id="13"/>
            <w:bookmarkEnd w:id="14"/>
          </w:p>
          <w:p w14:paraId="1F39B5A8" w14:textId="77777777"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p w14:paraId="03FAAE2D"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If a UE </w:t>
            </w:r>
          </w:p>
          <w:p w14:paraId="42F8940B"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configured with multiple serving cells and is provided </w:t>
            </w:r>
            <w:r w:rsidRPr="008E30E2">
              <w:rPr>
                <w:rFonts w:eastAsia="SimSun"/>
                <w:i/>
                <w:sz w:val="20"/>
                <w:lang w:val="x-none" w:eastAsia="en-US"/>
              </w:rPr>
              <w:t xml:space="preserve">half-duplex-behavior </w:t>
            </w:r>
            <w:r w:rsidRPr="008E30E2">
              <w:rPr>
                <w:rFonts w:eastAsia="SimSun"/>
                <w:sz w:val="20"/>
                <w:lang w:val="x-none" w:eastAsia="en-US"/>
              </w:rPr>
              <w:t xml:space="preserve">= 'enable', </w:t>
            </w:r>
            <w:r w:rsidRPr="008E30E2">
              <w:rPr>
                <w:rFonts w:eastAsia="DengXian"/>
                <w:sz w:val="20"/>
                <w:lang w:val="en-US" w:eastAsia="en-US"/>
              </w:rPr>
              <w:t>and</w:t>
            </w:r>
          </w:p>
          <w:p w14:paraId="55543D77"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capable of simultaneous transmission and reception on any of the multiple serving cells, </w:t>
            </w:r>
            <w:r w:rsidRPr="008E30E2">
              <w:rPr>
                <w:rFonts w:eastAsia="DengXian"/>
                <w:sz w:val="20"/>
                <w:lang w:val="en-US" w:eastAsia="en-US"/>
              </w:rPr>
              <w:t>and</w:t>
            </w:r>
          </w:p>
          <w:p w14:paraId="1BC6E569"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indicates support of capability for half-duplex operation in CA with unpaired spectrum, and </w:t>
            </w:r>
          </w:p>
          <w:p w14:paraId="385BA531"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configured to monitor PDCCH for detection of DCI format 2_0 </w:t>
            </w:r>
            <w:r w:rsidRPr="008E30E2">
              <w:rPr>
                <w:rFonts w:eastAsia="DengXian"/>
                <w:sz w:val="20"/>
                <w:lang w:val="x-none" w:eastAsia="zh-CN"/>
              </w:rPr>
              <w:t>on any of the multiple serving cells,</w:t>
            </w:r>
          </w:p>
          <w:p w14:paraId="2EDD1D8C"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for a set of symbols of a slot that are indicated to the UE for reception of SS/PBCH blocks in </w:t>
            </w:r>
            <w:r w:rsidRPr="008E30E2">
              <w:rPr>
                <w:rFonts w:eastAsia="SimSun"/>
                <w:color w:val="C00000"/>
                <w:sz w:val="20"/>
                <w:u w:val="single"/>
                <w:lang w:val="en-US" w:eastAsia="en-US"/>
              </w:rPr>
              <w:t>a first cell</w:t>
            </w:r>
            <w:r w:rsidRPr="008E30E2">
              <w:rPr>
                <w:rFonts w:eastAsia="SimSun"/>
                <w:color w:val="C00000"/>
                <w:sz w:val="20"/>
                <w:lang w:val="en-US" w:eastAsia="en-US"/>
              </w:rPr>
              <w:t xml:space="preserve"> </w:t>
            </w:r>
            <w:r w:rsidRPr="008E30E2">
              <w:rPr>
                <w:rFonts w:eastAsia="SimSun"/>
                <w:strike/>
                <w:color w:val="C00000"/>
                <w:sz w:val="20"/>
                <w:lang w:val="en-US" w:eastAsia="en-US"/>
              </w:rPr>
              <w:t>any</w:t>
            </w:r>
            <w:r w:rsidRPr="008E30E2">
              <w:rPr>
                <w:rFonts w:eastAsia="SimSun"/>
                <w:color w:val="C00000"/>
                <w:sz w:val="20"/>
                <w:lang w:val="en-US" w:eastAsia="en-US"/>
              </w:rPr>
              <w:t xml:space="preserve"> </w:t>
            </w:r>
            <w:r w:rsidRPr="008E30E2">
              <w:rPr>
                <w:rFonts w:eastAsia="SimSun"/>
                <w:sz w:val="20"/>
                <w:lang w:val="en-US" w:eastAsia="en-US"/>
              </w:rPr>
              <w:t xml:space="preserve">of </w:t>
            </w:r>
            <w:r w:rsidRPr="008E30E2">
              <w:rPr>
                <w:rFonts w:eastAsia="SimSun"/>
                <w:color w:val="C00000"/>
                <w:sz w:val="20"/>
                <w:u w:val="single"/>
                <w:lang w:val="en-US" w:eastAsia="en-US"/>
              </w:rPr>
              <w:t>the</w:t>
            </w:r>
            <w:r w:rsidRPr="008E30E2">
              <w:rPr>
                <w:rFonts w:eastAsia="SimSun"/>
                <w:color w:val="C00000"/>
                <w:sz w:val="20"/>
                <w:lang w:val="en-US" w:eastAsia="en-US"/>
              </w:rPr>
              <w:t xml:space="preserve"> </w:t>
            </w:r>
            <w:r w:rsidRPr="008E30E2">
              <w:rPr>
                <w:rFonts w:eastAsia="SimSun"/>
                <w:sz w:val="20"/>
                <w:lang w:val="en-US" w:eastAsia="en-US"/>
              </w:rPr>
              <w:t xml:space="preserve">multiple serving cells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r w:rsidRPr="008E30E2">
              <w:rPr>
                <w:rFonts w:eastAsia="SimSun"/>
                <w:i/>
                <w:iCs/>
                <w:sz w:val="20"/>
                <w:lang w:val="en-US" w:eastAsia="en-US"/>
              </w:rPr>
              <w:t>SystemInformationBlockType1</w:t>
            </w:r>
            <w:r w:rsidRPr="008E30E2">
              <w:rPr>
                <w:rFonts w:eastAsia="SimSun"/>
                <w:sz w:val="20"/>
                <w:lang w:val="en-US" w:eastAsia="en-US"/>
              </w:rPr>
              <w:t xml:space="preserve"> or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proofErr w:type="spellStart"/>
            <w:r w:rsidRPr="008E30E2">
              <w:rPr>
                <w:rFonts w:eastAsia="SimSun"/>
                <w:i/>
                <w:iCs/>
                <w:sz w:val="20"/>
                <w:lang w:val="en-US" w:eastAsia="en-US"/>
              </w:rPr>
              <w:t>ServingCellConfigCommon</w:t>
            </w:r>
            <w:proofErr w:type="spellEnd"/>
            <w:r w:rsidRPr="008E30E2">
              <w:rPr>
                <w:rFonts w:eastAsia="SimSun"/>
                <w:sz w:val="20"/>
                <w:lang w:val="en-US" w:eastAsia="en-US"/>
              </w:rPr>
              <w:t>, when provided to the UE, the UE does not transmit PUSCH, PUCCH, or PRACH in the slot if a transmission would overlap with any symbol from the set of symbols, and the UE does not transmit SRS in the set of symbols of the slot in</w:t>
            </w:r>
          </w:p>
          <w:p w14:paraId="73C3480B"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any one of the cells corresponding to the same band as the first cell if the UE is capable of simultaneous transmission and reception by </w:t>
            </w:r>
            <w:r w:rsidRPr="008E30E2">
              <w:rPr>
                <w:rFonts w:eastAsia="SimSun"/>
                <w:i/>
                <w:color w:val="C00000"/>
                <w:sz w:val="20"/>
                <w:u w:val="single"/>
                <w:lang w:val="x-none" w:eastAsia="en-US"/>
              </w:rPr>
              <w:t xml:space="preserve">simultaneousRxTxInterBandCA </w:t>
            </w:r>
            <w:r w:rsidRPr="008E30E2">
              <w:rPr>
                <w:rFonts w:eastAsia="SimSun"/>
                <w:color w:val="C00000"/>
                <w:sz w:val="20"/>
                <w:u w:val="single"/>
                <w:lang w:val="x-none" w:eastAsia="en-US"/>
              </w:rPr>
              <w:t>among the multiple serving cells, or</w:t>
            </w:r>
          </w:p>
          <w:p w14:paraId="25AFB314" w14:textId="77777777" w:rsidR="008E30E2" w:rsidRPr="008E30E2" w:rsidRDefault="008E30E2" w:rsidP="008E30E2">
            <w:pPr>
              <w:ind w:left="568" w:hanging="284"/>
              <w:rPr>
                <w:rFonts w:eastAsia="SimSun"/>
                <w:sz w:val="20"/>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any of </w:t>
            </w:r>
            <w:r w:rsidRPr="008E30E2">
              <w:rPr>
                <w:rFonts w:eastAsia="SimSun"/>
                <w:color w:val="C00000"/>
                <w:sz w:val="20"/>
                <w:u w:val="single"/>
                <w:lang w:val="x-none" w:eastAsia="en-US"/>
              </w:rPr>
              <w:t xml:space="preserve">the </w:t>
            </w:r>
            <w:r w:rsidRPr="008E30E2">
              <w:rPr>
                <w:rFonts w:eastAsia="SimSun"/>
                <w:sz w:val="20"/>
                <w:lang w:val="x-none" w:eastAsia="en-US"/>
              </w:rPr>
              <w:t xml:space="preserve">multiple serving cells </w:t>
            </w:r>
            <w:r w:rsidRPr="008E30E2">
              <w:rPr>
                <w:rFonts w:eastAsia="SimSun"/>
                <w:color w:val="C00000"/>
                <w:sz w:val="20"/>
                <w:u w:val="single"/>
                <w:lang w:val="x-none" w:eastAsia="en-US"/>
              </w:rPr>
              <w:t>otherwise</w:t>
            </w:r>
            <w:r w:rsidRPr="008E30E2">
              <w:rPr>
                <w:rFonts w:eastAsia="SimSun"/>
                <w:sz w:val="20"/>
                <w:lang w:val="x-none" w:eastAsia="en-US"/>
              </w:rPr>
              <w:t>.</w:t>
            </w:r>
          </w:p>
          <w:p w14:paraId="6075BB17"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corresponding to a valid PRACH occasion and </w:t>
            </w:r>
            <w:r w:rsidRPr="008E30E2">
              <w:rPr>
                <w:rFonts w:eastAsia="SimSun"/>
                <w:noProof/>
                <w:position w:val="-12"/>
                <w:sz w:val="20"/>
                <w:lang w:val="en-US" w:eastAsia="zh-CN"/>
              </w:rPr>
              <w:drawing>
                <wp:inline distT="0" distB="0" distL="0" distR="0" wp14:anchorId="39BE5CA1" wp14:editId="56F4516C">
                  <wp:extent cx="254000" cy="2159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8E30E2">
              <w:rPr>
                <w:rFonts w:eastAsia="SimSun"/>
                <w:sz w:val="20"/>
                <w:lang w:val="en-US" w:eastAsia="en-US"/>
              </w:rPr>
              <w:t xml:space="preserve"> symbols before the valid PRACH occasion</w:t>
            </w:r>
            <w:r w:rsidRPr="008E30E2">
              <w:rPr>
                <w:rFonts w:eastAsia="SimSun"/>
                <w:sz w:val="20"/>
                <w:lang w:eastAsia="en-US"/>
              </w:rPr>
              <w:t xml:space="preserve">, as described in Clause 8.1, the UE does not receive </w:t>
            </w:r>
            <w:r w:rsidRPr="008E30E2">
              <w:rPr>
                <w:rFonts w:eastAsia="SimSun"/>
                <w:sz w:val="20"/>
                <w:lang w:val="en-US" w:eastAsia="en-US"/>
              </w:rPr>
              <w:t xml:space="preserve">PDCCH, PDSCH, or CSI-RS in the slot if a reception would overlap with any symbol from </w:t>
            </w:r>
            <w:r w:rsidRPr="008E30E2">
              <w:rPr>
                <w:rFonts w:eastAsia="SimSun"/>
                <w:sz w:val="20"/>
                <w:lang w:eastAsia="en-US"/>
              </w:rPr>
              <w:t>the set of symbols</w:t>
            </w:r>
            <w:r w:rsidRPr="008E30E2">
              <w:rPr>
                <w:rFonts w:eastAsia="SimSun"/>
                <w:sz w:val="20"/>
                <w:lang w:val="en-US" w:eastAsia="en-US"/>
              </w:rPr>
              <w:t>.</w:t>
            </w:r>
            <w:r w:rsidRPr="008E30E2">
              <w:rPr>
                <w:rFonts w:eastAsia="SimSun"/>
                <w:sz w:val="20"/>
                <w:lang w:eastAsia="en-US"/>
              </w:rPr>
              <w:t xml:space="preserve"> The UE does not expect</w:t>
            </w:r>
            <w:r w:rsidRPr="008E30E2">
              <w:rPr>
                <w:rFonts w:eastAsia="SimSun"/>
                <w:sz w:val="20"/>
                <w:lang w:val="en-US" w:eastAsia="en-US"/>
              </w:rPr>
              <w:t xml:space="preserve"> the set of symbols of the slot to be indicated as downlink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w:t>
            </w:r>
          </w:p>
          <w:p w14:paraId="1F973D5F"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indicated to a UE by </w:t>
            </w:r>
            <w:r w:rsidRPr="008E30E2">
              <w:rPr>
                <w:rFonts w:eastAsia="SimSun"/>
                <w:i/>
                <w:sz w:val="20"/>
                <w:lang w:eastAsia="en-US"/>
              </w:rPr>
              <w:t>pdcch-ConfigSIB1</w:t>
            </w:r>
            <w:r w:rsidRPr="008E30E2">
              <w:rPr>
                <w:rFonts w:eastAsia="SimSun"/>
                <w:sz w:val="20"/>
                <w:lang w:val="en-US" w:eastAsia="en-US"/>
              </w:rPr>
              <w:t xml:space="preserve"> </w:t>
            </w:r>
            <w:r w:rsidRPr="008E30E2">
              <w:rPr>
                <w:rFonts w:eastAsia="ＭＳ 明朝"/>
                <w:sz w:val="20"/>
                <w:lang w:eastAsia="en-US"/>
              </w:rPr>
              <w:t xml:space="preserve">in </w:t>
            </w:r>
            <w:r w:rsidRPr="008E30E2">
              <w:rPr>
                <w:rFonts w:eastAsia="SimSun"/>
                <w:i/>
                <w:sz w:val="20"/>
                <w:lang w:val="en-US" w:eastAsia="en-US"/>
              </w:rPr>
              <w:t>MIB</w:t>
            </w:r>
            <w:r w:rsidRPr="008E30E2">
              <w:rPr>
                <w:rFonts w:eastAsia="SimSun"/>
                <w:sz w:val="20"/>
                <w:lang w:val="en-US" w:eastAsia="en-US"/>
              </w:rPr>
              <w:t xml:space="preserve"> </w:t>
            </w:r>
            <w:r w:rsidRPr="008E30E2">
              <w:rPr>
                <w:rFonts w:eastAsia="SimSun"/>
                <w:sz w:val="20"/>
                <w:lang w:eastAsia="en-US"/>
              </w:rPr>
              <w:t xml:space="preserve">for a CORESET for Type0-PDCCH CSS set, the UE does not expect </w:t>
            </w:r>
            <w:r w:rsidRPr="008E30E2">
              <w:rPr>
                <w:rFonts w:eastAsia="SimSun"/>
                <w:sz w:val="20"/>
                <w:lang w:val="en-US" w:eastAsia="en-US"/>
              </w:rPr>
              <w:t>the set of symbols to be indicated as uplink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w:t>
            </w:r>
          </w:p>
          <w:p w14:paraId="081A1B17"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to receive PDSCH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indicate that, for a slot from the multiple slots, at least one symbol from a set of symbols where the UE is scheduled PDSCH reception in the slot is an uplink symbol, the UE does not receive the PDSCH in the slot. </w:t>
            </w:r>
          </w:p>
          <w:p w14:paraId="6C8DEFF5"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w:t>
            </w:r>
            <w:r w:rsidRPr="008E30E2">
              <w:rPr>
                <w:rFonts w:eastAsia="SimSun"/>
                <w:sz w:val="20"/>
                <w:lang w:val="en-US" w:eastAsia="en-US"/>
              </w:rPr>
              <w:t>to transmit</w:t>
            </w:r>
            <w:r w:rsidRPr="008E30E2">
              <w:rPr>
                <w:rFonts w:eastAsia="SimSun"/>
                <w:sz w:val="20"/>
                <w:lang w:eastAsia="en-US"/>
              </w:rPr>
              <w:t xml:space="preserve"> PUSCH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indicate</w:t>
            </w:r>
            <w:r w:rsidRPr="008E30E2">
              <w:rPr>
                <w:rFonts w:eastAsia="SimSun"/>
                <w:sz w:val="20"/>
                <w:lang w:val="en-US" w:eastAsia="en-US"/>
              </w:rPr>
              <w:t>s</w:t>
            </w:r>
            <w:r w:rsidRPr="008E30E2">
              <w:rPr>
                <w:rFonts w:eastAsia="SimSun"/>
                <w:sz w:val="20"/>
                <w:lang w:eastAsia="en-US"/>
              </w:rPr>
              <w:t xml:space="preserve"> that, for a slot from the multiple slots, at least one symbol from a set of symbols where the UE is scheduled PUSCH transmission in the slot is a downlink symbol, the UE does not transmit the PUSCH in the slot.</w:t>
            </w:r>
          </w:p>
          <w:p w14:paraId="1C3B8976" w14:textId="77777777" w:rsidR="008E30E2" w:rsidRPr="008E30E2" w:rsidRDefault="008E30E2" w:rsidP="008E30E2">
            <w:pPr>
              <w:rPr>
                <w:rFonts w:eastAsia="SimSun"/>
                <w:sz w:val="20"/>
                <w:lang w:val="en-US" w:eastAsia="en-US"/>
              </w:rPr>
            </w:pPr>
            <w:r w:rsidRPr="008E30E2">
              <w:rPr>
                <w:rFonts w:eastAsia="SimSun"/>
                <w:sz w:val="20"/>
                <w:lang w:val="en-US" w:eastAsia="fr-FR"/>
              </w:rPr>
              <w:t>If a</w:t>
            </w:r>
            <w:r w:rsidRPr="008E30E2">
              <w:rPr>
                <w:rFonts w:eastAsia="SimSun"/>
                <w:sz w:val="20"/>
                <w:lang w:val="en-US" w:eastAsia="en-US"/>
              </w:rPr>
              <w:t xml:space="preserve"> UE</w:t>
            </w:r>
          </w:p>
          <w:p w14:paraId="3315264C"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is configured with multiple serving cells and is provided </w:t>
            </w:r>
            <w:r w:rsidRPr="008E30E2">
              <w:rPr>
                <w:rFonts w:eastAsia="SimSun"/>
                <w:i/>
                <w:sz w:val="20"/>
                <w:lang w:val="en-US" w:eastAsia="en-US"/>
              </w:rPr>
              <w:t xml:space="preserve">half-duplex-behavior </w:t>
            </w:r>
            <w:r w:rsidRPr="008E30E2">
              <w:rPr>
                <w:rFonts w:eastAsia="SimSun"/>
                <w:sz w:val="20"/>
                <w:lang w:val="en-US" w:eastAsia="en-US"/>
              </w:rPr>
              <w:t>= 'enable', and</w:t>
            </w:r>
          </w:p>
          <w:p w14:paraId="4D6AEE73"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capable of simultaneous transmission and reception on any of the multiple serving cells, and</w:t>
            </w:r>
          </w:p>
          <w:p w14:paraId="1A4A9E80"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indicates support of capability for half-duplex operation in CA with unpaired spectrum, and </w:t>
            </w:r>
          </w:p>
          <w:p w14:paraId="3BAF5D7B"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configured to monitor PDCCH for detection of DCI format 2-0</w:t>
            </w:r>
            <w:r w:rsidRPr="008E30E2">
              <w:rPr>
                <w:rFonts w:eastAsia="DengXian"/>
                <w:sz w:val="20"/>
                <w:lang w:val="x-none" w:eastAsia="zh-CN"/>
              </w:rPr>
              <w:t xml:space="preserve"> on any of the multiple serving cells</w:t>
            </w:r>
            <w:r w:rsidRPr="008E30E2">
              <w:rPr>
                <w:rFonts w:eastAsia="SimSun"/>
                <w:sz w:val="20"/>
                <w:lang w:val="en-US" w:eastAsia="en-US"/>
              </w:rPr>
              <w:t xml:space="preserve">, </w:t>
            </w:r>
          </w:p>
          <w:p w14:paraId="51A20E60" w14:textId="77777777" w:rsidR="008E30E2" w:rsidRPr="008E30E2" w:rsidRDefault="008E30E2" w:rsidP="008E30E2">
            <w:pPr>
              <w:rPr>
                <w:rFonts w:eastAsia="SimSun"/>
                <w:sz w:val="20"/>
                <w:lang w:eastAsia="en-US"/>
              </w:rPr>
            </w:pPr>
            <w:r w:rsidRPr="008E30E2">
              <w:rPr>
                <w:rFonts w:eastAsia="SimSun"/>
                <w:sz w:val="20"/>
                <w:lang w:val="en-US" w:eastAsia="en-US"/>
              </w:rPr>
              <w:t xml:space="preserve">the UE determines </w:t>
            </w:r>
            <w:r w:rsidRPr="008E30E2">
              <w:rPr>
                <w:rFonts w:eastAsia="SimSun"/>
                <w:sz w:val="20"/>
                <w:lang w:eastAsia="en-US"/>
              </w:rPr>
              <w:t xml:space="preserve">a reference cell for a symbol as an active cell with the smallest cell index among </w:t>
            </w:r>
          </w:p>
          <w:p w14:paraId="510E58C8"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the cells of each band respectively if the UE is capable of simultaneous transmission and reception by </w:t>
            </w:r>
            <w:r w:rsidRPr="008E30E2">
              <w:rPr>
                <w:rFonts w:eastAsia="SimSun"/>
                <w:i/>
                <w:color w:val="C00000"/>
                <w:sz w:val="20"/>
                <w:u w:val="single"/>
                <w:lang w:val="x-none" w:eastAsia="en-US"/>
              </w:rPr>
              <w:t>simultaneousRxTxInterBandCA</w:t>
            </w:r>
            <w:r w:rsidRPr="008E30E2">
              <w:rPr>
                <w:rFonts w:eastAsia="SimSun"/>
                <w:color w:val="C00000"/>
                <w:sz w:val="20"/>
                <w:u w:val="single"/>
                <w:lang w:val="x-none" w:eastAsia="en-US"/>
              </w:rPr>
              <w:t xml:space="preserve"> for the configured multiple serving cells, or</w:t>
            </w:r>
          </w:p>
          <w:p w14:paraId="2E70DDAE"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the configured multiple serving cells </w:t>
            </w:r>
            <w:r w:rsidRPr="008E30E2">
              <w:rPr>
                <w:rFonts w:eastAsia="SimSun"/>
                <w:color w:val="C00000"/>
                <w:sz w:val="20"/>
                <w:u w:val="single"/>
                <w:lang w:val="x-none" w:eastAsia="en-US"/>
              </w:rPr>
              <w:t>otherwise,</w:t>
            </w:r>
          </w:p>
          <w:p w14:paraId="3AF51AB4" w14:textId="77777777" w:rsidR="008E30E2" w:rsidRPr="008E30E2" w:rsidRDefault="008E30E2" w:rsidP="008E30E2">
            <w:pPr>
              <w:rPr>
                <w:rFonts w:eastAsia="SimSun"/>
                <w:sz w:val="20"/>
                <w:lang w:val="en-US" w:eastAsia="en-US"/>
              </w:rPr>
            </w:pPr>
            <w:r w:rsidRPr="008E30E2">
              <w:rPr>
                <w:rFonts w:eastAsia="SimSun"/>
                <w:sz w:val="20"/>
                <w:lang w:val="en-US" w:eastAsia="en-US"/>
              </w:rPr>
              <w:t>where the symbol is configured as</w:t>
            </w:r>
          </w:p>
          <w:p w14:paraId="680E3199" w14:textId="77777777" w:rsidR="008E30E2" w:rsidRPr="008E30E2" w:rsidRDefault="008E30E2" w:rsidP="008E30E2">
            <w:pPr>
              <w:ind w:left="568" w:hanging="284"/>
              <w:rPr>
                <w:rFonts w:eastAsia="SimSun"/>
                <w:i/>
                <w:iCs/>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or uplink, as indicated by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ConfigurationDedicated</w:t>
            </w:r>
            <w:proofErr w:type="spellEnd"/>
          </w:p>
          <w:p w14:paraId="03919BFE"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lastRenderedPageBreak/>
              <w:t>-</w:t>
            </w:r>
            <w:r w:rsidRPr="008E30E2">
              <w:rPr>
                <w:rFonts w:eastAsia="SimSun"/>
                <w:sz w:val="20"/>
                <w:lang w:val="en-US" w:eastAsia="en-US"/>
              </w:rPr>
              <w:tab/>
              <w:t>uplink, if the symbol is flexible and the UE is</w:t>
            </w:r>
            <w:r w:rsidRPr="008E30E2">
              <w:rPr>
                <w:rFonts w:eastAsia="SimSun"/>
                <w:bCs/>
                <w:sz w:val="20"/>
                <w:lang w:val="en-US" w:eastAsia="en-US"/>
              </w:rPr>
              <w:t xml:space="preserve"> configured to transmit </w:t>
            </w:r>
            <w:r w:rsidRPr="008E30E2">
              <w:rPr>
                <w:rFonts w:eastAsia="SimSun"/>
                <w:sz w:val="20"/>
                <w:lang w:val="en-US" w:eastAsia="en-US"/>
              </w:rPr>
              <w:t>SRS, PUCCH, PUSCH, or PRACH on the symbol</w:t>
            </w:r>
          </w:p>
          <w:p w14:paraId="041A17D9"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if the symbol is flexible and the UE is configured to receive PDCCH, PDSCH or CSI-RS on the symbol </w:t>
            </w:r>
          </w:p>
          <w:p w14:paraId="3F6DDEDE" w14:textId="75E47A44"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tc>
      </w:tr>
    </w:tbl>
    <w:p w14:paraId="50BE3EB8" w14:textId="77777777" w:rsidR="008E30E2" w:rsidRP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p>
    <w:sectPr w:rsidR="008E30E2" w:rsidRPr="008E30E2"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DC30" w14:textId="77777777" w:rsidR="00F95FF2" w:rsidRDefault="00F95FF2">
      <w:r>
        <w:separator/>
      </w:r>
    </w:p>
  </w:endnote>
  <w:endnote w:type="continuationSeparator" w:id="0">
    <w:p w14:paraId="7D23369D" w14:textId="77777777" w:rsidR="00F95FF2" w:rsidRDefault="00F95FF2">
      <w:r>
        <w:continuationSeparator/>
      </w:r>
    </w:p>
  </w:endnote>
  <w:endnote w:type="continuationNotice" w:id="1">
    <w:p w14:paraId="6B0E1C51" w14:textId="77777777" w:rsidR="00F95FF2" w:rsidRDefault="00F9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2B0854">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2B0854">
      <w:rPr>
        <w:rStyle w:val="af9"/>
        <w:rFonts w:eastAsia="ＭＳ ゴシック"/>
        <w:noProof/>
      </w:rPr>
      <w:t>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C048" w14:textId="77777777" w:rsidR="00F95FF2" w:rsidRDefault="00F95FF2">
      <w:r>
        <w:separator/>
      </w:r>
    </w:p>
  </w:footnote>
  <w:footnote w:type="continuationSeparator" w:id="0">
    <w:p w14:paraId="274BEB7C" w14:textId="77777777" w:rsidR="00F95FF2" w:rsidRDefault="00F95FF2">
      <w:r>
        <w:continuationSeparator/>
      </w:r>
    </w:p>
  </w:footnote>
  <w:footnote w:type="continuationNotice" w:id="1">
    <w:p w14:paraId="57C6E026" w14:textId="77777777" w:rsidR="00F95FF2" w:rsidRDefault="00F9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A7"/>
    <w:rsid w:val="000A5826"/>
    <w:rsid w:val="000A5863"/>
    <w:rsid w:val="000A58DD"/>
    <w:rsid w:val="000A5C6C"/>
    <w:rsid w:val="000A5C9A"/>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06B"/>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158"/>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AD1"/>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77A"/>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0E8"/>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A7F"/>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B2"/>
    <w:rsid w:val="00245C48"/>
    <w:rsid w:val="00245FAF"/>
    <w:rsid w:val="0024629E"/>
    <w:rsid w:val="00246630"/>
    <w:rsid w:val="002467B8"/>
    <w:rsid w:val="00246BC3"/>
    <w:rsid w:val="00246E7C"/>
    <w:rsid w:val="00247300"/>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821"/>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85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27D"/>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7B3"/>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8F"/>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BB"/>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CF"/>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5AF"/>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8A8"/>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1D1C"/>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884"/>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1BC"/>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15"/>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25"/>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421"/>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E7EBB"/>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083"/>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689"/>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6FD1"/>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B5"/>
    <w:rsid w:val="007C4E84"/>
    <w:rsid w:val="007C532C"/>
    <w:rsid w:val="007C53D6"/>
    <w:rsid w:val="007C5419"/>
    <w:rsid w:val="007C5545"/>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6C5"/>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0E2"/>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DA4"/>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41C"/>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32"/>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28E"/>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2D7"/>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571"/>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4BF"/>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35D"/>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0AA7"/>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E15"/>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27F"/>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A6C"/>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6D6"/>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50B"/>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18EB"/>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3E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4FCC"/>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84F"/>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1B6"/>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FCD"/>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5FF2"/>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table" w:customStyle="1" w:styleId="18">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4502234">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7652963">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B3CAB587-7D1C-4337-9354-0937AB56BC73}">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1921</Words>
  <Characters>10953</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2021-05-25T20:37:00Z</dcterms:created>
  <dcterms:modified xsi:type="dcterms:W3CDTF">2021-05-25T20:37:00Z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