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64FB838D"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31451">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D644D7">
        <w:rPr>
          <w:rFonts w:ascii="Arial" w:eastAsia="Malgun Gothic" w:hAnsi="Arial" w:cs="Arial"/>
          <w:b/>
          <w:bCs/>
          <w:lang w:eastAsia="en-US"/>
        </w:rPr>
        <w:t>0</w:t>
      </w:r>
      <w:r w:rsidR="00B51A2E">
        <w:rPr>
          <w:rFonts w:ascii="Arial" w:eastAsia="Malgun Gothic" w:hAnsi="Arial" w:cs="Arial"/>
          <w:b/>
          <w:bCs/>
          <w:lang w:eastAsia="en-US"/>
        </w:rPr>
        <w:t>xxxx</w:t>
      </w:r>
    </w:p>
    <w:p w14:paraId="51CDA475" w14:textId="47C4ACF9" w:rsidR="00672CBF" w:rsidRPr="00321B21" w:rsidRDefault="00672CBF" w:rsidP="00672CBF">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C31451">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321B21">
        <w:rPr>
          <w:rFonts w:ascii="Arial" w:eastAsia="Malgun Gothic" w:hAnsi="Arial" w:cs="Arial"/>
          <w:b/>
          <w:bCs/>
          <w:lang w:eastAsia="en-US"/>
        </w:rPr>
        <w:t>1</w:t>
      </w:r>
      <w:r w:rsidR="00C31451">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321B21">
        <w:rPr>
          <w:rFonts w:ascii="Arial" w:eastAsia="Malgun Gothic" w:hAnsi="Arial" w:cs="Arial"/>
          <w:b/>
          <w:bCs/>
          <w:lang w:eastAsia="en-US"/>
        </w:rPr>
        <w:t>2</w:t>
      </w:r>
      <w:r w:rsidR="00C31451">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C3145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60DDB8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w:t>
      </w:r>
      <w:r w:rsidR="00321B21">
        <w:rPr>
          <w:rFonts w:ascii="Arial" w:eastAsia="Malgun Gothic" w:hAnsi="Arial"/>
          <w:lang w:val="en-US" w:eastAsia="ko-KR"/>
        </w:rPr>
        <w:t>2</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76F7C05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B51A2E">
        <w:rPr>
          <w:rFonts w:ascii="Arial" w:eastAsia="Malgun Gothic" w:hAnsi="Arial"/>
          <w:lang w:val="en-US" w:eastAsia="en-US"/>
        </w:rPr>
        <w:t>[</w:t>
      </w:r>
      <w:r w:rsidR="00B51A2E" w:rsidRPr="00B51A2E">
        <w:rPr>
          <w:rFonts w:ascii="Arial" w:eastAsia="Malgun Gothic" w:hAnsi="Arial"/>
          <w:lang w:val="en-US" w:eastAsia="en-US"/>
        </w:rPr>
        <w:t>105-e-NR-TEI16-01</w:t>
      </w:r>
      <w:r w:rsidR="00B51A2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62F8CB13" w14:textId="77777777" w:rsidR="00B51A2E" w:rsidRDefault="00B51A2E" w:rsidP="00B51A2E">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5DEDCE2" w14:textId="220B1E4B" w:rsidR="00802399" w:rsidRPr="00B51A2E" w:rsidRDefault="00802399" w:rsidP="00B51A2E">
      <w:pPr>
        <w:spacing w:afterLines="50" w:after="120"/>
        <w:jc w:val="both"/>
        <w:rPr>
          <w:rFonts w:eastAsia="MS Mincho"/>
          <w:sz w:val="22"/>
          <w:szCs w:val="22"/>
          <w:lang w:val="en-US"/>
        </w:rPr>
      </w:pPr>
    </w:p>
    <w:p w14:paraId="7FA45B17" w14:textId="77777777" w:rsidR="00B51A2E" w:rsidRDefault="00B51A2E" w:rsidP="00B51A2E">
      <w:pPr>
        <w:rPr>
          <w:rFonts w:eastAsia="Yu Gothic"/>
          <w:sz w:val="20"/>
          <w:highlight w:val="cyan"/>
          <w:lang w:val="en-US"/>
        </w:rPr>
      </w:pPr>
      <w:r>
        <w:rPr>
          <w:rFonts w:hint="eastAsia"/>
          <w:highlight w:val="cyan"/>
        </w:rPr>
        <w:t xml:space="preserve">[105-e-NR-TEI16-01] Email discussion/approval on Rel-16 NR TEI related issues, till 5/24 </w:t>
      </w:r>
      <w:r>
        <w:rPr>
          <w:rFonts w:hint="eastAsia"/>
          <w:highlight w:val="cyan"/>
        </w:rPr>
        <w:t>–</w:t>
      </w:r>
      <w:r>
        <w:rPr>
          <w:rFonts w:hint="eastAsia"/>
          <w:highlight w:val="cyan"/>
        </w:rPr>
        <w:t xml:space="preserve"> Hiroki (DoCoMo)</w:t>
      </w:r>
    </w:p>
    <w:p w14:paraId="5F478E98" w14:textId="77777777" w:rsidR="00B51A2E" w:rsidRDefault="00B51A2E" w:rsidP="00B51A2E">
      <w:pPr>
        <w:pStyle w:val="afc"/>
        <w:numPr>
          <w:ilvl w:val="0"/>
          <w:numId w:val="24"/>
        </w:numPr>
        <w:ind w:leftChars="0"/>
        <w:rPr>
          <w:sz w:val="20"/>
          <w:highlight w:val="cyan"/>
        </w:rPr>
      </w:pPr>
      <w:r>
        <w:rPr>
          <w:rFonts w:ascii="Times" w:hAnsi="Times" w:cs="Times"/>
          <w:sz w:val="20"/>
          <w:highlight w:val="cyan"/>
        </w:rPr>
        <w:t>Discuss following proposal and corresponding specification impact</w:t>
      </w:r>
    </w:p>
    <w:p w14:paraId="57364631" w14:textId="77777777" w:rsidR="00B51A2E" w:rsidRDefault="00B51A2E" w:rsidP="00B51A2E">
      <w:pPr>
        <w:pStyle w:val="afc"/>
        <w:numPr>
          <w:ilvl w:val="1"/>
          <w:numId w:val="24"/>
        </w:numPr>
        <w:ind w:leftChars="0"/>
        <w:rPr>
          <w:rFonts w:ascii="MS Gothic" w:hAnsi="MS Gothic" w:cs="Times"/>
          <w:sz w:val="20"/>
          <w:highlight w:val="cyan"/>
        </w:rPr>
      </w:pPr>
      <w:r>
        <w:rPr>
          <w:rFonts w:ascii="Times" w:hAnsi="Times" w:cs="Times"/>
          <w:sz w:val="20"/>
          <w:highlight w:val="cyan"/>
        </w:rPr>
        <w:t>The DL/UL collision handling should be supported by a UE capable of such handling for each band within a band combination where the UE supports inter-band simultaneous transmission and reception.</w:t>
      </w:r>
    </w:p>
    <w:p w14:paraId="1F95E81C" w14:textId="77777777" w:rsidR="00B51A2E" w:rsidRPr="00B51A2E" w:rsidRDefault="00B51A2E" w:rsidP="00B51A2E">
      <w:pPr>
        <w:spacing w:afterLines="50" w:after="120"/>
        <w:jc w:val="both"/>
        <w:rPr>
          <w:bCs/>
          <w:sz w:val="22"/>
          <w:szCs w:val="22"/>
        </w:rPr>
      </w:pPr>
    </w:p>
    <w:p w14:paraId="25A4FF32" w14:textId="77777777" w:rsidR="00802399" w:rsidRPr="00802399" w:rsidRDefault="00802399" w:rsidP="002753B9">
      <w:pPr>
        <w:rPr>
          <w:b/>
        </w:rPr>
      </w:pPr>
    </w:p>
    <w:p w14:paraId="4F8324EE" w14:textId="752CAF60" w:rsidR="00974662" w:rsidRDefault="00974662" w:rsidP="002753B9">
      <w:pPr>
        <w:rPr>
          <w:b/>
        </w:rPr>
      </w:pPr>
    </w:p>
    <w:p w14:paraId="117360CF" w14:textId="7A9D95DA" w:rsidR="00974662" w:rsidRPr="00E34C18" w:rsidRDefault="00974662" w:rsidP="00974662">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Rel-16 NR TEI related issues</w:t>
      </w:r>
    </w:p>
    <w:p w14:paraId="7315717C" w14:textId="77777777" w:rsidR="00974662" w:rsidRPr="00974662" w:rsidRDefault="00974662" w:rsidP="00136E4A">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4E1E3B8" w14:textId="77777777" w:rsidR="00974662" w:rsidRPr="00974662" w:rsidRDefault="00974662" w:rsidP="00136E4A">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863920D" w14:textId="2C1793BC" w:rsidR="00974662" w:rsidRPr="005953A0" w:rsidRDefault="00974662" w:rsidP="00136E4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H</w:t>
      </w:r>
      <w:r w:rsidRPr="00974662">
        <w:rPr>
          <w:rFonts w:ascii="Arial" w:eastAsia="MS Mincho" w:hAnsi="Arial"/>
          <w:sz w:val="28"/>
          <w:szCs w:val="32"/>
          <w:lang w:val="en-US"/>
        </w:rPr>
        <w:t>alf-duplex operation in CA with unpaired spectrum</w:t>
      </w:r>
    </w:p>
    <w:p w14:paraId="0EE6C82E" w14:textId="217B8FC8" w:rsidR="00974662" w:rsidRDefault="00974662" w:rsidP="00974662">
      <w:pPr>
        <w:rPr>
          <w:rFonts w:eastAsia="MS Mincho" w:cs="Batang"/>
          <w:sz w:val="22"/>
          <w:szCs w:val="22"/>
        </w:rPr>
      </w:pPr>
      <w:r>
        <w:rPr>
          <w:rFonts w:eastAsia="MS Mincho" w:cs="Batang"/>
          <w:sz w:val="22"/>
          <w:szCs w:val="22"/>
        </w:rPr>
        <w:t xml:space="preserve">Following proposal </w:t>
      </w:r>
      <w:r w:rsidR="00C31451">
        <w:rPr>
          <w:rFonts w:eastAsia="MS Mincho" w:cs="Batang"/>
          <w:sz w:val="22"/>
          <w:szCs w:val="22"/>
        </w:rPr>
        <w:t>is</w:t>
      </w:r>
      <w:r>
        <w:rPr>
          <w:rFonts w:eastAsia="MS Mincho" w:cs="Batang"/>
          <w:sz w:val="22"/>
          <w:szCs w:val="22"/>
        </w:rPr>
        <w:t xml:space="preserve"> made in </w:t>
      </w:r>
      <w:r w:rsidR="00C31451">
        <w:rPr>
          <w:rFonts w:eastAsia="MS Mincho" w:cs="Batang"/>
          <w:sz w:val="22"/>
          <w:szCs w:val="22"/>
        </w:rPr>
        <w:t xml:space="preserve">a </w:t>
      </w:r>
      <w:r>
        <w:rPr>
          <w:rFonts w:eastAsia="MS Mincho" w:cs="Batang"/>
          <w:sz w:val="22"/>
          <w:szCs w:val="22"/>
        </w:rPr>
        <w:t>contribution.</w:t>
      </w:r>
    </w:p>
    <w:tbl>
      <w:tblPr>
        <w:tblStyle w:val="af9"/>
        <w:tblW w:w="0" w:type="auto"/>
        <w:tblLook w:val="04A0" w:firstRow="1" w:lastRow="0" w:firstColumn="1" w:lastColumn="0" w:noHBand="0" w:noVBand="1"/>
      </w:tblPr>
      <w:tblGrid>
        <w:gridCol w:w="562"/>
        <w:gridCol w:w="9066"/>
      </w:tblGrid>
      <w:tr w:rsidR="00974662" w14:paraId="1246C2BC" w14:textId="77777777" w:rsidTr="00974662">
        <w:tc>
          <w:tcPr>
            <w:tcW w:w="562" w:type="dxa"/>
          </w:tcPr>
          <w:p w14:paraId="469A3CD1" w14:textId="44ADF6B7" w:rsidR="00974662" w:rsidRPr="0016792D" w:rsidRDefault="00C31451" w:rsidP="00E7091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9066" w:type="dxa"/>
          </w:tcPr>
          <w:p w14:paraId="6046EF8C" w14:textId="77777777" w:rsidR="00C31451" w:rsidRDefault="00C31451" w:rsidP="00C31451">
            <w:pPr>
              <w:spacing w:before="72"/>
              <w:rPr>
                <w:rFonts w:eastAsiaTheme="minorEastAsia"/>
                <w:sz w:val="22"/>
                <w:lang w:val="en-US"/>
              </w:rPr>
            </w:pPr>
            <w:r>
              <w:t>According to the previous agreements, UE can report the DL/UL collision handling capability for a band or band combination (BC) not supporting simultaneous transmission and reception (</w:t>
            </w:r>
            <w:r>
              <w:rPr>
                <w:rFonts w:ascii="Times" w:eastAsia="Batang" w:hAnsi="Times"/>
                <w:lang w:eastAsia="en-US"/>
              </w:rPr>
              <w:t>simul-RxTx for short</w:t>
            </w:r>
            <w:r>
              <w:t xml:space="preserve">) on two carriers within one band or on different bands, and the base station can configure the UE for such collision handling. </w:t>
            </w:r>
          </w:p>
          <w:p w14:paraId="1C60ACF2" w14:textId="77777777" w:rsidR="00C31451" w:rsidRDefault="00C31451" w:rsidP="00C31451">
            <w:pPr>
              <w:spacing w:before="72"/>
            </w:pPr>
            <w:r>
              <w:t xml:space="preserve">From UE implementation point of view, although no explicit UE capability, it is naturally understood that even if a UE can support </w:t>
            </w:r>
            <w:r>
              <w:rPr>
                <w:rFonts w:ascii="Times" w:eastAsia="Batang" w:hAnsi="Times"/>
                <w:lang w:eastAsia="en-US"/>
              </w:rPr>
              <w:t>simul-RxTx</w:t>
            </w:r>
            <w:r>
              <w:t xml:space="preserve"> between bands, the UE cannot support </w:t>
            </w:r>
            <w:r>
              <w:rPr>
                <w:rFonts w:ascii="Times" w:eastAsia="Batang" w:hAnsi="Times"/>
                <w:lang w:eastAsia="en-US"/>
              </w:rPr>
              <w:t xml:space="preserve">simul-RxTx </w:t>
            </w:r>
            <w:r>
              <w:t>within each band of that BC respectively.</w:t>
            </w:r>
          </w:p>
          <w:p w14:paraId="43D786A5" w14:textId="77777777" w:rsidR="00C31451" w:rsidRDefault="00C31451" w:rsidP="00C31451">
            <w:pPr>
              <w:spacing w:before="72"/>
            </w:pPr>
            <w:r>
              <w:t xml:space="preserve">Thus, for a band combination (BC), according to current specifications, a UE </w:t>
            </w:r>
          </w:p>
          <w:p w14:paraId="3E5553C3" w14:textId="77777777" w:rsidR="00C31451" w:rsidRDefault="00C31451" w:rsidP="00C31451">
            <w:pPr>
              <w:pStyle w:val="afc"/>
              <w:widowControl w:val="0"/>
              <w:numPr>
                <w:ilvl w:val="0"/>
                <w:numId w:val="22"/>
              </w:numPr>
              <w:snapToGrid w:val="0"/>
              <w:spacing w:beforeLines="30" w:before="72" w:line="60" w:lineRule="atLeast"/>
              <w:ind w:leftChars="0"/>
              <w:jc w:val="both"/>
            </w:pPr>
            <w:r>
              <w:rPr>
                <w:rFonts w:ascii="Times" w:eastAsia="Batang" w:hAnsi="Times"/>
                <w:lang w:eastAsia="en-US"/>
              </w:rPr>
              <w:t xml:space="preserve">Case a) may, or Case b) may not, support simul-RxTx for inter-band BC, based on </w:t>
            </w:r>
            <w:r>
              <w:rPr>
                <w:rFonts w:ascii="Times" w:eastAsia="Batang" w:hAnsi="Times"/>
                <w:i/>
                <w:lang w:eastAsia="en-US"/>
              </w:rPr>
              <w:t>simultaneousRxTxInterBandCA</w:t>
            </w:r>
            <w:r>
              <w:rPr>
                <w:rFonts w:ascii="Times" w:eastAsia="Batang" w:hAnsi="Times"/>
                <w:lang w:eastAsia="en-US"/>
              </w:rPr>
              <w:t>, and</w:t>
            </w:r>
          </w:p>
          <w:p w14:paraId="6A7B484A" w14:textId="77777777" w:rsidR="00C31451" w:rsidRDefault="00C31451" w:rsidP="00C31451">
            <w:pPr>
              <w:pStyle w:val="afc"/>
              <w:widowControl w:val="0"/>
              <w:numPr>
                <w:ilvl w:val="0"/>
                <w:numId w:val="22"/>
              </w:numPr>
              <w:snapToGrid w:val="0"/>
              <w:spacing w:beforeLines="30" w:before="72" w:line="60" w:lineRule="atLeast"/>
              <w:ind w:leftChars="0"/>
              <w:jc w:val="both"/>
            </w:pPr>
            <w:r>
              <w:rPr>
                <w:rFonts w:ascii="Times" w:eastAsia="Batang" w:hAnsi="Times"/>
                <w:lang w:eastAsia="en-US"/>
              </w:rPr>
              <w:t xml:space="preserve">When the UE does not report/support </w:t>
            </w:r>
            <w:r>
              <w:rPr>
                <w:rFonts w:ascii="Times" w:eastAsia="Batang" w:hAnsi="Times"/>
                <w:i/>
                <w:lang w:eastAsia="en-US"/>
              </w:rPr>
              <w:t xml:space="preserve">simultaneousRxTxInterBandCA </w:t>
            </w:r>
            <w:r>
              <w:rPr>
                <w:rFonts w:ascii="Times" w:eastAsia="Batang" w:hAnsi="Times"/>
                <w:lang w:eastAsia="en-US"/>
              </w:rPr>
              <w:t xml:space="preserve">(Case b), the UE may or may not support collision handling based on </w:t>
            </w:r>
            <w:r>
              <w:rPr>
                <w:rFonts w:ascii="Times" w:eastAsia="Batang" w:hAnsi="Times"/>
                <w:i/>
                <w:lang w:eastAsia="en-US"/>
              </w:rPr>
              <w:t>half-DuplexTDD-CA-SameSCS-r16</w:t>
            </w:r>
            <w:r>
              <w:rPr>
                <w:rFonts w:ascii="Times" w:eastAsia="Batang" w:hAnsi="Times"/>
                <w:lang w:eastAsia="en-US"/>
              </w:rPr>
              <w:t xml:space="preserve"> for the inter-band BC</w:t>
            </w:r>
          </w:p>
          <w:p w14:paraId="169120AB" w14:textId="77777777" w:rsidR="00C31451" w:rsidRDefault="00C31451" w:rsidP="00C31451">
            <w:pPr>
              <w:pStyle w:val="afc"/>
              <w:widowControl w:val="0"/>
              <w:numPr>
                <w:ilvl w:val="1"/>
                <w:numId w:val="22"/>
              </w:numPr>
              <w:snapToGrid w:val="0"/>
              <w:spacing w:beforeLines="30" w:before="72" w:line="60" w:lineRule="atLeast"/>
              <w:ind w:leftChars="0"/>
              <w:jc w:val="both"/>
            </w:pPr>
            <w:r>
              <w:rPr>
                <w:rFonts w:ascii="Times" w:eastAsia="Batang" w:hAnsi="Times"/>
                <w:lang w:eastAsia="en-US"/>
              </w:rPr>
              <w:t>The UE may also support</w:t>
            </w:r>
            <w:r>
              <w:t>/</w:t>
            </w:r>
            <w:r>
              <w:rPr>
                <w:rFonts w:ascii="Times" w:eastAsia="Batang" w:hAnsi="Times"/>
                <w:lang w:eastAsia="en-US"/>
              </w:rPr>
              <w:t xml:space="preserve">report </w:t>
            </w:r>
            <w:r>
              <w:rPr>
                <w:rFonts w:ascii="Times" w:eastAsia="Batang" w:hAnsi="Times"/>
                <w:i/>
                <w:lang w:eastAsia="en-US"/>
              </w:rPr>
              <w:t>half-DuplexTDD-CA-SameSCS-r16</w:t>
            </w:r>
            <w:r>
              <w:rPr>
                <w:rFonts w:ascii="Times" w:eastAsia="Batang" w:hAnsi="Times"/>
                <w:lang w:eastAsia="en-US"/>
              </w:rPr>
              <w:t xml:space="preserve"> for a BC that is intra-band only (i.e. if one of the bands is also an intra-band only BC), according to the recent agreements </w:t>
            </w:r>
          </w:p>
          <w:p w14:paraId="589EF52B" w14:textId="77777777" w:rsidR="00C31451" w:rsidRDefault="00C31451" w:rsidP="00C31451">
            <w:pPr>
              <w:spacing w:before="72"/>
            </w:pPr>
          </w:p>
          <w:p w14:paraId="65306389" w14:textId="77777777" w:rsidR="00C31451" w:rsidRDefault="00C31451" w:rsidP="00C31451">
            <w:pPr>
              <w:spacing w:before="72"/>
            </w:pPr>
            <w:r>
              <w:lastRenderedPageBreak/>
              <w:t xml:space="preserve">As can be seen, it is not clear what is the intended UE reporting for Case a) when a UE supports </w:t>
            </w:r>
            <w:r>
              <w:rPr>
                <w:rFonts w:ascii="Times" w:eastAsia="Batang" w:hAnsi="Times"/>
                <w:i/>
                <w:lang w:eastAsia="en-US"/>
              </w:rPr>
              <w:t>simultaneousRxTxInterBandCA</w:t>
            </w:r>
            <w:r>
              <w:rPr>
                <w:rFonts w:ascii="Times" w:eastAsia="Batang" w:hAnsi="Times"/>
                <w:lang w:eastAsia="en-US"/>
              </w:rPr>
              <w:t xml:space="preserve"> for a BC, and can support </w:t>
            </w:r>
            <w:r>
              <w:rPr>
                <w:rFonts w:ascii="Times" w:eastAsia="Batang" w:hAnsi="Times"/>
                <w:i/>
                <w:lang w:eastAsia="en-US"/>
              </w:rPr>
              <w:t>half-DuplexTDD-CA-SameSCS-r16</w:t>
            </w:r>
            <w:r>
              <w:rPr>
                <w:rFonts w:ascii="Times" w:eastAsia="Batang" w:hAnsi="Times"/>
                <w:lang w:eastAsia="en-US"/>
              </w:rPr>
              <w:t xml:space="preserve"> for each single band only (rather than for inter-band BC which is an advanced UE capability)</w:t>
            </w:r>
            <w:r>
              <w:t>, given that a UE cannot report DL/UL collision handling capability for the BC in this scenario. On the other hand, if the intra band combination is a subset of the above inter-band combination, the UE may be able to report/support DL/UL collision handling then it is not clear whether gNB has correct/same understanding in order for a proper configuration.</w:t>
            </w:r>
          </w:p>
          <w:p w14:paraId="0C6774B6" w14:textId="77777777" w:rsidR="00C31451" w:rsidRDefault="00C31451" w:rsidP="00C31451">
            <w:pPr>
              <w:spacing w:before="72"/>
            </w:pPr>
            <w:r>
              <w:t xml:space="preserve">One example assumes a CA scenario of two bands, with one carrier in band A and two carriers in band B. The UE reports supporting </w:t>
            </w:r>
            <w:r>
              <w:rPr>
                <w:rFonts w:ascii="Times" w:eastAsia="Batang" w:hAnsi="Times"/>
                <w:lang w:eastAsia="en-US"/>
              </w:rPr>
              <w:t xml:space="preserve">simul-RxTx </w:t>
            </w:r>
            <w:r>
              <w:t xml:space="preserve">across band A and B, and the UE doesn’t support </w:t>
            </w:r>
            <w:r>
              <w:rPr>
                <w:rFonts w:ascii="Times" w:eastAsia="Batang" w:hAnsi="Times"/>
                <w:lang w:eastAsia="en-US"/>
              </w:rPr>
              <w:t>simul-RxTx</w:t>
            </w:r>
            <w:r>
              <w:t xml:space="preserve"> on the two carriers in band B. RAN1 needs to clarify whether the UE can support DL/UL collision handling for the two carriers in band B, especially when the UE can report DL/UL collision handling capability for band B. From our understanding, the UE should be able to handle the DL/UL collision for the carriers in band B in the above example, however the current specification does not seem to allow this. Corresponding specification impact needs to be further discussed after that.  </w:t>
            </w:r>
          </w:p>
          <w:p w14:paraId="798F874E" w14:textId="5A4AD01B" w:rsidR="00974662" w:rsidRPr="00C31451" w:rsidRDefault="00C31451" w:rsidP="00C31451">
            <w:pPr>
              <w:spacing w:before="72"/>
              <w:rPr>
                <w:i/>
              </w:rPr>
            </w:pPr>
            <w:r>
              <w:rPr>
                <w:b/>
                <w:i/>
              </w:rPr>
              <w:t xml:space="preserve">Proposal: </w:t>
            </w:r>
            <w:bookmarkStart w:id="3" w:name="_Hlk71783801"/>
            <w:r>
              <w:rPr>
                <w:i/>
              </w:rPr>
              <w:t>The DL/UL collision handling should be supported by a UE capable of such handling for each band within a band combination where the UE supports inter-band simultaneous transmission and reception.</w:t>
            </w:r>
            <w:bookmarkEnd w:id="3"/>
            <w:r>
              <w:rPr>
                <w:i/>
              </w:rPr>
              <w:t xml:space="preserve"> </w:t>
            </w:r>
          </w:p>
        </w:tc>
      </w:tr>
    </w:tbl>
    <w:p w14:paraId="3FA96277" w14:textId="77777777" w:rsidR="00974662" w:rsidRDefault="00974662" w:rsidP="00974662">
      <w:pPr>
        <w:rPr>
          <w:rFonts w:ascii="Arial" w:eastAsia="Batang" w:hAnsi="Arial"/>
          <w:sz w:val="32"/>
          <w:szCs w:val="32"/>
          <w:lang w:val="en-US" w:eastAsia="ko-KR"/>
        </w:rPr>
      </w:pPr>
    </w:p>
    <w:p w14:paraId="60334399" w14:textId="76F17DE5" w:rsidR="00974662" w:rsidRDefault="00974662" w:rsidP="00974662">
      <w:pPr>
        <w:rPr>
          <w:rFonts w:eastAsia="MS Mincho" w:cs="Batang"/>
          <w:sz w:val="22"/>
          <w:szCs w:val="22"/>
        </w:rPr>
      </w:pPr>
      <w:r>
        <w:rPr>
          <w:rFonts w:eastAsia="MS Mincho" w:cs="Batang"/>
          <w:sz w:val="22"/>
          <w:szCs w:val="22"/>
        </w:rPr>
        <w:t>Based on the above proposal, following point can be discussed in RAN1#10</w:t>
      </w:r>
      <w:r w:rsidR="00C31451">
        <w:rPr>
          <w:rFonts w:eastAsia="MS Mincho" w:cs="Batang"/>
          <w:sz w:val="22"/>
          <w:szCs w:val="22"/>
        </w:rPr>
        <w:t>5</w:t>
      </w:r>
      <w:r>
        <w:rPr>
          <w:rFonts w:eastAsia="MS Mincho" w:cs="Batang"/>
          <w:sz w:val="22"/>
          <w:szCs w:val="22"/>
        </w:rPr>
        <w:t>-e meeting.</w:t>
      </w:r>
    </w:p>
    <w:p w14:paraId="29B532A7" w14:textId="77777777" w:rsidR="00974662" w:rsidRDefault="00974662" w:rsidP="00974662">
      <w:pPr>
        <w:rPr>
          <w:rFonts w:ascii="Arial" w:eastAsia="MS Mincho" w:hAnsi="Arial"/>
          <w:sz w:val="32"/>
          <w:szCs w:val="32"/>
        </w:rPr>
      </w:pPr>
    </w:p>
    <w:p w14:paraId="276503FD" w14:textId="2437CC85" w:rsidR="00974662" w:rsidRPr="00AD5375" w:rsidRDefault="00B51A2E" w:rsidP="00974662">
      <w:pPr>
        <w:pStyle w:val="30"/>
        <w:rPr>
          <w:rFonts w:eastAsia="MS Mincho" w:cs="Batang"/>
          <w:b/>
          <w:bCs/>
          <w:sz w:val="22"/>
          <w:szCs w:val="22"/>
        </w:rPr>
      </w:pPr>
      <w:r>
        <w:rPr>
          <w:rFonts w:eastAsia="MS Mincho" w:cs="Batang"/>
          <w:b/>
          <w:bCs/>
          <w:sz w:val="22"/>
          <w:szCs w:val="22"/>
        </w:rPr>
        <w:t>FL proposal #1</w:t>
      </w:r>
    </w:p>
    <w:p w14:paraId="6956DA26" w14:textId="2A496A04" w:rsidR="00974662" w:rsidRPr="00C31451" w:rsidRDefault="00C31451" w:rsidP="00136E4A">
      <w:pPr>
        <w:pStyle w:val="afc"/>
        <w:numPr>
          <w:ilvl w:val="0"/>
          <w:numId w:val="13"/>
        </w:numPr>
        <w:ind w:leftChars="0"/>
        <w:rPr>
          <w:rFonts w:eastAsia="MS Mincho" w:cs="Batang"/>
          <w:sz w:val="22"/>
          <w:szCs w:val="22"/>
        </w:rPr>
      </w:pPr>
      <w:r>
        <w:rPr>
          <w:rFonts w:eastAsia="MS Mincho" w:cs="Batang"/>
          <w:b/>
          <w:bCs/>
          <w:sz w:val="22"/>
          <w:szCs w:val="22"/>
        </w:rPr>
        <w:t>Discuss following proposal and corresponding specification impact</w:t>
      </w:r>
    </w:p>
    <w:p w14:paraId="1ED7A4E6" w14:textId="6F56721D" w:rsidR="00C31451" w:rsidRPr="00C31451" w:rsidRDefault="00C31451" w:rsidP="00C31451">
      <w:pPr>
        <w:pStyle w:val="afc"/>
        <w:numPr>
          <w:ilvl w:val="1"/>
          <w:numId w:val="13"/>
        </w:numPr>
        <w:ind w:leftChars="0"/>
        <w:rPr>
          <w:rFonts w:eastAsia="MS Mincho" w:cs="Batang"/>
          <w:b/>
          <w:bCs/>
          <w:sz w:val="22"/>
          <w:szCs w:val="22"/>
        </w:rPr>
      </w:pPr>
      <w:r w:rsidRPr="00C31451">
        <w:rPr>
          <w:rFonts w:eastAsia="MS Mincho" w:cs="Batang"/>
          <w:b/>
          <w:bCs/>
          <w:sz w:val="22"/>
          <w:szCs w:val="22"/>
        </w:rPr>
        <w:t>The DL/UL collision handling should be supported by a UE capable of such handling for each band within a band combination where the UE supports inter-band simultaneous transmission and reception.</w:t>
      </w:r>
    </w:p>
    <w:p w14:paraId="4E50EBD0" w14:textId="12559B4D" w:rsidR="00974662" w:rsidRPr="00974662" w:rsidRDefault="00974662" w:rsidP="002753B9">
      <w:pPr>
        <w:rPr>
          <w:b/>
        </w:rPr>
      </w:pPr>
    </w:p>
    <w:p w14:paraId="27005E49" w14:textId="0C75C697" w:rsidR="00B51A2E" w:rsidRDefault="00B51A2E" w:rsidP="00B51A2E">
      <w:pPr>
        <w:spacing w:afterLines="50" w:after="120"/>
        <w:jc w:val="both"/>
        <w:rPr>
          <w:sz w:val="22"/>
        </w:rPr>
      </w:pPr>
      <w:r>
        <w:rPr>
          <w:sz w:val="22"/>
        </w:rPr>
        <w:t xml:space="preserve">Companies are encouraged to check above FL proposal and to provide feedback if any in below. </w:t>
      </w:r>
    </w:p>
    <w:tbl>
      <w:tblPr>
        <w:tblStyle w:val="16"/>
        <w:tblW w:w="4950" w:type="pct"/>
        <w:tblInd w:w="0" w:type="dxa"/>
        <w:tblLook w:val="04A0" w:firstRow="1" w:lastRow="0" w:firstColumn="1" w:lastColumn="0" w:noHBand="0" w:noVBand="1"/>
      </w:tblPr>
      <w:tblGrid>
        <w:gridCol w:w="1085"/>
        <w:gridCol w:w="8447"/>
      </w:tblGrid>
      <w:tr w:rsidR="00B51A2E" w14:paraId="657CD40A" w14:textId="77777777" w:rsidTr="00B51A2E">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DE8DD" w14:textId="77777777" w:rsidR="00B51A2E" w:rsidRDefault="00B51A2E">
            <w:pPr>
              <w:spacing w:afterLines="50" w:after="120"/>
              <w:jc w:val="both"/>
              <w:textAlignment w:val="baseline"/>
              <w:rPr>
                <w:sz w:val="22"/>
              </w:rPr>
            </w:pPr>
            <w:r>
              <w:rPr>
                <w:sz w:val="22"/>
              </w:rPr>
              <w:t>Company</w:t>
            </w:r>
          </w:p>
        </w:tc>
        <w:tc>
          <w:tcPr>
            <w:tcW w:w="443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B5808" w14:textId="77777777" w:rsidR="00B51A2E" w:rsidRDefault="00B51A2E">
            <w:pPr>
              <w:spacing w:afterLines="50" w:after="120"/>
              <w:jc w:val="both"/>
              <w:textAlignment w:val="baseline"/>
              <w:rPr>
                <w:sz w:val="22"/>
              </w:rPr>
            </w:pPr>
            <w:r>
              <w:rPr>
                <w:sz w:val="22"/>
              </w:rPr>
              <w:t>Comment</w:t>
            </w:r>
          </w:p>
        </w:tc>
      </w:tr>
      <w:tr w:rsidR="00B51A2E" w14:paraId="7D24CEB3" w14:textId="77777777" w:rsidTr="00B51A2E">
        <w:tc>
          <w:tcPr>
            <w:tcW w:w="569" w:type="pct"/>
            <w:tcBorders>
              <w:top w:val="single" w:sz="4" w:space="0" w:color="auto"/>
              <w:left w:val="single" w:sz="4" w:space="0" w:color="auto"/>
              <w:bottom w:val="single" w:sz="4" w:space="0" w:color="auto"/>
              <w:right w:val="single" w:sz="4" w:space="0" w:color="auto"/>
            </w:tcBorders>
          </w:tcPr>
          <w:p w14:paraId="00DF7920" w14:textId="3C55E6FA"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Huawei</w:t>
            </w:r>
          </w:p>
        </w:tc>
        <w:tc>
          <w:tcPr>
            <w:tcW w:w="4431" w:type="pct"/>
            <w:tcBorders>
              <w:top w:val="single" w:sz="4" w:space="0" w:color="auto"/>
              <w:left w:val="single" w:sz="4" w:space="0" w:color="auto"/>
              <w:bottom w:val="single" w:sz="4" w:space="0" w:color="auto"/>
              <w:right w:val="single" w:sz="4" w:space="0" w:color="auto"/>
            </w:tcBorders>
          </w:tcPr>
          <w:p w14:paraId="1CA4EC3C" w14:textId="77777777" w:rsidR="00B51A2E" w:rsidRDefault="00B637EE">
            <w:pPr>
              <w:spacing w:afterLines="50" w:after="120"/>
              <w:jc w:val="both"/>
              <w:textAlignment w:val="baseline"/>
              <w:rPr>
                <w:rFonts w:eastAsiaTheme="minorEastAsia"/>
                <w:sz w:val="22"/>
                <w:lang w:eastAsia="zh-CN"/>
              </w:rPr>
            </w:pPr>
            <w:r>
              <w:rPr>
                <w:rFonts w:eastAsiaTheme="minorEastAsia"/>
                <w:sz w:val="22"/>
                <w:lang w:eastAsia="zh-CN"/>
              </w:rPr>
              <w:t>Y as our proposal…</w:t>
            </w:r>
          </w:p>
          <w:p w14:paraId="18367B4C" w14:textId="5D80CEAB" w:rsidR="00B637EE" w:rsidRDefault="00B637EE" w:rsidP="00F471E6">
            <w:pPr>
              <w:spacing w:afterLines="50" w:after="120"/>
              <w:jc w:val="both"/>
              <w:textAlignment w:val="baseline"/>
              <w:rPr>
                <w:rFonts w:eastAsiaTheme="minorEastAsia"/>
                <w:sz w:val="22"/>
                <w:lang w:eastAsia="zh-CN"/>
              </w:rPr>
            </w:pPr>
            <w:r>
              <w:rPr>
                <w:rFonts w:eastAsiaTheme="minorEastAsia"/>
                <w:sz w:val="22"/>
                <w:lang w:eastAsia="zh-CN"/>
              </w:rPr>
              <w:t>The spec impact in RAN1 may be to clarify the definition of reference cell is determined among a cell group within a band or within a BC.</w:t>
            </w:r>
            <w:r w:rsidR="005D720D">
              <w:rPr>
                <w:rFonts w:eastAsiaTheme="minorEastAsia"/>
                <w:sz w:val="22"/>
                <w:lang w:eastAsia="zh-CN"/>
              </w:rPr>
              <w:t xml:space="preserve"> </w:t>
            </w:r>
            <w:r w:rsidR="00F471E6">
              <w:rPr>
                <w:rFonts w:eastAsiaTheme="minorEastAsia"/>
                <w:sz w:val="22"/>
                <w:lang w:eastAsia="zh-CN"/>
              </w:rPr>
              <w:t>Potential</w:t>
            </w:r>
            <w:r w:rsidR="005D720D">
              <w:rPr>
                <w:rFonts w:eastAsiaTheme="minorEastAsia"/>
                <w:sz w:val="22"/>
                <w:lang w:eastAsia="zh-CN"/>
              </w:rPr>
              <w:t xml:space="preserve"> spec impact e.g. on RAN2 could be left to RAN2 to decide, if any.</w:t>
            </w:r>
          </w:p>
        </w:tc>
      </w:tr>
      <w:tr w:rsidR="00B51A2E" w14:paraId="694D1F5E" w14:textId="77777777" w:rsidTr="00B51A2E">
        <w:tc>
          <w:tcPr>
            <w:tcW w:w="569" w:type="pct"/>
            <w:tcBorders>
              <w:top w:val="single" w:sz="4" w:space="0" w:color="auto"/>
              <w:left w:val="single" w:sz="4" w:space="0" w:color="auto"/>
              <w:bottom w:val="single" w:sz="4" w:space="0" w:color="auto"/>
              <w:right w:val="single" w:sz="4" w:space="0" w:color="auto"/>
            </w:tcBorders>
          </w:tcPr>
          <w:p w14:paraId="081AA84C" w14:textId="1043C1E4" w:rsidR="00B51A2E" w:rsidRDefault="00F64F81">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Borders>
              <w:top w:val="single" w:sz="4" w:space="0" w:color="auto"/>
              <w:left w:val="single" w:sz="4" w:space="0" w:color="auto"/>
              <w:bottom w:val="single" w:sz="4" w:space="0" w:color="auto"/>
              <w:right w:val="single" w:sz="4" w:space="0" w:color="auto"/>
            </w:tcBorders>
          </w:tcPr>
          <w:p w14:paraId="6A6E4D5F" w14:textId="77777777" w:rsidR="00F64F81" w:rsidRDefault="00390F71" w:rsidP="00390F71">
            <w:pPr>
              <w:spacing w:afterLines="50" w:after="120"/>
              <w:jc w:val="both"/>
              <w:textAlignment w:val="baseline"/>
              <w:rPr>
                <w:rFonts w:eastAsiaTheme="minorEastAsia"/>
                <w:sz w:val="22"/>
                <w:lang w:eastAsia="zh-CN"/>
              </w:rPr>
            </w:pPr>
            <w:r>
              <w:rPr>
                <w:rFonts w:eastAsiaTheme="minorEastAsia"/>
                <w:sz w:val="22"/>
                <w:lang w:eastAsia="zh-CN"/>
              </w:rPr>
              <w:t xml:space="preserve">It seems the issue only exists when UE supports </w:t>
            </w:r>
            <w:r>
              <w:rPr>
                <w:rFonts w:ascii="Times" w:eastAsia="Batang" w:hAnsi="Times"/>
                <w:i/>
                <w:lang w:eastAsia="en-US"/>
              </w:rPr>
              <w:t>simultaneousRxTxInterBandCA</w:t>
            </w:r>
            <w:r>
              <w:rPr>
                <w:rFonts w:eastAsiaTheme="minorEastAsia"/>
                <w:sz w:val="22"/>
                <w:lang w:eastAsia="zh-CN"/>
              </w:rPr>
              <w:t xml:space="preserve"> for a band combination but doesn’t support simultaneous Tx and Rx within one certain band.</w:t>
            </w:r>
          </w:p>
          <w:p w14:paraId="13363049" w14:textId="5F1817E9" w:rsidR="00E860F2" w:rsidRDefault="00E860F2" w:rsidP="00390F71">
            <w:pPr>
              <w:spacing w:afterLines="50" w:after="120"/>
              <w:jc w:val="both"/>
              <w:textAlignment w:val="baseline"/>
              <w:rPr>
                <w:rFonts w:eastAsiaTheme="minorEastAsia"/>
                <w:sz w:val="22"/>
                <w:lang w:eastAsia="zh-CN"/>
              </w:rPr>
            </w:pPr>
            <w:r>
              <w:rPr>
                <w:rFonts w:eastAsiaTheme="minorEastAsia"/>
                <w:sz w:val="22"/>
                <w:lang w:eastAsia="zh-CN"/>
              </w:rPr>
              <w:t xml:space="preserve">If the proposal is agreed, then the reference </w:t>
            </w:r>
            <w:r w:rsidR="003A7D52">
              <w:rPr>
                <w:rFonts w:eastAsiaTheme="minorEastAsia"/>
                <w:sz w:val="22"/>
                <w:lang w:eastAsia="zh-CN"/>
              </w:rPr>
              <w:t xml:space="preserve">cell </w:t>
            </w:r>
            <w:r>
              <w:rPr>
                <w:rFonts w:eastAsiaTheme="minorEastAsia"/>
                <w:sz w:val="22"/>
                <w:lang w:eastAsia="zh-CN"/>
              </w:rPr>
              <w:t>determination is divided into two cases,</w:t>
            </w:r>
          </w:p>
          <w:p w14:paraId="46D6EE4F" w14:textId="578AFD2A" w:rsidR="00E860F2" w:rsidRPr="003A7D52" w:rsidRDefault="00E860F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1. </w:t>
            </w:r>
            <w:r w:rsidR="003A7D52" w:rsidRPr="003A7D52">
              <w:rPr>
                <w:rFonts w:eastAsiaTheme="minorEastAsia"/>
                <w:sz w:val="20"/>
                <w:lang w:eastAsia="zh-CN"/>
              </w:rPr>
              <w:t>I</w:t>
            </w:r>
            <w:r w:rsidRPr="003A7D52">
              <w:rPr>
                <w:rFonts w:eastAsiaTheme="minorEastAsia"/>
                <w:sz w:val="20"/>
                <w:lang w:eastAsia="zh-CN"/>
              </w:rPr>
              <w:t xml:space="preserve">f </w:t>
            </w:r>
            <w:r w:rsidR="003A7D52" w:rsidRPr="003A7D52">
              <w:rPr>
                <w:rFonts w:eastAsiaTheme="minorEastAsia"/>
                <w:sz w:val="20"/>
                <w:lang w:eastAsia="zh-CN"/>
              </w:rPr>
              <w:t xml:space="preserve">UE doesn’t indicate </w:t>
            </w:r>
            <w:r w:rsidR="003A7D52" w:rsidRPr="003A7D52">
              <w:rPr>
                <w:rFonts w:ascii="Times" w:eastAsia="Batang" w:hAnsi="Times"/>
                <w:i/>
                <w:sz w:val="20"/>
                <w:lang w:eastAsia="en-US"/>
              </w:rPr>
              <w:t>simultaneousRxTxInterBandCA</w:t>
            </w:r>
            <w:r w:rsidR="003A7D52" w:rsidRPr="003A7D52">
              <w:rPr>
                <w:rFonts w:eastAsiaTheme="minorEastAsia"/>
                <w:sz w:val="20"/>
                <w:lang w:eastAsia="zh-CN"/>
              </w:rPr>
              <w:t xml:space="preserve">, the reference cell is determined based on all serving cells configured with </w:t>
            </w:r>
            <w:r w:rsidR="003A7D52" w:rsidRPr="003A7D52">
              <w:rPr>
                <w:rFonts w:eastAsiaTheme="minorEastAsia"/>
                <w:i/>
                <w:sz w:val="20"/>
                <w:lang w:eastAsia="zh-CN"/>
              </w:rPr>
              <w:t>half-duplex-behavior</w:t>
            </w:r>
            <w:r w:rsidR="003A7D52" w:rsidRPr="003A7D52">
              <w:rPr>
                <w:rFonts w:eastAsiaTheme="minorEastAsia"/>
                <w:sz w:val="20"/>
                <w:lang w:eastAsia="zh-CN"/>
              </w:rPr>
              <w:t xml:space="preserve"> within this cell group. </w:t>
            </w:r>
          </w:p>
          <w:p w14:paraId="0FB40B63" w14:textId="77777777" w:rsidR="003A7D52" w:rsidRPr="003A7D52" w:rsidRDefault="003A7D52" w:rsidP="003A7D52">
            <w:pPr>
              <w:spacing w:afterLines="50" w:after="120"/>
              <w:ind w:leftChars="100" w:left="240"/>
              <w:jc w:val="both"/>
              <w:textAlignment w:val="baseline"/>
              <w:rPr>
                <w:rFonts w:eastAsiaTheme="minorEastAsia"/>
                <w:sz w:val="20"/>
                <w:lang w:eastAsia="zh-CN"/>
              </w:rPr>
            </w:pPr>
            <w:r w:rsidRPr="003A7D52">
              <w:rPr>
                <w:rFonts w:eastAsiaTheme="minorEastAsia"/>
                <w:sz w:val="20"/>
                <w:lang w:eastAsia="zh-CN"/>
              </w:rPr>
              <w:t xml:space="preserve">2. If UE indicates </w:t>
            </w:r>
            <w:r w:rsidRPr="003A7D52">
              <w:rPr>
                <w:rFonts w:ascii="Times" w:eastAsia="Batang" w:hAnsi="Times"/>
                <w:i/>
                <w:sz w:val="20"/>
                <w:lang w:eastAsia="en-US"/>
              </w:rPr>
              <w:t>simultaneousRxTxInterBandCA</w:t>
            </w:r>
            <w:r w:rsidRPr="003A7D52">
              <w:rPr>
                <w:rFonts w:eastAsiaTheme="minorEastAsia"/>
                <w:sz w:val="20"/>
                <w:lang w:eastAsia="zh-CN"/>
              </w:rPr>
              <w:t xml:space="preserve">, the reference cell is determined based on all serving cells configured with </w:t>
            </w:r>
            <w:r w:rsidRPr="003A7D52">
              <w:rPr>
                <w:rFonts w:eastAsiaTheme="minorEastAsia"/>
                <w:i/>
                <w:sz w:val="20"/>
                <w:lang w:eastAsia="zh-CN"/>
              </w:rPr>
              <w:t>half-duplex-behavior</w:t>
            </w:r>
            <w:r w:rsidRPr="003A7D52">
              <w:rPr>
                <w:rFonts w:eastAsiaTheme="minorEastAsia"/>
                <w:sz w:val="20"/>
                <w:lang w:eastAsia="zh-CN"/>
              </w:rPr>
              <w:t xml:space="preserve"> within this band.</w:t>
            </w:r>
          </w:p>
          <w:p w14:paraId="01B71FD7" w14:textId="6E950C9F" w:rsidR="003A7D52" w:rsidRDefault="003A7D52" w:rsidP="003A7D52">
            <w:pPr>
              <w:spacing w:afterLines="50" w:after="120"/>
              <w:jc w:val="both"/>
              <w:textAlignment w:val="baseline"/>
              <w:rPr>
                <w:rFonts w:eastAsiaTheme="minorEastAsia"/>
                <w:sz w:val="22"/>
                <w:lang w:eastAsia="zh-CN"/>
              </w:rPr>
            </w:pPr>
            <w:r>
              <w:rPr>
                <w:rFonts w:eastAsiaTheme="minorEastAsia"/>
                <w:sz w:val="22"/>
                <w:lang w:eastAsia="zh-CN"/>
              </w:rPr>
              <w:t>The second case seems to have huge spec impac with potential NBC issue. It seems better if we can also update the corresponding UE feature for this the second case by updating the existing FG or defiing new FG for it.</w:t>
            </w:r>
          </w:p>
        </w:tc>
      </w:tr>
      <w:tr w:rsidR="00B51A2E" w14:paraId="77D16BA5" w14:textId="77777777" w:rsidTr="00B51A2E">
        <w:tc>
          <w:tcPr>
            <w:tcW w:w="569" w:type="pct"/>
            <w:tcBorders>
              <w:top w:val="single" w:sz="4" w:space="0" w:color="auto"/>
              <w:left w:val="single" w:sz="4" w:space="0" w:color="auto"/>
              <w:bottom w:val="single" w:sz="4" w:space="0" w:color="auto"/>
              <w:right w:val="single" w:sz="4" w:space="0" w:color="auto"/>
            </w:tcBorders>
          </w:tcPr>
          <w:p w14:paraId="4EB9560E" w14:textId="206EE624" w:rsidR="00B51A2E" w:rsidRP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Z</w:t>
            </w:r>
            <w:r>
              <w:rPr>
                <w:rFonts w:eastAsiaTheme="minorEastAsia"/>
                <w:sz w:val="22"/>
                <w:lang w:eastAsia="zh-CN"/>
              </w:rPr>
              <w:t>TE2</w:t>
            </w:r>
          </w:p>
        </w:tc>
        <w:tc>
          <w:tcPr>
            <w:tcW w:w="4431" w:type="pct"/>
            <w:tcBorders>
              <w:top w:val="single" w:sz="4" w:space="0" w:color="auto"/>
              <w:left w:val="single" w:sz="4" w:space="0" w:color="auto"/>
              <w:bottom w:val="single" w:sz="4" w:space="0" w:color="auto"/>
              <w:right w:val="single" w:sz="4" w:space="0" w:color="auto"/>
            </w:tcBorders>
          </w:tcPr>
          <w:p w14:paraId="0964334D" w14:textId="321B1F1E" w:rsidR="005D10E3" w:rsidRDefault="005D10E3">
            <w:pPr>
              <w:spacing w:afterLines="50" w:after="120"/>
              <w:jc w:val="both"/>
              <w:textAlignment w:val="baseline"/>
              <w:rPr>
                <w:rFonts w:eastAsiaTheme="minorEastAsia"/>
                <w:sz w:val="22"/>
                <w:lang w:eastAsia="zh-CN"/>
              </w:rPr>
            </w:pPr>
            <w:r>
              <w:rPr>
                <w:rFonts w:eastAsiaTheme="minorEastAsia" w:hint="eastAsia"/>
                <w:sz w:val="22"/>
                <w:lang w:eastAsia="zh-CN"/>
              </w:rPr>
              <w:t>A</w:t>
            </w:r>
            <w:r>
              <w:rPr>
                <w:rFonts w:eastAsiaTheme="minorEastAsia"/>
                <w:sz w:val="22"/>
                <w:lang w:eastAsia="zh-CN"/>
              </w:rPr>
              <w:t>dd some more comments…</w:t>
            </w:r>
          </w:p>
          <w:p w14:paraId="37274010" w14:textId="77EFE6E8" w:rsidR="00B51A2E" w:rsidRPr="005D10E3" w:rsidRDefault="005D10E3">
            <w:pPr>
              <w:spacing w:afterLines="50" w:after="120"/>
              <w:jc w:val="both"/>
              <w:textAlignment w:val="baseline"/>
              <w:rPr>
                <w:rFonts w:eastAsiaTheme="minorEastAsia"/>
                <w:sz w:val="22"/>
                <w:lang w:eastAsia="zh-CN"/>
              </w:rPr>
            </w:pPr>
            <w:r>
              <w:rPr>
                <w:rFonts w:eastAsiaTheme="minorEastAsia"/>
                <w:sz w:val="22"/>
                <w:lang w:eastAsia="zh-CN"/>
              </w:rPr>
              <w:lastRenderedPageBreak/>
              <w:t>According to the RAN4 spec, it seems the same TDD pattern is required for intra-band CA case. It seems that UE doesn’t need to perform half-duplex collision handling purly for the intra-band CA case. If this is the case, then it seems the proposal is not needed.</w:t>
            </w:r>
          </w:p>
        </w:tc>
      </w:tr>
      <w:tr w:rsidR="00E818EB" w14:paraId="57723CFA" w14:textId="77777777" w:rsidTr="00B51A2E">
        <w:tc>
          <w:tcPr>
            <w:tcW w:w="569" w:type="pct"/>
            <w:tcBorders>
              <w:top w:val="single" w:sz="4" w:space="0" w:color="auto"/>
              <w:left w:val="single" w:sz="4" w:space="0" w:color="auto"/>
              <w:bottom w:val="single" w:sz="4" w:space="0" w:color="auto"/>
              <w:right w:val="single" w:sz="4" w:space="0" w:color="auto"/>
            </w:tcBorders>
          </w:tcPr>
          <w:p w14:paraId="172E6857" w14:textId="1F89B266" w:rsidR="00E818EB" w:rsidRDefault="00E818EB">
            <w:pPr>
              <w:spacing w:afterLines="50" w:after="120"/>
              <w:jc w:val="both"/>
              <w:textAlignment w:val="baseline"/>
              <w:rPr>
                <w:rFonts w:eastAsiaTheme="minorEastAsia" w:hint="eastAsia"/>
                <w:sz w:val="22"/>
                <w:lang w:eastAsia="zh-CN"/>
              </w:rPr>
            </w:pPr>
            <w:r>
              <w:rPr>
                <w:rFonts w:eastAsiaTheme="minorEastAsia" w:hint="eastAsia"/>
                <w:sz w:val="22"/>
                <w:lang w:eastAsia="zh-CN"/>
              </w:rPr>
              <w:lastRenderedPageBreak/>
              <w:t>Huawei</w:t>
            </w:r>
          </w:p>
        </w:tc>
        <w:tc>
          <w:tcPr>
            <w:tcW w:w="4431" w:type="pct"/>
            <w:tcBorders>
              <w:top w:val="single" w:sz="4" w:space="0" w:color="auto"/>
              <w:left w:val="single" w:sz="4" w:space="0" w:color="auto"/>
              <w:bottom w:val="single" w:sz="4" w:space="0" w:color="auto"/>
              <w:right w:val="single" w:sz="4" w:space="0" w:color="auto"/>
            </w:tcBorders>
          </w:tcPr>
          <w:p w14:paraId="3E93FA8B" w14:textId="5EE05C8E" w:rsidR="00E818EB" w:rsidRDefault="00E818EB">
            <w:pPr>
              <w:spacing w:afterLines="50" w:after="120"/>
              <w:jc w:val="both"/>
              <w:textAlignment w:val="baseline"/>
              <w:rPr>
                <w:rFonts w:eastAsiaTheme="minorEastAsia"/>
                <w:sz w:val="22"/>
                <w:lang w:eastAsia="zh-CN"/>
              </w:rPr>
            </w:pPr>
            <w:r>
              <w:rPr>
                <w:rFonts w:eastAsiaTheme="minorEastAsia"/>
                <w:sz w:val="22"/>
                <w:lang w:eastAsia="zh-CN"/>
              </w:rPr>
              <w:t>We just agreed last meeting that half duplex operation is possible for intra-band only case, and even if the pattern is the same, collision may happen on flexible symbols.</w:t>
            </w:r>
          </w:p>
          <w:p w14:paraId="6A659E2E" w14:textId="20AE457A" w:rsidR="00E818EB" w:rsidRDefault="00E818EB" w:rsidP="006E7EBB">
            <w:pPr>
              <w:spacing w:afterLines="50" w:after="120"/>
              <w:jc w:val="both"/>
              <w:textAlignment w:val="baseline"/>
              <w:rPr>
                <w:rFonts w:eastAsiaTheme="minorEastAsia" w:hint="eastAsia"/>
                <w:sz w:val="22"/>
                <w:lang w:eastAsia="zh-CN"/>
              </w:rPr>
            </w:pPr>
            <w:r>
              <w:rPr>
                <w:rFonts w:eastAsiaTheme="minorEastAsia"/>
                <w:sz w:val="22"/>
                <w:lang w:eastAsia="zh-CN"/>
              </w:rPr>
              <w:t xml:space="preserve">Spec impact </w:t>
            </w:r>
            <w:r w:rsidR="006E7EBB">
              <w:rPr>
                <w:rFonts w:eastAsiaTheme="minorEastAsia"/>
                <w:sz w:val="22"/>
                <w:lang w:eastAsia="zh-CN"/>
              </w:rPr>
              <w:t>can be discussed</w:t>
            </w:r>
            <w:r>
              <w:rPr>
                <w:rFonts w:eastAsiaTheme="minorEastAsia"/>
                <w:sz w:val="22"/>
                <w:lang w:eastAsia="zh-CN"/>
              </w:rPr>
              <w:t xml:space="preserve"> </w:t>
            </w:r>
            <w:r w:rsidR="006E7EBB">
              <w:rPr>
                <w:rFonts w:eastAsiaTheme="minorEastAsia"/>
                <w:sz w:val="22"/>
                <w:lang w:eastAsia="zh-CN"/>
              </w:rPr>
              <w:t>–</w:t>
            </w:r>
            <w:r>
              <w:rPr>
                <w:rFonts w:eastAsiaTheme="minorEastAsia"/>
                <w:sz w:val="22"/>
                <w:lang w:eastAsia="zh-CN"/>
              </w:rPr>
              <w:t xml:space="preserve"> </w:t>
            </w:r>
            <w:r w:rsidR="006E7EBB">
              <w:rPr>
                <w:rFonts w:eastAsiaTheme="minorEastAsia"/>
                <w:sz w:val="22"/>
                <w:lang w:eastAsia="zh-CN"/>
              </w:rPr>
              <w:t>right now in our assessment it is minor:</w:t>
            </w:r>
            <w:bookmarkStart w:id="4" w:name="_GoBack"/>
            <w:bookmarkEnd w:id="4"/>
            <w:r>
              <w:rPr>
                <w:rFonts w:eastAsiaTheme="minorEastAsia"/>
                <w:sz w:val="22"/>
                <w:lang w:eastAsia="zh-CN"/>
              </w:rPr>
              <w:t xml:space="preserve"> only clarify the definition of reference cell once in the text is fine</w:t>
            </w:r>
            <w:r w:rsidR="006E7EBB">
              <w:rPr>
                <w:rFonts w:eastAsiaTheme="minorEastAsia"/>
                <w:sz w:val="22"/>
                <w:lang w:eastAsia="zh-CN"/>
              </w:rPr>
              <w:t>.</w:t>
            </w:r>
          </w:p>
        </w:tc>
      </w:tr>
    </w:tbl>
    <w:p w14:paraId="381B7DDF" w14:textId="77777777" w:rsidR="00B51A2E" w:rsidRDefault="00B51A2E" w:rsidP="00B51A2E">
      <w:pPr>
        <w:rPr>
          <w:rFonts w:ascii="Arial" w:eastAsia="Batang" w:hAnsi="Arial"/>
          <w:sz w:val="32"/>
          <w:szCs w:val="32"/>
          <w:lang w:eastAsia="ko-KR"/>
        </w:rPr>
      </w:pPr>
    </w:p>
    <w:p w14:paraId="11B8A144" w14:textId="77777777" w:rsidR="00B51A2E" w:rsidRDefault="00B51A2E" w:rsidP="00B51A2E">
      <w:pPr>
        <w:rPr>
          <w:rFonts w:ascii="Arial" w:eastAsia="Batang" w:hAnsi="Arial"/>
          <w:sz w:val="32"/>
          <w:szCs w:val="32"/>
          <w:lang w:eastAsia="ko-KR"/>
        </w:rPr>
      </w:pPr>
    </w:p>
    <w:p w14:paraId="730F6B97" w14:textId="77777777" w:rsidR="00B51A2E" w:rsidRDefault="00B51A2E" w:rsidP="00B51A2E">
      <w:pPr>
        <w:rPr>
          <w:rFonts w:ascii="Arial" w:eastAsia="Batang" w:hAnsi="Arial"/>
          <w:sz w:val="32"/>
          <w:szCs w:val="32"/>
          <w:lang w:eastAsia="ko-KR"/>
        </w:rPr>
      </w:pPr>
    </w:p>
    <w:p w14:paraId="319F8168" w14:textId="77777777" w:rsidR="00B51A2E" w:rsidRDefault="00B51A2E" w:rsidP="00B51A2E">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F344EDE" w14:textId="77777777" w:rsidR="00B51A2E" w:rsidRDefault="00B51A2E" w:rsidP="00B51A2E">
      <w:pPr>
        <w:rPr>
          <w:sz w:val="22"/>
        </w:rPr>
      </w:pPr>
      <w:r>
        <w:rPr>
          <w:sz w:val="22"/>
        </w:rPr>
        <w:t>TBD</w:t>
      </w:r>
    </w:p>
    <w:p w14:paraId="1EF55CDE" w14:textId="45F862C7" w:rsidR="00E70910" w:rsidRPr="00854F9D" w:rsidRDefault="00E70910" w:rsidP="002753B9">
      <w:pPr>
        <w:rPr>
          <w:b/>
        </w:rPr>
      </w:pPr>
    </w:p>
    <w:p w14:paraId="1122CC8F" w14:textId="127AD2A9" w:rsidR="00974662" w:rsidRDefault="00974662" w:rsidP="002753B9">
      <w:pPr>
        <w:rPr>
          <w:b/>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31F9646E" w14:textId="77777777" w:rsidR="00C31451" w:rsidRPr="00C31451" w:rsidRDefault="00974662" w:rsidP="00C31451">
      <w:pPr>
        <w:rPr>
          <w:bCs/>
          <w:sz w:val="22"/>
          <w:szCs w:val="18"/>
        </w:rPr>
      </w:pPr>
      <w:r>
        <w:rPr>
          <w:bCs/>
          <w:sz w:val="22"/>
          <w:szCs w:val="18"/>
        </w:rPr>
        <w:t>[1]</w:t>
      </w:r>
      <w:r>
        <w:rPr>
          <w:bCs/>
          <w:sz w:val="22"/>
          <w:szCs w:val="18"/>
        </w:rPr>
        <w:tab/>
      </w:r>
      <w:r w:rsidR="00C31451" w:rsidRPr="00C31451">
        <w:rPr>
          <w:bCs/>
          <w:sz w:val="22"/>
          <w:szCs w:val="18"/>
        </w:rPr>
        <w:t>R1-2104325</w:t>
      </w:r>
      <w:r w:rsidR="00C31451" w:rsidRPr="00C31451">
        <w:rPr>
          <w:bCs/>
          <w:sz w:val="22"/>
          <w:szCs w:val="18"/>
        </w:rPr>
        <w:tab/>
        <w:t>Remaining Issues of Rel-16 UL Tx Switching</w:t>
      </w:r>
      <w:r w:rsidR="00C31451" w:rsidRPr="00C31451">
        <w:rPr>
          <w:bCs/>
          <w:sz w:val="22"/>
          <w:szCs w:val="18"/>
        </w:rPr>
        <w:tab/>
        <w:t>ZTE</w:t>
      </w:r>
    </w:p>
    <w:p w14:paraId="478E9EC9" w14:textId="327D9C7C" w:rsidR="00C31451" w:rsidRPr="00C31451" w:rsidRDefault="00C31451" w:rsidP="00C31451">
      <w:pPr>
        <w:rPr>
          <w:bCs/>
          <w:sz w:val="22"/>
          <w:szCs w:val="18"/>
        </w:rPr>
      </w:pPr>
      <w:r>
        <w:rPr>
          <w:bCs/>
          <w:sz w:val="22"/>
          <w:szCs w:val="18"/>
        </w:rPr>
        <w:t>[2]</w:t>
      </w:r>
      <w:r>
        <w:rPr>
          <w:bCs/>
          <w:sz w:val="22"/>
          <w:szCs w:val="18"/>
        </w:rPr>
        <w:tab/>
      </w:r>
      <w:r w:rsidRPr="00C31451">
        <w:rPr>
          <w:bCs/>
          <w:sz w:val="22"/>
          <w:szCs w:val="18"/>
        </w:rPr>
        <w:t>R1-2104653</w:t>
      </w:r>
      <w:r w:rsidRPr="00C31451">
        <w:rPr>
          <w:bCs/>
          <w:sz w:val="22"/>
          <w:szCs w:val="18"/>
        </w:rPr>
        <w:tab/>
        <w:t>Remaining issues for 1Tx-2Tx switching</w:t>
      </w:r>
      <w:r w:rsidRPr="00C31451">
        <w:rPr>
          <w:bCs/>
          <w:sz w:val="22"/>
          <w:szCs w:val="18"/>
        </w:rPr>
        <w:tab/>
        <w:t>Qualcomm Incorporated</w:t>
      </w:r>
    </w:p>
    <w:p w14:paraId="456E6228" w14:textId="4CDF6B11" w:rsidR="00C31451" w:rsidRPr="00C31451" w:rsidRDefault="00C31451" w:rsidP="00C31451">
      <w:pPr>
        <w:rPr>
          <w:bCs/>
          <w:sz w:val="22"/>
          <w:szCs w:val="18"/>
        </w:rPr>
      </w:pPr>
      <w:r>
        <w:rPr>
          <w:bCs/>
          <w:sz w:val="22"/>
          <w:szCs w:val="18"/>
        </w:rPr>
        <w:t>[3]</w:t>
      </w:r>
      <w:r>
        <w:rPr>
          <w:bCs/>
          <w:sz w:val="22"/>
          <w:szCs w:val="18"/>
        </w:rPr>
        <w:tab/>
      </w:r>
      <w:r w:rsidRPr="00C31451">
        <w:rPr>
          <w:bCs/>
          <w:sz w:val="22"/>
          <w:szCs w:val="18"/>
        </w:rPr>
        <w:t>R1-2104730</w:t>
      </w:r>
      <w:r w:rsidRPr="00C31451">
        <w:rPr>
          <w:bCs/>
          <w:sz w:val="22"/>
          <w:szCs w:val="18"/>
        </w:rPr>
        <w:tab/>
        <w:t>Enhancement on uplink power control for M-TRP</w:t>
      </w:r>
      <w:r w:rsidRPr="00C31451">
        <w:rPr>
          <w:bCs/>
          <w:sz w:val="22"/>
          <w:szCs w:val="18"/>
        </w:rPr>
        <w:tab/>
        <w:t>OPPO</w:t>
      </w:r>
    </w:p>
    <w:p w14:paraId="36B869E7" w14:textId="2D002C92" w:rsidR="00C31451" w:rsidRPr="00C31451" w:rsidRDefault="00C31451" w:rsidP="00C31451">
      <w:pPr>
        <w:rPr>
          <w:bCs/>
          <w:sz w:val="22"/>
          <w:szCs w:val="18"/>
        </w:rPr>
      </w:pPr>
      <w:r>
        <w:rPr>
          <w:bCs/>
          <w:sz w:val="22"/>
          <w:szCs w:val="18"/>
        </w:rPr>
        <w:t>[4]</w:t>
      </w:r>
      <w:r>
        <w:rPr>
          <w:bCs/>
          <w:sz w:val="22"/>
          <w:szCs w:val="18"/>
        </w:rPr>
        <w:tab/>
      </w:r>
      <w:r w:rsidRPr="00C31451">
        <w:rPr>
          <w:bCs/>
          <w:sz w:val="22"/>
          <w:szCs w:val="18"/>
        </w:rPr>
        <w:t>R1-2104731</w:t>
      </w:r>
      <w:r w:rsidRPr="00C31451">
        <w:rPr>
          <w:bCs/>
          <w:sz w:val="22"/>
          <w:szCs w:val="18"/>
        </w:rPr>
        <w:tab/>
        <w:t>Text Proposals for Tx Switching between Two Uplink Carriers</w:t>
      </w:r>
      <w:r w:rsidRPr="00C31451">
        <w:rPr>
          <w:bCs/>
          <w:sz w:val="22"/>
          <w:szCs w:val="18"/>
        </w:rPr>
        <w:tab/>
        <w:t>OPPO</w:t>
      </w:r>
    </w:p>
    <w:p w14:paraId="5BC3A6CC" w14:textId="4C0BCD8D" w:rsidR="00C31451" w:rsidRPr="00C31451" w:rsidRDefault="00C31451" w:rsidP="00C31451">
      <w:pPr>
        <w:rPr>
          <w:bCs/>
          <w:sz w:val="22"/>
          <w:szCs w:val="18"/>
        </w:rPr>
      </w:pPr>
      <w:r>
        <w:rPr>
          <w:bCs/>
          <w:sz w:val="22"/>
          <w:szCs w:val="18"/>
        </w:rPr>
        <w:t>[5]</w:t>
      </w:r>
      <w:r>
        <w:rPr>
          <w:bCs/>
          <w:sz w:val="22"/>
          <w:szCs w:val="18"/>
        </w:rPr>
        <w:tab/>
      </w:r>
      <w:r w:rsidRPr="00C31451">
        <w:rPr>
          <w:bCs/>
          <w:sz w:val="22"/>
          <w:szCs w:val="18"/>
        </w:rPr>
        <w:t>R1-2104858</w:t>
      </w:r>
      <w:r w:rsidRPr="00C31451">
        <w:rPr>
          <w:bCs/>
          <w:sz w:val="22"/>
          <w:szCs w:val="18"/>
        </w:rPr>
        <w:tab/>
        <w:t>Summary of Rel-16 uplink Tx switching</w:t>
      </w:r>
      <w:r w:rsidRPr="00C31451">
        <w:rPr>
          <w:bCs/>
          <w:sz w:val="22"/>
          <w:szCs w:val="18"/>
        </w:rPr>
        <w:tab/>
        <w:t>Moderator (China Telecom)</w:t>
      </w:r>
    </w:p>
    <w:p w14:paraId="7BE2BED1" w14:textId="3230AA0D" w:rsidR="00C31451" w:rsidRPr="00C31451" w:rsidRDefault="00C31451" w:rsidP="00C31451">
      <w:pPr>
        <w:rPr>
          <w:bCs/>
          <w:sz w:val="22"/>
          <w:szCs w:val="18"/>
        </w:rPr>
      </w:pPr>
      <w:r>
        <w:rPr>
          <w:bCs/>
          <w:sz w:val="22"/>
          <w:szCs w:val="18"/>
        </w:rPr>
        <w:t>[6]</w:t>
      </w:r>
      <w:r>
        <w:rPr>
          <w:bCs/>
          <w:sz w:val="22"/>
          <w:szCs w:val="18"/>
        </w:rPr>
        <w:tab/>
      </w:r>
      <w:r w:rsidRPr="00C31451">
        <w:rPr>
          <w:bCs/>
          <w:sz w:val="22"/>
          <w:szCs w:val="18"/>
        </w:rPr>
        <w:t>R1-2105524</w:t>
      </w:r>
      <w:r w:rsidRPr="00C31451">
        <w:rPr>
          <w:bCs/>
          <w:sz w:val="22"/>
          <w:szCs w:val="18"/>
        </w:rPr>
        <w:tab/>
        <w:t>Discussion on half duplex operation for TDD CA</w:t>
      </w:r>
      <w:r w:rsidRPr="00C31451">
        <w:rPr>
          <w:bCs/>
          <w:sz w:val="22"/>
          <w:szCs w:val="18"/>
        </w:rPr>
        <w:tab/>
        <w:t>Huawei, HiSilicon</w:t>
      </w:r>
    </w:p>
    <w:p w14:paraId="06BA940B" w14:textId="5EA768DF" w:rsidR="00974662" w:rsidRPr="00974662" w:rsidRDefault="00C31451" w:rsidP="00C31451">
      <w:pPr>
        <w:rPr>
          <w:bCs/>
          <w:sz w:val="22"/>
          <w:szCs w:val="18"/>
        </w:rPr>
      </w:pPr>
      <w:r>
        <w:rPr>
          <w:bCs/>
          <w:sz w:val="22"/>
          <w:szCs w:val="18"/>
        </w:rPr>
        <w:t>[7]</w:t>
      </w:r>
      <w:r>
        <w:rPr>
          <w:bCs/>
          <w:sz w:val="22"/>
          <w:szCs w:val="18"/>
        </w:rPr>
        <w:tab/>
      </w:r>
      <w:r w:rsidRPr="00C31451">
        <w:rPr>
          <w:bCs/>
          <w:sz w:val="22"/>
          <w:szCs w:val="18"/>
        </w:rPr>
        <w:t>R1-2105925</w:t>
      </w:r>
      <w:r w:rsidRPr="00C31451">
        <w:rPr>
          <w:bCs/>
          <w:sz w:val="22"/>
          <w:szCs w:val="18"/>
        </w:rPr>
        <w:tab/>
        <w:t>Discussion on the remaining problems of supporting Tx switching between two uplink carriers</w:t>
      </w:r>
      <w:r w:rsidRPr="00C31451">
        <w:rPr>
          <w:bCs/>
          <w:sz w:val="22"/>
          <w:szCs w:val="18"/>
        </w:rPr>
        <w:tab/>
        <w:t>Huawei, HiSilicon</w:t>
      </w:r>
    </w:p>
    <w:sectPr w:rsidR="00974662" w:rsidRPr="00974662"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34697" w14:textId="77777777" w:rsidR="00F6084F" w:rsidRDefault="00F6084F">
      <w:r>
        <w:separator/>
      </w:r>
    </w:p>
  </w:endnote>
  <w:endnote w:type="continuationSeparator" w:id="0">
    <w:p w14:paraId="58E8EFAA" w14:textId="77777777" w:rsidR="00F6084F" w:rsidRDefault="00F6084F">
      <w:r>
        <w:continuationSeparator/>
      </w:r>
    </w:p>
  </w:endnote>
  <w:endnote w:type="continuationNotice" w:id="1">
    <w:p w14:paraId="402313FB" w14:textId="77777777" w:rsidR="00F6084F" w:rsidRDefault="00F60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0B2379" w:rsidRPr="00000924" w:rsidRDefault="000B2379">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E7EBB">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E7EBB">
      <w:rPr>
        <w:rStyle w:val="af1"/>
        <w:rFonts w:eastAsia="MS Gothic"/>
        <w:noProof/>
      </w:rPr>
      <w:t>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EC360" w14:textId="77777777" w:rsidR="00F6084F" w:rsidRDefault="00F6084F">
      <w:r>
        <w:separator/>
      </w:r>
    </w:p>
  </w:footnote>
  <w:footnote w:type="continuationSeparator" w:id="0">
    <w:p w14:paraId="10B71D11" w14:textId="77777777" w:rsidR="00F6084F" w:rsidRDefault="00F6084F">
      <w:r>
        <w:continuationSeparator/>
      </w:r>
    </w:p>
  </w:footnote>
  <w:footnote w:type="continuationNotice" w:id="1">
    <w:p w14:paraId="2788D136" w14:textId="77777777" w:rsidR="00F6084F" w:rsidRDefault="00F608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0837BC"/>
    <w:multiLevelType w:val="hybridMultilevel"/>
    <w:tmpl w:val="2D7C4EFC"/>
    <w:lvl w:ilvl="0" w:tplc="7BC25FF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CE5DF3"/>
    <w:multiLevelType w:val="hybridMultilevel"/>
    <w:tmpl w:val="0C848E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5D7674"/>
    <w:multiLevelType w:val="hybridMultilevel"/>
    <w:tmpl w:val="01D48682"/>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3301407"/>
    <w:multiLevelType w:val="hybridMultilevel"/>
    <w:tmpl w:val="00DC4B84"/>
    <w:lvl w:ilvl="0" w:tplc="E45E7E64">
      <w:numFmt w:val="bullet"/>
      <w:lvlText w:val="-"/>
      <w:lvlJc w:val="left"/>
      <w:pPr>
        <w:ind w:left="360" w:hanging="360"/>
      </w:pPr>
      <w:rPr>
        <w:rFonts w:ascii="Times New Roman" w:eastAsia="宋体"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B755B58"/>
    <w:multiLevelType w:val="hybridMultilevel"/>
    <w:tmpl w:val="48C4DED4"/>
    <w:lvl w:ilvl="0" w:tplc="E45E7E6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D21270"/>
    <w:multiLevelType w:val="hybridMultilevel"/>
    <w:tmpl w:val="2B0C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76372D"/>
    <w:multiLevelType w:val="hybridMultilevel"/>
    <w:tmpl w:val="8DE288BA"/>
    <w:lvl w:ilvl="0" w:tplc="EE4C6F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4C87D32"/>
    <w:multiLevelType w:val="hybridMultilevel"/>
    <w:tmpl w:val="6D3C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D18BC"/>
    <w:multiLevelType w:val="multilevel"/>
    <w:tmpl w:val="32FEA0A4"/>
    <w:lvl w:ilvl="0">
      <w:start w:val="1"/>
      <w:numFmt w:val="decimal"/>
      <w:lvlText w:val="%1."/>
      <w:lvlJc w:val="left"/>
      <w:pPr>
        <w:tabs>
          <w:tab w:val="num" w:pos="1277"/>
        </w:tabs>
        <w:ind w:left="1277" w:hanging="567"/>
      </w:pPr>
      <w:rPr>
        <w:rFonts w:hint="default"/>
        <w:u w:val="none"/>
      </w:rPr>
    </w:lvl>
    <w:lvl w:ilvl="1">
      <w:start w:val="1"/>
      <w:numFmt w:val="decimal"/>
      <w:lvlText w:val="%1.%2."/>
      <w:lvlJc w:val="left"/>
      <w:pPr>
        <w:tabs>
          <w:tab w:val="num" w:pos="2836"/>
        </w:tabs>
        <w:ind w:left="2836"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DD53980"/>
    <w:multiLevelType w:val="multilevel"/>
    <w:tmpl w:val="99F4D080"/>
    <w:numStyleLink w:val="1"/>
  </w:abstractNum>
  <w:num w:numId="1">
    <w:abstractNumId w:val="16"/>
  </w:num>
  <w:num w:numId="2">
    <w:abstractNumId w:val="5"/>
  </w:num>
  <w:num w:numId="3">
    <w:abstractNumId w:val="20"/>
  </w:num>
  <w:num w:numId="4">
    <w:abstractNumId w:val="1"/>
  </w:num>
  <w:num w:numId="5">
    <w:abstractNumId w:val="3"/>
  </w:num>
  <w:num w:numId="6">
    <w:abstractNumId w:val="6"/>
  </w:num>
  <w:num w:numId="7">
    <w:abstractNumId w:val="14"/>
  </w:num>
  <w:num w:numId="8">
    <w:abstractNumId w:val="8"/>
  </w:num>
  <w:num w:numId="9">
    <w:abstractNumId w:val="7"/>
  </w:num>
  <w:num w:numId="10">
    <w:abstractNumId w:val="4"/>
  </w:num>
  <w:num w:numId="11">
    <w:abstractNumId w:val="0"/>
  </w:num>
  <w:num w:numId="12">
    <w:abstractNumId w:val="22"/>
  </w:num>
  <w:num w:numId="13">
    <w:abstractNumId w:val="19"/>
  </w:num>
  <w:num w:numId="14">
    <w:abstractNumId w:val="10"/>
  </w:num>
  <w:num w:numId="15">
    <w:abstractNumId w:val="12"/>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3"/>
  </w:num>
  <w:num w:numId="21">
    <w:abstractNumId w:val="11"/>
  </w:num>
  <w:num w:numId="22">
    <w:abstractNumId w:val="18"/>
  </w:num>
  <w:num w:numId="23">
    <w:abstractNumId w:val="21"/>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0EB1"/>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435"/>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D0C"/>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DC"/>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566"/>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0DD"/>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0F71"/>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D52"/>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23"/>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4B"/>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0E3"/>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20D"/>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256"/>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A0C"/>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E7EBB"/>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87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C1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A2E"/>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7EE"/>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451"/>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275"/>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61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64A"/>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6A6"/>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D7"/>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D5F"/>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4C7"/>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18EB"/>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0F2"/>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1E6"/>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C"/>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84F"/>
    <w:rsid w:val="00F6091E"/>
    <w:rsid w:val="00F60EF0"/>
    <w:rsid w:val="00F6193D"/>
    <w:rsid w:val="00F61986"/>
    <w:rsid w:val="00F61A76"/>
    <w:rsid w:val="00F61A95"/>
    <w:rsid w:val="00F624AE"/>
    <w:rsid w:val="00F62558"/>
    <w:rsid w:val="00F62F0A"/>
    <w:rsid w:val="00F634C2"/>
    <w:rsid w:val="00F635E0"/>
    <w:rsid w:val="00F64916"/>
    <w:rsid w:val="00F64F81"/>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EE5"/>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er 2,Header2,22,heading2,2nd level,H21,H22,H23,H24,H25,R2,E2,†berschrift 2,õberschrift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Task Body,列"/>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Header 2 Char,Header2 Char,22 Char,heading2 Char,2nd level Char,H21 Char,H22 Char,H23 Char,H24 Char,H25 Char,R2 Char,E2 Char,†berschrift 2 Char"/>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tabs>
        <w:tab w:val="left" w:pos="936"/>
        <w:tab w:val="left" w:pos="1701"/>
      </w:tabs>
      <w:spacing w:line="259" w:lineRule="auto"/>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table" w:customStyle="1" w:styleId="16">
    <w:name w:val="表 (格子)1"/>
    <w:basedOn w:val="a2"/>
    <w:qFormat/>
    <w:rsid w:val="00B51A2E"/>
    <w:pPr>
      <w:overflowPunct w:val="0"/>
      <w:autoSpaceDE w:val="0"/>
      <w:autoSpaceDN w:val="0"/>
      <w:adjustRightInd w:val="0"/>
      <w:spacing w:after="180" w:line="256" w:lineRule="auto"/>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2177">
      <w:bodyDiv w:val="1"/>
      <w:marLeft w:val="0"/>
      <w:marRight w:val="0"/>
      <w:marTop w:val="0"/>
      <w:marBottom w:val="0"/>
      <w:divBdr>
        <w:top w:val="none" w:sz="0" w:space="0" w:color="auto"/>
        <w:left w:val="none" w:sz="0" w:space="0" w:color="auto"/>
        <w:bottom w:val="none" w:sz="0" w:space="0" w:color="auto"/>
        <w:right w:val="none" w:sz="0" w:space="0" w:color="auto"/>
      </w:divBdr>
    </w:div>
    <w:div w:id="452791224">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165371">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99099389">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0141729">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7517926">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88531">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4238126B-9DA1-43A2-A942-9C5B53D2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5280</Characters>
  <Application>Microsoft Office Word</Application>
  <DocSecurity>0</DocSecurity>
  <Lines>44</Lines>
  <Paragraphs>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WangYi</cp:lastModifiedBy>
  <cp:revision>2</cp:revision>
  <cp:lastPrinted>2017-08-09T04:40:00Z</cp:lastPrinted>
  <dcterms:created xsi:type="dcterms:W3CDTF">2021-05-20T12:42:00Z</dcterms:created>
  <dcterms:modified xsi:type="dcterms:W3CDTF">2021-05-20T12:42:00Z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(3)Z1aoIPETY5/gCr1/+BQI1HIioDKzhlxNg6FAQ8tdzRcBw2ykSosrsZoIc3532HMVirCzqh1Z
UuYbEueKphn4ZErwchm3sMzxcAxkjBiJjb0qPMzfHcEERzp8iHGG9fFum0DaCcsgIlb5d0rM
5bNLOuzvEVKZFUZkk5AGKgCneUV1FilgrCF5xETDJmOc4CLdANfCDBV+3hZ9rcaoHzUMHNUT
o7mJb8YwF7Sk9GDRdw</vt:lpwstr>
  </property>
  <property fmtid="{D5CDD505-2E9C-101B-9397-08002B2CF9AE}" pid="3" name="_2015_ms_pID_7253431">
    <vt:lpwstr>hkHKCw+EofLCTLXAUhOQV1ddTTDT9xgGqdHNhVYIt311GW9sXgeMyQ
+t2lyElMPaxsvBLihoKQXrEtqdR3QWJ5BCGDYQrIREdZOqejlCfAmnP0wMYKBPuJcVOhvU4P
xL0h89e5+SwIbv3A2VaC9zzIeiJulen8KcXaPmkrvwyTUAe6OUFUXl/tcsAQLQYLQhSPysy6
b7blb+US2GhSq51pDqJRJteO+AzYNF64W0cW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2015_ms_pID_7253432">
    <vt:lpwstr>eQ==</vt:lpwstr>
  </property>
</Properties>
</file>