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ＭＳ 明朝" w:hAnsi="Arial" w:cs="Arial"/>
          <w:b/>
          <w:bCs/>
          <w:lang w:eastAsia="ja-JP"/>
        </w:rPr>
      </w:pPr>
      <w:r>
        <w:rPr>
          <w:rFonts w:ascii="Arial" w:eastAsia="ＭＳ 明朝" w:hAnsi="Arial" w:cs="Arial"/>
          <w:b/>
          <w:bCs/>
          <w:szCs w:val="22"/>
          <w:lang w:eastAsia="ja-JP"/>
        </w:rPr>
        <w:t>e-Meeting</w:t>
      </w:r>
      <w:r>
        <w:rPr>
          <w:rFonts w:ascii="Arial" w:eastAsia="ＭＳ 明朝" w:hAnsi="Arial" w:cs="Arial"/>
          <w:b/>
          <w:bCs/>
          <w:lang w:eastAsia="ja-JP"/>
        </w:rPr>
        <w:t xml:space="preserve">, </w:t>
      </w:r>
      <w:r>
        <w:rPr>
          <w:rFonts w:ascii="Arial" w:eastAsia="ＭＳ 明朝" w:hAnsi="Arial" w:cs="Arial"/>
          <w:b/>
          <w:bCs/>
          <w:szCs w:val="22"/>
          <w:lang w:val="en-GB" w:eastAsia="ja-JP"/>
        </w:rPr>
        <w:t>May 10</w:t>
      </w:r>
      <w:r>
        <w:rPr>
          <w:rFonts w:ascii="Arial" w:eastAsia="ＭＳ 明朝" w:hAnsi="Arial" w:cs="Arial"/>
          <w:b/>
          <w:bCs/>
          <w:szCs w:val="22"/>
          <w:vertAlign w:val="superscript"/>
          <w:lang w:val="en-GB" w:eastAsia="ja-JP"/>
        </w:rPr>
        <w:t>th</w:t>
      </w:r>
      <w:r>
        <w:rPr>
          <w:rFonts w:ascii="Arial" w:eastAsia="ＭＳ 明朝" w:hAnsi="Arial" w:cs="Arial"/>
          <w:b/>
          <w:bCs/>
          <w:szCs w:val="22"/>
          <w:lang w:val="en-GB" w:eastAsia="ja-JP"/>
        </w:rPr>
        <w:t xml:space="preserve"> – 27</w:t>
      </w:r>
      <w:r>
        <w:rPr>
          <w:rFonts w:ascii="Arial" w:eastAsia="ＭＳ 明朝" w:hAnsi="Arial" w:cs="Arial"/>
          <w:b/>
          <w:bCs/>
          <w:szCs w:val="22"/>
          <w:vertAlign w:val="superscript"/>
          <w:lang w:val="en-GB" w:eastAsia="ja-JP"/>
        </w:rPr>
        <w:t>th</w:t>
      </w:r>
      <w:r>
        <w:rPr>
          <w:rFonts w:ascii="Arial" w:eastAsia="ＭＳ 明朝"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C90626">
      <w:pPr>
        <w:ind w:left="568"/>
        <w:rPr>
          <w:rFonts w:ascii="Times" w:eastAsia="Batang" w:hAnsi="Times"/>
          <w:sz w:val="18"/>
          <w:szCs w:val="22"/>
          <w:lang w:val="en-GB"/>
        </w:rPr>
      </w:pPr>
      <w:hyperlink r:id="rId9"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C90626">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77777777" w:rsidR="001A20E9" w:rsidRDefault="00CB2595">
      <w:pPr>
        <w:pStyle w:val="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20"/>
        <w:gridCol w:w="1186"/>
        <w:gridCol w:w="3212"/>
        <w:gridCol w:w="222"/>
        <w:gridCol w:w="496"/>
        <w:gridCol w:w="526"/>
        <w:gridCol w:w="261"/>
        <w:gridCol w:w="486"/>
        <w:gridCol w:w="457"/>
        <w:gridCol w:w="457"/>
        <w:gridCol w:w="457"/>
        <w:gridCol w:w="262"/>
        <w:gridCol w:w="97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af4"/>
            <w:rFonts w:eastAsia="Batang"/>
            <w:sz w:val="20"/>
            <w:szCs w:val="20"/>
          </w:rPr>
          <w:t>R1-2101990</w:t>
        </w:r>
      </w:hyperlink>
      <w:r>
        <w:rPr>
          <w:rFonts w:eastAsia="Batang"/>
          <w:sz w:val="20"/>
          <w:szCs w:val="20"/>
        </w:rPr>
        <w:t xml:space="preserve"> (Rel. 15) and </w:t>
      </w:r>
      <w:hyperlink r:id="rId12" w:history="1">
        <w:r>
          <w:rPr>
            <w:rStyle w:val="af4"/>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14:paraId="37D888AA" w14:textId="77777777" w:rsidR="001A20E9" w:rsidRDefault="00C90626">
      <w:pPr>
        <w:pStyle w:val="afb"/>
        <w:numPr>
          <w:ilvl w:val="0"/>
          <w:numId w:val="5"/>
        </w:numPr>
        <w:spacing w:after="120"/>
        <w:rPr>
          <w:rFonts w:eastAsia="Batang"/>
        </w:rPr>
      </w:pPr>
      <w:hyperlink r:id="rId13" w:history="1">
        <w:r w:rsidR="00CB2595">
          <w:rPr>
            <w:rStyle w:val="af4"/>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C90626">
      <w:pPr>
        <w:pStyle w:val="afb"/>
        <w:numPr>
          <w:ilvl w:val="0"/>
          <w:numId w:val="5"/>
        </w:numPr>
        <w:spacing w:after="120"/>
        <w:rPr>
          <w:rFonts w:eastAsia="Batang"/>
        </w:rPr>
      </w:pPr>
      <w:hyperlink r:id="rId14" w:history="1">
        <w:r w:rsidR="00CB2595">
          <w:rPr>
            <w:rStyle w:val="af4"/>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1"/>
        <w:rPr>
          <w:lang w:val="en-US"/>
        </w:rPr>
      </w:pPr>
      <w:r>
        <w:rPr>
          <w:lang w:val="en-US"/>
        </w:rPr>
        <w:t>3</w:t>
      </w:r>
      <w:r>
        <w:rPr>
          <w:lang w:val="en-US"/>
        </w:rPr>
        <w:tab/>
        <w:t>Email Discussions</w:t>
      </w:r>
    </w:p>
    <w:p w14:paraId="3A71C786" w14:textId="77777777" w:rsidR="001A20E9" w:rsidRDefault="00CB2595">
      <w:pPr>
        <w:pStyle w:val="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af4"/>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af4"/>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7" w:history="1">
        <w:r>
          <w:rPr>
            <w:rStyle w:val="af4"/>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af9"/>
        <w:tblW w:w="9629" w:type="dxa"/>
        <w:tblLayout w:type="fixed"/>
        <w:tblLook w:val="04A0" w:firstRow="1" w:lastRow="0" w:firstColumn="1" w:lastColumn="0" w:noHBand="0" w:noVBand="1"/>
      </w:tblPr>
      <w:tblGrid>
        <w:gridCol w:w="1255"/>
        <w:gridCol w:w="8374"/>
      </w:tblGrid>
      <w:tr w:rsidR="001A20E9"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77777777" w:rsidR="001A20E9" w:rsidRPr="003A6428" w:rsidRDefault="003A6428">
            <w:pPr>
              <w:jc w:val="both"/>
              <w:rPr>
                <w:rFonts w:eastAsiaTheme="minorEastAsia"/>
                <w:sz w:val="20"/>
                <w:szCs w:val="21"/>
              </w:rPr>
            </w:pPr>
            <w:r>
              <w:rPr>
                <w:rFonts w:eastAsiaTheme="minorEastAsia" w:hint="eastAsia"/>
                <w:sz w:val="20"/>
                <w:szCs w:val="21"/>
              </w:rPr>
              <w:t>CATT</w:t>
            </w:r>
            <w:r w:rsidR="005E1183">
              <w:rPr>
                <w:rFonts w:eastAsiaTheme="minorEastAsia"/>
                <w:sz w:val="20"/>
                <w:szCs w:val="21"/>
              </w:rPr>
              <w:t>, vivo</w:t>
            </w:r>
            <w:r w:rsidR="00485D86">
              <w:rPr>
                <w:rFonts w:eastAsiaTheme="minorEastAsia"/>
                <w:sz w:val="20"/>
                <w:szCs w:val="21"/>
              </w:rPr>
              <w:t>, Samsung</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4E5E9B4F" w:rsidR="001A20E9" w:rsidRDefault="00CB2595" w:rsidP="00485D86">
            <w:pPr>
              <w:jc w:val="both"/>
              <w:rPr>
                <w:rFonts w:eastAsia="ＭＳ 明朝"/>
                <w:sz w:val="20"/>
                <w:szCs w:val="21"/>
                <w:lang w:val="en" w:eastAsia="ja-JP"/>
              </w:rPr>
            </w:pPr>
            <w:r>
              <w:rPr>
                <w:rFonts w:eastAsia="ＭＳ 明朝"/>
                <w:sz w:val="20"/>
                <w:szCs w:val="21"/>
                <w:lang w:val="en" w:eastAsia="ja-JP"/>
              </w:rPr>
              <w:t>OPP</w:t>
            </w:r>
            <w:r w:rsidR="008936C3">
              <w:rPr>
                <w:rFonts w:eastAsia="ＭＳ 明朝"/>
                <w:sz w:val="20"/>
                <w:szCs w:val="21"/>
                <w:lang w:val="en" w:eastAsia="ja-JP"/>
              </w:rPr>
              <w:t>O, NTT DOCOMO</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8" w:history="1">
        <w:r>
          <w:rPr>
            <w:rStyle w:val="af4"/>
            <w:b/>
            <w:bCs/>
            <w:sz w:val="20"/>
            <w:szCs w:val="21"/>
            <w:lang w:val="en-GB"/>
          </w:rPr>
          <w:t>R1-2105077</w:t>
        </w:r>
      </w:hyperlink>
      <w:r>
        <w:rPr>
          <w:b/>
          <w:bCs/>
          <w:sz w:val="20"/>
          <w:szCs w:val="21"/>
          <w:lang w:val="en-GB"/>
        </w:rPr>
        <w:t xml:space="preserve"> (Rel-15)</w:t>
      </w:r>
      <w:r>
        <w:rPr>
          <w:b/>
          <w:bCs/>
          <w:sz w:val="20"/>
          <w:szCs w:val="21"/>
        </w:rPr>
        <w:t>, if any.</w:t>
      </w:r>
    </w:p>
    <w:tbl>
      <w:tblPr>
        <w:tblStyle w:val="af9"/>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no see the linkage between the two. The proposed CR may need a separate RAN1 agreement for a new UE behavior. </w:t>
            </w:r>
          </w:p>
          <w:p w14:paraId="1B97EAC4" w14:textId="77777777" w:rsidR="001A20E9" w:rsidRDefault="00CB2595">
            <w:pPr>
              <w:rPr>
                <w:sz w:val="20"/>
                <w:szCs w:val="21"/>
                <w:lang w:val="en"/>
              </w:rPr>
            </w:pPr>
            <w:r>
              <w:rPr>
                <w:sz w:val="20"/>
                <w:szCs w:val="21"/>
                <w:lang w:val="en"/>
              </w:rPr>
              <w:t xml:space="preserve">Secondly, the fact of “UE does not detect a DCI format 2_0” could be based on that “gNB does not send DCI format 2_0 at all (there is no mandating requirement for gNB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3006793A" w14:textId="77777777" w:rsidR="003107B8" w:rsidRP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tc>
      </w:tr>
      <w:tr w:rsidR="008936C3" w14:paraId="6E231723" w14:textId="77777777">
        <w:tc>
          <w:tcPr>
            <w:tcW w:w="1255" w:type="dxa"/>
          </w:tcPr>
          <w:p w14:paraId="341A1CE0" w14:textId="07D1A2B3" w:rsidR="008936C3" w:rsidRPr="008936C3" w:rsidRDefault="008936C3">
            <w:pPr>
              <w:jc w:val="both"/>
              <w:rPr>
                <w:rFonts w:eastAsia="ＭＳ 明朝" w:hint="eastAsia"/>
                <w:sz w:val="20"/>
                <w:szCs w:val="21"/>
                <w:lang w:val="en" w:eastAsia="ja-JP"/>
              </w:rPr>
            </w:pPr>
            <w:r>
              <w:rPr>
                <w:rFonts w:eastAsia="ＭＳ 明朝" w:hint="eastAsia"/>
                <w:sz w:val="20"/>
                <w:szCs w:val="21"/>
                <w:lang w:val="en" w:eastAsia="ja-JP"/>
              </w:rPr>
              <w:t>N</w:t>
            </w:r>
            <w:r>
              <w:rPr>
                <w:rFonts w:eastAsia="ＭＳ 明朝"/>
                <w:sz w:val="20"/>
                <w:szCs w:val="21"/>
                <w:lang w:val="en" w:eastAsia="ja-JP"/>
              </w:rPr>
              <w:t>TT DOCOMO</w:t>
            </w:r>
          </w:p>
        </w:tc>
        <w:tc>
          <w:tcPr>
            <w:tcW w:w="8374" w:type="dxa"/>
          </w:tcPr>
          <w:p w14:paraId="24839261" w14:textId="77777777" w:rsidR="008936C3" w:rsidRDefault="008936C3" w:rsidP="003107B8">
            <w:pPr>
              <w:rPr>
                <w:rFonts w:eastAsia="ＭＳ 明朝"/>
                <w:sz w:val="20"/>
                <w:szCs w:val="21"/>
                <w:lang w:val="en" w:eastAsia="ja-JP"/>
              </w:rPr>
            </w:pPr>
            <w:r>
              <w:rPr>
                <w:rFonts w:eastAsia="ＭＳ 明朝"/>
                <w:sz w:val="20"/>
                <w:szCs w:val="21"/>
                <w:lang w:val="en" w:eastAsia="ja-JP"/>
              </w:rPr>
              <w:t>Agreement is following.</w:t>
            </w:r>
          </w:p>
          <w:p w14:paraId="7ACD54DD" w14:textId="77777777" w:rsidR="008936C3" w:rsidRPr="008936C3" w:rsidRDefault="008936C3" w:rsidP="008936C3">
            <w:pPr>
              <w:rPr>
                <w:rFonts w:eastAsia="ＭＳ 明朝"/>
                <w:sz w:val="20"/>
                <w:szCs w:val="21"/>
                <w:lang w:val="en" w:eastAsia="ja-JP"/>
              </w:rPr>
            </w:pPr>
            <w:r w:rsidRPr="008936C3">
              <w:rPr>
                <w:rFonts w:eastAsia="ＭＳ 明朝"/>
                <w:sz w:val="20"/>
                <w:szCs w:val="21"/>
                <w:highlight w:val="green"/>
                <w:lang w:val="en" w:eastAsia="ja-JP"/>
              </w:rPr>
              <w:t>Agreements:</w:t>
            </w:r>
          </w:p>
          <w:p w14:paraId="46C38D32" w14:textId="77777777" w:rsidR="008936C3" w:rsidRDefault="008936C3" w:rsidP="008936C3">
            <w:pPr>
              <w:pStyle w:val="afb"/>
              <w:numPr>
                <w:ilvl w:val="0"/>
                <w:numId w:val="6"/>
              </w:numPr>
              <w:rPr>
                <w:rFonts w:eastAsia="ＭＳ 明朝"/>
                <w:szCs w:val="21"/>
                <w:lang w:val="en" w:eastAsia="ja-JP"/>
              </w:rPr>
            </w:pPr>
            <w:r w:rsidRPr="008936C3">
              <w:rPr>
                <w:rFonts w:eastAsia="ＭＳ 明朝"/>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afb"/>
              <w:numPr>
                <w:ilvl w:val="1"/>
                <w:numId w:val="6"/>
              </w:numPr>
              <w:rPr>
                <w:rFonts w:eastAsia="ＭＳ 明朝"/>
                <w:szCs w:val="21"/>
                <w:lang w:val="en" w:eastAsia="ja-JP"/>
              </w:rPr>
            </w:pPr>
            <w:r w:rsidRPr="008936C3">
              <w:rPr>
                <w:rFonts w:eastAsia="ＭＳ 明朝"/>
                <w:szCs w:val="21"/>
                <w:lang w:val="en" w:eastAsia="ja-JP"/>
              </w:rPr>
              <w:t>Prepare CR for above clarification in next meeting</w:t>
            </w:r>
          </w:p>
          <w:p w14:paraId="43FD87F8" w14:textId="77777777" w:rsidR="008936C3" w:rsidRDefault="008936C3" w:rsidP="008936C3">
            <w:pPr>
              <w:pStyle w:val="afb"/>
              <w:numPr>
                <w:ilvl w:val="0"/>
                <w:numId w:val="6"/>
              </w:numPr>
              <w:rPr>
                <w:rFonts w:eastAsia="ＭＳ 明朝"/>
                <w:szCs w:val="21"/>
                <w:lang w:val="en" w:eastAsia="ja-JP"/>
              </w:rPr>
            </w:pPr>
            <w:r w:rsidRPr="008936C3">
              <w:rPr>
                <w:rFonts w:eastAsia="ＭＳ 明朝"/>
                <w:szCs w:val="21"/>
                <w:lang w:val="en" w:eastAsia="ja-JP"/>
              </w:rPr>
              <w:t>Introduce a new Rel-16 FG for partial cancelation of PUCCH/PUSCH/PRACH as below</w:t>
            </w:r>
          </w:p>
          <w:p w14:paraId="7A462719" w14:textId="77777777" w:rsidR="008936C3" w:rsidRDefault="008936C3" w:rsidP="008936C3">
            <w:pPr>
              <w:pStyle w:val="afb"/>
              <w:ind w:left="420"/>
              <w:rPr>
                <w:rFonts w:eastAsia="ＭＳ 明朝"/>
                <w:szCs w:val="21"/>
                <w:lang w:val="en" w:eastAsia="ja-JP"/>
              </w:rPr>
            </w:pPr>
            <w:r>
              <w:rPr>
                <w:rFonts w:eastAsia="ＭＳ 明朝"/>
                <w:szCs w:val="21"/>
                <w:lang w:val="en" w:eastAsia="ja-JP"/>
              </w:rPr>
              <w:t>…</w:t>
            </w:r>
          </w:p>
          <w:p w14:paraId="68D27D70" w14:textId="0B1F53DA" w:rsidR="008936C3" w:rsidRPr="008936C3" w:rsidRDefault="00D5678C" w:rsidP="008936C3">
            <w:pPr>
              <w:rPr>
                <w:rFonts w:eastAsia="ＭＳ 明朝" w:hint="eastAsia"/>
                <w:szCs w:val="21"/>
                <w:lang w:val="en" w:eastAsia="ja-JP"/>
              </w:rPr>
            </w:pPr>
            <w:r>
              <w:rPr>
                <w:rFonts w:eastAsia="ＭＳ 明朝"/>
                <w:sz w:val="20"/>
                <w:szCs w:val="21"/>
                <w:lang w:val="en" w:eastAsia="ja-JP"/>
              </w:rPr>
              <w:t>T</w:t>
            </w:r>
            <w:r w:rsidRPr="00D5678C">
              <w:rPr>
                <w:rFonts w:eastAsia="ＭＳ 明朝"/>
                <w:sz w:val="20"/>
                <w:szCs w:val="21"/>
                <w:lang w:val="en" w:eastAsia="ja-JP"/>
              </w:rPr>
              <w:t>his</w:t>
            </w:r>
            <w:r>
              <w:rPr>
                <w:rFonts w:eastAsia="ＭＳ 明朝"/>
                <w:sz w:val="20"/>
                <w:szCs w:val="21"/>
                <w:lang w:val="en" w:eastAsia="ja-JP"/>
              </w:rPr>
              <w:t xml:space="preserve"> is clearly saying as partial cancellation triggered by dynamic SFI or dynamically assigned PDSCH/CSI-RS. This CR is different situation. To agree this CR, new agreement is needed, which would be NBC.</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19" w:history="1">
        <w:r>
          <w:rPr>
            <w:rStyle w:val="af4"/>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af9"/>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77777777"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7F148F33" w:rsidR="001A20E9" w:rsidRDefault="00CB2595" w:rsidP="00EF1A84">
            <w:pPr>
              <w:jc w:val="both"/>
              <w:rPr>
                <w:rFonts w:eastAsia="ＭＳ 明朝"/>
                <w:sz w:val="20"/>
                <w:szCs w:val="21"/>
                <w:lang w:val="en" w:eastAsia="ja-JP"/>
              </w:rPr>
            </w:pPr>
            <w:r>
              <w:rPr>
                <w:rFonts w:eastAsia="ＭＳ 明朝"/>
                <w:sz w:val="20"/>
                <w:szCs w:val="21"/>
                <w:lang w:val="en" w:eastAsia="ja-JP"/>
              </w:rPr>
              <w:t>OPPO</w:t>
            </w:r>
            <w:r w:rsidR="008F568C">
              <w:rPr>
                <w:rFonts w:eastAsia="ＭＳ 明朝"/>
                <w:sz w:val="20"/>
                <w:szCs w:val="21"/>
                <w:lang w:val="en" w:eastAsia="ja-JP"/>
              </w:rPr>
              <w:t>, NTT DOCOMO</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0" w:history="1">
        <w:r>
          <w:rPr>
            <w:rStyle w:val="af4"/>
            <w:b/>
            <w:bCs/>
            <w:sz w:val="20"/>
            <w:szCs w:val="21"/>
            <w:lang w:val="en-GB"/>
          </w:rPr>
          <w:t>R1-2105078</w:t>
        </w:r>
      </w:hyperlink>
      <w:r>
        <w:rPr>
          <w:b/>
          <w:bCs/>
          <w:sz w:val="20"/>
          <w:szCs w:val="21"/>
          <w:lang w:val="en-GB"/>
        </w:rPr>
        <w:t xml:space="preserve"> (Rel-16), </w:t>
      </w:r>
      <w:r>
        <w:rPr>
          <w:b/>
          <w:bCs/>
          <w:sz w:val="20"/>
          <w:szCs w:val="21"/>
        </w:rPr>
        <w:t>if any.</w:t>
      </w:r>
    </w:p>
    <w:tbl>
      <w:tblPr>
        <w:tblStyle w:val="af9"/>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lastRenderedPageBreak/>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ＭＳ 明朝" w:hint="eastAsia"/>
                <w:sz w:val="20"/>
                <w:szCs w:val="21"/>
                <w:lang w:val="en" w:eastAsia="ja-JP"/>
              </w:rPr>
            </w:pPr>
            <w:r>
              <w:rPr>
                <w:rFonts w:eastAsia="ＭＳ 明朝" w:hint="eastAsia"/>
                <w:sz w:val="20"/>
                <w:szCs w:val="21"/>
                <w:lang w:val="en" w:eastAsia="ja-JP"/>
              </w:rPr>
              <w:t>N</w:t>
            </w:r>
            <w:r>
              <w:rPr>
                <w:rFonts w:eastAsia="ＭＳ 明朝"/>
                <w:sz w:val="20"/>
                <w:szCs w:val="21"/>
                <w:lang w:val="en" w:eastAsia="ja-JP"/>
              </w:rPr>
              <w:t>TT DOCOMO</w:t>
            </w:r>
          </w:p>
        </w:tc>
        <w:tc>
          <w:tcPr>
            <w:tcW w:w="8374" w:type="dxa"/>
          </w:tcPr>
          <w:p w14:paraId="1B7A3B75" w14:textId="366135CB" w:rsidR="008936C3" w:rsidRDefault="008936C3" w:rsidP="001B74B2">
            <w:pPr>
              <w:rPr>
                <w:rFonts w:eastAsia="ＭＳ 明朝"/>
                <w:sz w:val="20"/>
                <w:szCs w:val="21"/>
                <w:lang w:val="en" w:eastAsia="ja-JP"/>
              </w:rPr>
            </w:pPr>
            <w:r>
              <w:rPr>
                <w:rFonts w:eastAsia="ＭＳ 明朝"/>
                <w:sz w:val="20"/>
                <w:szCs w:val="21"/>
                <w:lang w:val="en" w:eastAsia="ja-JP"/>
              </w:rPr>
              <w:t xml:space="preserve">The introduced UE capability ‘partialCancellationPUCCH-PUSCH-PRACH-TX-r16’ is </w:t>
            </w:r>
            <w:r w:rsidR="00D5678C">
              <w:rPr>
                <w:rFonts w:eastAsia="ＭＳ 明朝"/>
                <w:sz w:val="20"/>
                <w:szCs w:val="21"/>
                <w:lang w:val="en" w:eastAsia="ja-JP"/>
              </w:rPr>
              <w:t>described as follows in 306. This CR i</w:t>
            </w:r>
            <w:r w:rsidR="00D5678C">
              <w:rPr>
                <w:rFonts w:eastAsia="ＭＳ 明朝"/>
                <w:sz w:val="20"/>
                <w:szCs w:val="21"/>
                <w:lang w:val="en" w:eastAsia="ja-JP"/>
              </w:rPr>
              <w:t>s different situation.</w:t>
            </w:r>
          </w:p>
          <w:p w14:paraId="4A597BCC" w14:textId="77777777" w:rsidR="00CB76AA" w:rsidRDefault="00CB76AA" w:rsidP="001B74B2">
            <w:pPr>
              <w:rPr>
                <w:rFonts w:eastAsia="ＭＳ 明朝"/>
                <w:sz w:val="20"/>
                <w:szCs w:val="21"/>
                <w:lang w:val="en" w:eastAsia="ja-JP"/>
              </w:rPr>
            </w:pPr>
          </w:p>
          <w:p w14:paraId="251113E7" w14:textId="77777777" w:rsidR="00D5678C" w:rsidRPr="00D5678C" w:rsidRDefault="00D5678C" w:rsidP="00D5678C">
            <w:pPr>
              <w:rPr>
                <w:rFonts w:eastAsia="ＭＳ 明朝"/>
                <w:b/>
                <w:bCs/>
                <w:i/>
                <w:iCs/>
                <w:sz w:val="20"/>
                <w:szCs w:val="21"/>
                <w:lang w:val="en" w:eastAsia="ja-JP"/>
              </w:rPr>
            </w:pPr>
            <w:r w:rsidRPr="00D5678C">
              <w:rPr>
                <w:rFonts w:eastAsia="ＭＳ 明朝"/>
                <w:b/>
                <w:bCs/>
                <w:i/>
                <w:iCs/>
                <w:sz w:val="20"/>
                <w:szCs w:val="21"/>
                <w:lang w:val="en" w:eastAsia="ja-JP"/>
              </w:rPr>
              <w:t>partialCancellationPUCCH-PUSCH-PRACH-TX-r16</w:t>
            </w:r>
          </w:p>
          <w:p w14:paraId="527D65D3" w14:textId="77777777" w:rsidR="00D5678C" w:rsidRDefault="00D5678C" w:rsidP="00D5678C">
            <w:pPr>
              <w:rPr>
                <w:rFonts w:eastAsia="ＭＳ 明朝"/>
                <w:sz w:val="20"/>
                <w:szCs w:val="21"/>
                <w:lang w:val="en" w:eastAsia="ja-JP"/>
              </w:rPr>
            </w:pPr>
            <w:r w:rsidRPr="00D5678C">
              <w:rPr>
                <w:rFonts w:eastAsia="ＭＳ 明朝"/>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afb"/>
              <w:numPr>
                <w:ilvl w:val="0"/>
                <w:numId w:val="8"/>
              </w:numPr>
              <w:rPr>
                <w:rFonts w:eastAsia="ＭＳ 明朝"/>
                <w:szCs w:val="21"/>
                <w:lang w:val="en" w:eastAsia="ja-JP"/>
              </w:rPr>
            </w:pPr>
            <w:r w:rsidRPr="00D5678C">
              <w:rPr>
                <w:rFonts w:eastAsia="ＭＳ 明朝"/>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afb"/>
              <w:numPr>
                <w:ilvl w:val="0"/>
                <w:numId w:val="8"/>
              </w:numPr>
              <w:rPr>
                <w:rFonts w:eastAsia="ＭＳ 明朝" w:hint="eastAsia"/>
                <w:szCs w:val="21"/>
                <w:lang w:val="en" w:eastAsia="ja-JP"/>
              </w:rPr>
            </w:pPr>
            <w:r w:rsidRPr="00D5678C">
              <w:rPr>
                <w:rFonts w:eastAsia="ＭＳ 明朝"/>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77777777" w:rsidR="008936C3" w:rsidRPr="008936C3" w:rsidRDefault="008936C3">
            <w:pPr>
              <w:jc w:val="both"/>
              <w:rPr>
                <w:rFonts w:eastAsia="Malgun Gothic" w:hint="eastAsia"/>
                <w:sz w:val="20"/>
                <w:szCs w:val="21"/>
                <w:lang w:eastAsia="ko-KR"/>
              </w:rPr>
            </w:pPr>
          </w:p>
        </w:tc>
        <w:tc>
          <w:tcPr>
            <w:tcW w:w="8374" w:type="dxa"/>
          </w:tcPr>
          <w:p w14:paraId="75973DD0" w14:textId="77777777" w:rsidR="008936C3" w:rsidRDefault="008936C3">
            <w:pPr>
              <w:rPr>
                <w:rFonts w:eastAsia="Malgun Gothic"/>
                <w:sz w:val="20"/>
                <w:szCs w:val="21"/>
                <w:lang w:val="en" w:eastAsia="ko-KR"/>
              </w:rPr>
            </w:pP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18C90356" w14:textId="77777777" w:rsidR="001A20E9" w:rsidRDefault="001A20E9">
      <w:pPr>
        <w:jc w:val="both"/>
        <w:rPr>
          <w:sz w:val="22"/>
        </w:rPr>
      </w:pPr>
    </w:p>
    <w:p w14:paraId="7291C312" w14:textId="77777777" w:rsidR="001A20E9" w:rsidRDefault="001A20E9">
      <w:pPr>
        <w:jc w:val="both"/>
        <w:rPr>
          <w:sz w:val="20"/>
          <w:szCs w:val="21"/>
        </w:rPr>
      </w:pPr>
    </w:p>
    <w:p w14:paraId="5CF578A8" w14:textId="77777777" w:rsidR="001A20E9" w:rsidRDefault="001A20E9">
      <w:pPr>
        <w:jc w:val="both"/>
        <w:rPr>
          <w:sz w:val="20"/>
          <w:szCs w:val="21"/>
        </w:rPr>
      </w:pPr>
    </w:p>
    <w:p w14:paraId="5022AD41" w14:textId="77777777" w:rsidR="001A20E9" w:rsidRDefault="00CB2595">
      <w:pPr>
        <w:pStyle w:val="1"/>
        <w:rPr>
          <w:lang w:val="en-US"/>
        </w:rPr>
      </w:pPr>
      <w:bookmarkStart w:id="1" w:name="_Toc415085486"/>
      <w:bookmarkStart w:id="2" w:name="_Toc503902285"/>
      <w:r>
        <w:rPr>
          <w:lang w:val="en-US"/>
        </w:rPr>
        <w:t>4</w:t>
      </w:r>
      <w:r>
        <w:rPr>
          <w:lang w:val="en-US"/>
        </w:rPr>
        <w:tab/>
        <w:t>Outcome of the Email Discussion</w:t>
      </w:r>
    </w:p>
    <w:p w14:paraId="5D5D89DA" w14:textId="77777777" w:rsidR="001A20E9" w:rsidRDefault="001A20E9">
      <w:pPr>
        <w:rPr>
          <w:sz w:val="22"/>
        </w:rPr>
      </w:pPr>
    </w:p>
    <w:bookmarkEnd w:id="1"/>
    <w:bookmarkEnd w:id="2"/>
    <w:p w14:paraId="687E57F8" w14:textId="77777777" w:rsidR="001A20E9" w:rsidRDefault="00CB2595">
      <w:pPr>
        <w:pStyle w:val="1"/>
        <w:rPr>
          <w:lang w:val="en-US"/>
        </w:rPr>
      </w:pPr>
      <w:r>
        <w:rPr>
          <w:lang w:val="en-US"/>
        </w:rPr>
        <w:t>References</w:t>
      </w:r>
    </w:p>
    <w:p w14:paraId="5201B4E3" w14:textId="77777777" w:rsidR="001A20E9" w:rsidRDefault="001A20E9"/>
    <w:sectPr w:rsidR="001A20E9">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436" w14:textId="77777777" w:rsidR="00C90626" w:rsidRDefault="00C90626">
      <w:r>
        <w:separator/>
      </w:r>
    </w:p>
  </w:endnote>
  <w:endnote w:type="continuationSeparator" w:id="0">
    <w:p w14:paraId="7A66F244" w14:textId="77777777" w:rsidR="00C90626" w:rsidRDefault="00C9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3500B2F0" w14:textId="77777777" w:rsidR="001A20E9" w:rsidRDefault="00CB2595">
        <w:pPr>
          <w:pStyle w:val="af"/>
        </w:pPr>
        <w:r>
          <w:fldChar w:fldCharType="begin"/>
        </w:r>
        <w:r>
          <w:instrText>PAGE   \* MERGEFORMAT</w:instrText>
        </w:r>
        <w:r>
          <w:fldChar w:fldCharType="separate"/>
        </w:r>
        <w:r w:rsidR="00072183" w:rsidRPr="00072183">
          <w:rPr>
            <w:noProof/>
            <w:lang w:val="zh-CN" w:eastAsia="zh-CN"/>
          </w:rPr>
          <w:t>3</w:t>
        </w:r>
        <w:r>
          <w:fldChar w:fldCharType="end"/>
        </w:r>
      </w:p>
    </w:sdtContent>
  </w:sdt>
  <w:p w14:paraId="76DD70E8" w14:textId="77777777" w:rsidR="001A20E9" w:rsidRDefault="001A20E9">
    <w:pPr>
      <w:pStyle w:val="af"/>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115C" w14:textId="77777777" w:rsidR="00C90626" w:rsidRDefault="00C90626">
      <w:r>
        <w:separator/>
      </w:r>
    </w:p>
  </w:footnote>
  <w:footnote w:type="continuationSeparator" w:id="0">
    <w:p w14:paraId="48A55F7C" w14:textId="77777777" w:rsidR="00C90626" w:rsidRDefault="00C9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DEAB" w14:textId="77777777" w:rsidR="001A20E9" w:rsidRDefault="00CB2595">
    <w:pPr>
      <w:pStyle w:val="af0"/>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60263F7"/>
    <w:multiLevelType w:val="hybridMultilevel"/>
    <w:tmpl w:val="9C8645D2"/>
    <w:lvl w:ilvl="0" w:tplc="B3508C8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15:docId w15:val="{291ECE1E-0E30-4A8E-B1BB-F5C79F25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SimSun" w:hAnsi="Tahoma" w:cs="Tahoma"/>
      <w:sz w:val="16"/>
      <w:szCs w:val="16"/>
      <w:lang w:val="en-GB" w:eastAsia="en-US"/>
    </w:rPr>
  </w:style>
  <w:style w:type="paragraph" w:styleId="a4">
    <w:name w:val="Body Text"/>
    <w:basedOn w:val="a"/>
    <w:link w:val="a5"/>
    <w:unhideWhenUsed/>
    <w:qFormat/>
    <w:pPr>
      <w:spacing w:after="120" w:line="256" w:lineRule="auto"/>
      <w:jc w:val="both"/>
    </w:pPr>
    <w:rPr>
      <w:rFonts w:ascii="Arial" w:hAnsi="Arial"/>
      <w:sz w:val="22"/>
      <w:szCs w:val="22"/>
    </w:rPr>
  </w:style>
  <w:style w:type="paragraph" w:styleId="a6">
    <w:name w:val="caption"/>
    <w:basedOn w:val="a"/>
    <w:next w:val="a"/>
    <w:link w:val="a7"/>
    <w:unhideWhenUsed/>
    <w:qFormat/>
    <w:pPr>
      <w:spacing w:before="120" w:after="120" w:line="256" w:lineRule="auto"/>
    </w:pPr>
    <w:rPr>
      <w:b/>
      <w:sz w:val="22"/>
      <w:szCs w:val="22"/>
      <w:lang w:eastAsia="fr-FR"/>
    </w:rPr>
  </w:style>
  <w:style w:type="character" w:styleId="a8">
    <w:name w:val="annotation reference"/>
    <w:semiHidden/>
    <w:qFormat/>
    <w:rPr>
      <w:sz w:val="16"/>
    </w:rPr>
  </w:style>
  <w:style w:type="paragraph" w:styleId="a9">
    <w:name w:val="annotation text"/>
    <w:basedOn w:val="a"/>
    <w:link w:val="aa"/>
    <w:uiPriority w:val="99"/>
    <w:qFormat/>
    <w:pPr>
      <w:spacing w:after="180"/>
    </w:pPr>
    <w:rPr>
      <w:rFonts w:eastAsia="SimSun"/>
      <w:sz w:val="20"/>
      <w:szCs w:val="20"/>
      <w:lang w:val="en-GB" w:eastAsia="en-US"/>
    </w:rPr>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Emphasis"/>
    <w:basedOn w:val="a0"/>
    <w:uiPriority w:val="20"/>
    <w:qFormat/>
    <w:rPr>
      <w:i/>
      <w:iCs/>
    </w:rPr>
  </w:style>
  <w:style w:type="character" w:styleId="ae">
    <w:name w:val="FollowedHyperlink"/>
    <w:qFormat/>
    <w:rPr>
      <w:color w:val="800080"/>
      <w:u w:val="single"/>
    </w:rPr>
  </w:style>
  <w:style w:type="paragraph" w:styleId="af">
    <w:name w:val="footer"/>
    <w:basedOn w:val="af0"/>
    <w:link w:val="af1"/>
    <w:uiPriority w:val="99"/>
    <w:qFormat/>
    <w:pPr>
      <w:jc w:val="center"/>
    </w:pPr>
    <w:rPr>
      <w:i/>
    </w:rPr>
  </w:style>
  <w:style w:type="paragraph" w:styleId="af0">
    <w:name w:val="header"/>
    <w:qFormat/>
    <w:pPr>
      <w:widowControl w:val="0"/>
    </w:pPr>
    <w:rPr>
      <w:rFonts w:ascii="Arial" w:eastAsia="SimSun" w:hAnsi="Arial"/>
      <w:b/>
      <w:sz w:val="18"/>
      <w:lang w:val="en-GB" w:eastAsia="en-US"/>
    </w:rPr>
  </w:style>
  <w:style w:type="character" w:styleId="af2">
    <w:name w:val="footnote reference"/>
    <w:semiHidden/>
    <w:qFormat/>
    <w:rPr>
      <w:b/>
      <w:position w:val="6"/>
      <w:sz w:val="16"/>
    </w:rPr>
  </w:style>
  <w:style w:type="paragraph" w:styleId="af3">
    <w:name w:val="footnote text"/>
    <w:basedOn w:val="a"/>
    <w:semiHidden/>
    <w:qFormat/>
    <w:pPr>
      <w:keepLines/>
      <w:ind w:left="454" w:hanging="454"/>
    </w:pPr>
    <w:rPr>
      <w:rFonts w:eastAsia="SimSun"/>
      <w:sz w:val="16"/>
      <w:szCs w:val="20"/>
      <w:lang w:val="en-GB" w:eastAsia="en-US"/>
    </w:rPr>
  </w:style>
  <w:style w:type="character" w:styleId="af4">
    <w:name w:val="Hyperlink"/>
    <w:uiPriority w:val="99"/>
    <w:qFormat/>
    <w:rPr>
      <w:color w:val="0000FF"/>
      <w:u w:val="single"/>
    </w:rPr>
  </w:style>
  <w:style w:type="paragraph" w:styleId="10">
    <w:name w:val="index 1"/>
    <w:basedOn w:val="a"/>
    <w:next w:val="a"/>
    <w:semiHidden/>
    <w:qFormat/>
    <w:pPr>
      <w:keepLines/>
    </w:pPr>
    <w:rPr>
      <w:rFonts w:eastAsia="SimSun"/>
      <w:sz w:val="20"/>
      <w:szCs w:val="20"/>
      <w:lang w:val="en-GB" w:eastAsia="en-US"/>
    </w:rPr>
  </w:style>
  <w:style w:type="paragraph" w:styleId="20">
    <w:name w:val="index 2"/>
    <w:basedOn w:val="10"/>
    <w:next w:val="a"/>
    <w:semiHidden/>
    <w:qFormat/>
    <w:pPr>
      <w:ind w:left="284"/>
    </w:pPr>
  </w:style>
  <w:style w:type="paragraph" w:styleId="af5">
    <w:name w:val="List"/>
    <w:basedOn w:val="a"/>
    <w:qFormat/>
    <w:pPr>
      <w:spacing w:after="180"/>
      <w:ind w:left="568" w:hanging="284"/>
    </w:pPr>
    <w:rPr>
      <w:rFonts w:eastAsia="SimSun"/>
      <w:sz w:val="20"/>
      <w:szCs w:val="20"/>
      <w:lang w:val="en-GB" w:eastAsia="en-US"/>
    </w:rPr>
  </w:style>
  <w:style w:type="paragraph" w:styleId="21">
    <w:name w:val="List 2"/>
    <w:basedOn w:val="af5"/>
    <w:qFormat/>
    <w:pPr>
      <w:ind w:left="851"/>
    </w:pPr>
  </w:style>
  <w:style w:type="paragraph" w:styleId="30">
    <w:name w:val="List 3"/>
    <w:basedOn w:val="21"/>
    <w:qFormat/>
    <w:pPr>
      <w:ind w:left="1135"/>
    </w:pPr>
  </w:style>
  <w:style w:type="paragraph" w:styleId="41">
    <w:name w:val="List 4"/>
    <w:basedOn w:val="30"/>
    <w:qFormat/>
    <w:pPr>
      <w:ind w:left="1418"/>
    </w:pPr>
  </w:style>
  <w:style w:type="paragraph" w:styleId="50">
    <w:name w:val="List 5"/>
    <w:basedOn w:val="41"/>
    <w:qFormat/>
    <w:pPr>
      <w:ind w:left="1702"/>
    </w:pPr>
  </w:style>
  <w:style w:type="paragraph" w:styleId="af6">
    <w:name w:val="List Bullet"/>
    <w:basedOn w:val="af5"/>
    <w:qFormat/>
  </w:style>
  <w:style w:type="paragraph" w:styleId="22">
    <w:name w:val="List Bullet 2"/>
    <w:basedOn w:val="af6"/>
    <w:qFormat/>
    <w:pPr>
      <w:ind w:left="851"/>
    </w:pPr>
  </w:style>
  <w:style w:type="paragraph" w:styleId="31">
    <w:name w:val="List Bullet 3"/>
    <w:basedOn w:val="22"/>
    <w:qFormat/>
    <w:pPr>
      <w:ind w:left="1135"/>
    </w:pPr>
  </w:style>
  <w:style w:type="paragraph" w:styleId="42">
    <w:name w:val="List Bullet 4"/>
    <w:basedOn w:val="31"/>
    <w:qFormat/>
    <w:pPr>
      <w:ind w:left="1418"/>
    </w:pPr>
  </w:style>
  <w:style w:type="paragraph" w:styleId="51">
    <w:name w:val="List Bullet 5"/>
    <w:basedOn w:val="42"/>
    <w:qFormat/>
    <w:pPr>
      <w:ind w:left="1702"/>
    </w:pPr>
  </w:style>
  <w:style w:type="paragraph" w:styleId="af7">
    <w:name w:val="List Number"/>
    <w:basedOn w:val="af5"/>
    <w:qFormat/>
  </w:style>
  <w:style w:type="paragraph" w:styleId="23">
    <w:name w:val="List Number 2"/>
    <w:basedOn w:val="af7"/>
    <w:qFormat/>
    <w:pPr>
      <w:ind w:left="851"/>
    </w:pPr>
  </w:style>
  <w:style w:type="paragraph" w:styleId="Web">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8">
    <w:name w:val="Strong"/>
    <w:basedOn w:val="a0"/>
    <w:uiPriority w:val="22"/>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3">
    <w:name w:val="toc 4"/>
    <w:basedOn w:val="32"/>
    <w:next w:val="a"/>
    <w:semiHidden/>
    <w:qFormat/>
    <w:pPr>
      <w:ind w:left="1418" w:hanging="1418"/>
    </w:pPr>
  </w:style>
  <w:style w:type="paragraph" w:styleId="52">
    <w:name w:val="toc 5"/>
    <w:basedOn w:val="43"/>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f5"/>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b">
    <w:name w:val="List Paragraph"/>
    <w:basedOn w:val="a"/>
    <w:link w:val="afc"/>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図表番号 (文字)"/>
    <w:link w:val="a6"/>
    <w:uiPriority w:val="35"/>
    <w:qFormat/>
    <w:locked/>
    <w:rPr>
      <w:rFonts w:asciiTheme="minorHAnsi" w:eastAsiaTheme="minorEastAsia" w:hAnsiTheme="minorHAnsi" w:cstheme="minorBidi"/>
      <w:b/>
      <w:sz w:val="22"/>
      <w:szCs w:val="22"/>
      <w:lang w:val="en-US"/>
    </w:rPr>
  </w:style>
  <w:style w:type="character" w:customStyle="1" w:styleId="a5">
    <w:name w:val="本文 (文字)"/>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afc">
    <w:name w:val="リスト段落 (文字)"/>
    <w:link w:val="afb"/>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ＭＳ 明朝" w:hAnsi="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 w:val="20"/>
      <w:lang w:val="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af1">
    <w:name w:val="フッター (文字)"/>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fontTable" Target="fontTable.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1097</Words>
  <Characters>6258</Characters>
  <Application>Microsoft Office Word</Application>
  <DocSecurity>0</DocSecurity>
  <Lines>52</Lines>
  <Paragraphs>14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Shohei Yoshioka</cp:lastModifiedBy>
  <cp:revision>8</cp:revision>
  <cp:lastPrinted>1900-12-31T16:00:00Z</cp:lastPrinted>
  <dcterms:created xsi:type="dcterms:W3CDTF">2021-05-20T07:30:00Z</dcterms:created>
  <dcterms:modified xsi:type="dcterms:W3CDTF">2021-05-20T09:08:00Z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