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12580C"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12580C"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12580C"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12580C"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12580C"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12580C"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12580C"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12580C"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12580C"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12580C"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12580C"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12580C"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12580C"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12580C"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12580C"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12580C"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12580C"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12580C"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12580C"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A06B48" w:rsidRPr="008C1D01" w:rsidRDefault="00A06B48"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06B48" w:rsidRPr="008C1D01" w:rsidRDefault="00A06B48"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06B48" w:rsidRPr="008C1D01" w:rsidRDefault="00A06B48"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06B48" w:rsidRPr="008C1D01" w:rsidRDefault="00A06B48"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A06B48" w:rsidRPr="008C1D01" w:rsidRDefault="00A06B48"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06B48" w:rsidRPr="008C1D01" w:rsidRDefault="00A06B48" w:rsidP="00030242">
                      <w:pPr>
                        <w:overflowPunct w:val="0"/>
                        <w:spacing w:after="0"/>
                        <w:rPr>
                          <w:sz w:val="20"/>
                          <w:szCs w:val="20"/>
                        </w:rPr>
                      </w:pPr>
                      <w:r w:rsidRPr="008C1D01">
                        <w:rPr>
                          <w:sz w:val="20"/>
                          <w:szCs w:val="20"/>
                        </w:rPr>
                        <w:t xml:space="preserve">RAN1 discussed TA validation based on RSRP change </w:t>
                      </w:r>
                      <w:proofErr w:type="gramStart"/>
                      <w:r w:rsidRPr="008C1D01">
                        <w:rPr>
                          <w:sz w:val="20"/>
                          <w:szCs w:val="20"/>
                        </w:rPr>
                        <w:t>criterion, and</w:t>
                      </w:r>
                      <w:proofErr w:type="gramEnd"/>
                      <w:r w:rsidRPr="008C1D01">
                        <w:rPr>
                          <w:sz w:val="20"/>
                          <w:szCs w:val="20"/>
                        </w:rPr>
                        <w:t xml:space="preserve">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06B48" w:rsidRPr="008C1D01" w:rsidRDefault="00A06B48"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06B48" w:rsidRPr="008C1D01" w:rsidRDefault="00A06B48"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i.e. explicitly configured by </w:t>
            </w:r>
            <w:proofErr w:type="spellStart"/>
            <w:r>
              <w:rPr>
                <w:lang w:eastAsia="zh-CN"/>
              </w:rPr>
              <w:t>gNB</w:t>
            </w:r>
            <w:proofErr w:type="spellEnd"/>
            <w:r>
              <w:rPr>
                <w:lang w:eastAsia="zh-CN"/>
              </w:rPr>
              <w:t>.</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proofErr w:type="spellStart"/>
            <w:r>
              <w:rPr>
                <w:lang w:eastAsia="zh-CN"/>
              </w:rPr>
              <w:t>gNB</w:t>
            </w:r>
            <w:proofErr w:type="spellEnd"/>
            <w:r>
              <w:rPr>
                <w:lang w:eastAsia="zh-CN"/>
              </w:rPr>
              <w:t xml:space="preserve">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 xml:space="preserve">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543C5F1E"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2B849FF3"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w:t>
            </w:r>
            <w:proofErr w:type="spellStart"/>
            <w:r>
              <w:rPr>
                <w:lang w:eastAsia="zh-CN"/>
              </w:rPr>
              <w:t>gNB</w:t>
            </w:r>
            <w:proofErr w:type="spellEnd"/>
            <w:r>
              <w:rPr>
                <w:lang w:eastAsia="zh-CN"/>
              </w:rPr>
              <w:t xml:space="preserve">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 xml:space="preserve">set should remain constant. The easiest solution we saw for this was to configure SSB sets to the UE, as the </w:t>
            </w:r>
            <w:proofErr w:type="spellStart"/>
            <w:r>
              <w:rPr>
                <w:lang w:eastAsia="zh-CN"/>
              </w:rPr>
              <w:t>gNB</w:t>
            </w:r>
            <w:proofErr w:type="spellEnd"/>
            <w:r>
              <w:rPr>
                <w:lang w:eastAsia="zh-CN"/>
              </w:rPr>
              <w:t xml:space="preserve">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0869F27C" w:rsidR="00371831" w:rsidRPr="00B160C5" w:rsidRDefault="00371831" w:rsidP="00A06B48">
            <w:pPr>
              <w:rPr>
                <w:lang w:eastAsia="zh-CN"/>
              </w:rPr>
            </w:pPr>
          </w:p>
        </w:tc>
        <w:tc>
          <w:tcPr>
            <w:tcW w:w="7611" w:type="dxa"/>
          </w:tcPr>
          <w:p w14:paraId="25D72EF1" w14:textId="677180E0" w:rsidR="00371831" w:rsidRPr="00B160C5" w:rsidRDefault="00371831" w:rsidP="00A06B48">
            <w:pPr>
              <w:rPr>
                <w:lang w:eastAsia="zh-CN"/>
              </w:rPr>
            </w:pPr>
          </w:p>
        </w:tc>
      </w:tr>
      <w:tr w:rsidR="00371831" w14:paraId="4338AD6E" w14:textId="77777777" w:rsidTr="00A06B48">
        <w:tc>
          <w:tcPr>
            <w:tcW w:w="1696" w:type="dxa"/>
          </w:tcPr>
          <w:p w14:paraId="2017C4F3" w14:textId="7D5CF573" w:rsidR="00371831" w:rsidRDefault="00371831" w:rsidP="00A06B48">
            <w:pPr>
              <w:rPr>
                <w:lang w:eastAsia="zh-CN"/>
              </w:rPr>
            </w:pPr>
          </w:p>
        </w:tc>
        <w:tc>
          <w:tcPr>
            <w:tcW w:w="7611" w:type="dxa"/>
          </w:tcPr>
          <w:p w14:paraId="4AEB62C3" w14:textId="6388421B" w:rsidR="00371831" w:rsidRDefault="00371831" w:rsidP="00A06B48">
            <w:pPr>
              <w:rPr>
                <w:lang w:eastAsia="zh-CN"/>
              </w:rPr>
            </w:pP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lastRenderedPageBreak/>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A06B48" w:rsidRDefault="00A06B48" w:rsidP="00EA056F">
                            <w:pPr>
                              <w:spacing w:after="0"/>
                              <w:rPr>
                                <w:highlight w:val="green"/>
                              </w:rPr>
                            </w:pPr>
                            <w:r>
                              <w:rPr>
                                <w:highlight w:val="green"/>
                              </w:rPr>
                              <w:t>Agreement:</w:t>
                            </w:r>
                          </w:p>
                          <w:p w14:paraId="427AFBFA" w14:textId="77777777" w:rsidR="00A06B48" w:rsidRDefault="00A06B48"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06B48" w:rsidRDefault="00A06B48"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06B48" w:rsidRDefault="00A06B48"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06B48" w:rsidRDefault="00A06B48"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A06B48" w:rsidRDefault="00A06B48" w:rsidP="00EA056F">
                      <w:pPr>
                        <w:spacing w:after="0"/>
                        <w:rPr>
                          <w:highlight w:val="green"/>
                        </w:rPr>
                      </w:pPr>
                      <w:r>
                        <w:rPr>
                          <w:highlight w:val="green"/>
                        </w:rPr>
                        <w:t>Agreement:</w:t>
                      </w:r>
                    </w:p>
                    <w:p w14:paraId="427AFBFA" w14:textId="77777777" w:rsidR="00A06B48" w:rsidRDefault="00A06B48"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06B48" w:rsidRDefault="00A06B48"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06B48" w:rsidRDefault="00A06B48"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06B48" w:rsidRDefault="00A06B48"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lastRenderedPageBreak/>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w:t>
            </w:r>
            <w:r w:rsidR="00E96D3D" w:rsidRPr="00E96D3D">
              <w:rPr>
                <w:rFonts w:eastAsia="Malgun Gothic"/>
                <w:lang w:eastAsia="ko-KR"/>
              </w:rPr>
              <w:lastRenderedPageBreak/>
              <w:t>PUSCH.</w:t>
            </w:r>
            <w:r w:rsidR="00E96D3D">
              <w:rPr>
                <w:rFonts w:eastAsia="Malgun Gothic"/>
                <w:lang w:eastAsia="ko-KR"/>
              </w:rPr>
              <w:t xml:space="preserve"> In this case, </w:t>
            </w:r>
            <w:proofErr w:type="spellStart"/>
            <w:r w:rsidR="00E96D3D">
              <w:rPr>
                <w:rFonts w:eastAsia="Malgun Gothic"/>
                <w:lang w:eastAsia="ko-KR"/>
              </w:rPr>
              <w:t>signalling</w:t>
            </w:r>
            <w:proofErr w:type="spellEnd"/>
            <w:r w:rsidR="00E96D3D">
              <w:rPr>
                <w:rFonts w:eastAsia="Malgun Gothic"/>
                <w:lang w:eastAsia="ko-KR"/>
              </w:rPr>
              <w:t xml:space="preserve">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lastRenderedPageBreak/>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 xml:space="preserve">one PUSCH resource could </w:t>
            </w:r>
            <w:r>
              <w:rPr>
                <w:color w:val="000000"/>
                <w:sz w:val="20"/>
                <w:szCs w:val="20"/>
              </w:rPr>
              <w:lastRenderedPageBreak/>
              <w:t>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dmrs-SeqInitialization</w:t>
            </w:r>
            <w:proofErr w:type="spellEnd"/>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w:t>
            </w:r>
            <w:proofErr w:type="spellStart"/>
            <w:r>
              <w:rPr>
                <w:sz w:val="20"/>
                <w:szCs w:val="20"/>
              </w:rPr>
              <w:t>MsgA</w:t>
            </w:r>
            <w:proofErr w:type="spellEnd"/>
            <w:r>
              <w:rPr>
                <w:sz w:val="20"/>
                <w:szCs w:val="20"/>
              </w:rPr>
              <w:t xml:space="preserve"> association, as the RO periodicity is pre-defined in the spec, the </w:t>
            </w:r>
            <w:proofErr w:type="spellStart"/>
            <w:r>
              <w:rPr>
                <w:sz w:val="20"/>
                <w:szCs w:val="20"/>
              </w:rPr>
              <w:t>MsgA</w:t>
            </w:r>
            <w:proofErr w:type="spellEnd"/>
            <w:r>
              <w:rPr>
                <w:sz w:val="20"/>
                <w:szCs w:val="20"/>
              </w:rPr>
              <w:t xml:space="preserve"> PRB number is configured. Thus the </w:t>
            </w:r>
            <w:proofErr w:type="spellStart"/>
            <w:r>
              <w:rPr>
                <w:sz w:val="20"/>
                <w:szCs w:val="20"/>
              </w:rPr>
              <w:t>MsgA</w:t>
            </w:r>
            <w:proofErr w:type="spellEnd"/>
            <w:r>
              <w:rPr>
                <w:sz w:val="20"/>
                <w:szCs w:val="20"/>
              </w:rPr>
              <w:t xml:space="preserve">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lastRenderedPageBreak/>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p>
    <w:p w14:paraId="6D5F3916" w14:textId="7086E0C8" w:rsidR="00E51208" w:rsidRDefault="00E51208" w:rsidP="00D2799B">
      <w:pPr>
        <w:pStyle w:val="ListParagraph"/>
        <w:numPr>
          <w:ilvl w:val="2"/>
          <w:numId w:val="11"/>
        </w:numPr>
        <w:ind w:firstLineChars="0"/>
      </w:pPr>
      <w:r>
        <w:rPr>
          <w:lang w:eastAsia="zh-CN"/>
        </w:rPr>
        <w:t xml:space="preserve">Mapping ratio and association period could be </w:t>
      </w:r>
      <w:r w:rsidR="003E3267">
        <w:rPr>
          <w:lang w:eastAsia="zh-CN"/>
        </w:rPr>
        <w:t xml:space="preserve">either </w:t>
      </w:r>
      <w:r>
        <w:rPr>
          <w:lang w:eastAsia="zh-CN"/>
        </w:rPr>
        <w:t>explicitl</w:t>
      </w:r>
      <w:r w:rsidR="001D33C5">
        <w:rPr>
          <w:lang w:eastAsia="zh-CN"/>
        </w:rPr>
        <w:t>y signaled or implicitly derived</w:t>
      </w:r>
    </w:p>
    <w:p w14:paraId="016A532B" w14:textId="03E56B37" w:rsidR="001D33C5" w:rsidRDefault="001D33C5" w:rsidP="001D33C5">
      <w:pPr>
        <w:pStyle w:val="ListParagraph"/>
        <w:numPr>
          <w:ilvl w:val="3"/>
          <w:numId w:val="11"/>
        </w:numPr>
        <w:ind w:firstLineChars="0"/>
      </w:pPr>
      <w:r>
        <w:rPr>
          <w:lang w:eastAsia="zh-CN"/>
        </w:rPr>
        <w:t>FFS details</w:t>
      </w:r>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lastRenderedPageBreak/>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13442E1E" w:rsidR="00E91638" w:rsidRPr="00B160C5" w:rsidRDefault="00E91638" w:rsidP="00A06B48">
            <w:pPr>
              <w:rPr>
                <w:lang w:eastAsia="zh-CN"/>
              </w:rPr>
            </w:pPr>
          </w:p>
        </w:tc>
        <w:tc>
          <w:tcPr>
            <w:tcW w:w="7611" w:type="dxa"/>
          </w:tcPr>
          <w:p w14:paraId="28E9D08D" w14:textId="74DB11BB" w:rsidR="00E91638" w:rsidRPr="00B160C5" w:rsidRDefault="00E91638" w:rsidP="00A06B48">
            <w:pPr>
              <w:rPr>
                <w:lang w:eastAsia="zh-CN"/>
              </w:rPr>
            </w:pP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ListParagraph"/>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lastRenderedPageBreak/>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lastRenderedPageBreak/>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t>S</w:t>
            </w:r>
            <w:r>
              <w:rPr>
                <w:lang w:eastAsia="zh-CN"/>
              </w:rPr>
              <w:t>preadtrum</w:t>
            </w:r>
            <w:proofErr w:type="spellEnd"/>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w:t>
            </w:r>
            <w:r>
              <w:rPr>
                <w:lang w:eastAsia="zh-CN"/>
              </w:rPr>
              <w:lastRenderedPageBreak/>
              <w:t xml:space="preserve">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lastRenderedPageBreak/>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 xml:space="preserve">For Alt 1, mapping between SSBs and PUSCH transmission occasions should be known to </w:t>
            </w:r>
            <w:proofErr w:type="spellStart"/>
            <w:r>
              <w:rPr>
                <w:lang w:eastAsia="zh-CN"/>
              </w:rPr>
              <w:t>gNB</w:t>
            </w:r>
            <w:proofErr w:type="spellEnd"/>
            <w:r>
              <w:rPr>
                <w:lang w:eastAsia="zh-CN"/>
              </w:rPr>
              <w:t>, so that</w:t>
            </w:r>
            <w:r w:rsidRPr="009B004B">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7777777" w:rsidR="002C22F0" w:rsidRDefault="002C22F0" w:rsidP="00A06B48">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lastRenderedPageBreak/>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77777777" w:rsidR="0033665A" w:rsidRPr="00B160C5" w:rsidRDefault="0033665A" w:rsidP="00A06B48">
            <w:pPr>
              <w:rPr>
                <w:lang w:eastAsia="zh-CN"/>
              </w:rPr>
            </w:pPr>
          </w:p>
        </w:tc>
        <w:tc>
          <w:tcPr>
            <w:tcW w:w="7611" w:type="dxa"/>
          </w:tcPr>
          <w:p w14:paraId="31714CB8" w14:textId="77777777" w:rsidR="0033665A" w:rsidRPr="00B160C5" w:rsidRDefault="0033665A" w:rsidP="00A06B48">
            <w:pPr>
              <w:rPr>
                <w:lang w:eastAsia="zh-CN"/>
              </w:rPr>
            </w:pP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 xml:space="preserve">For 2.), 3.), it should be up to RAN2 discussion, no actions in RAN1 is needed at this </w:t>
            </w:r>
            <w:r>
              <w:lastRenderedPageBreak/>
              <w:t>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lastRenderedPageBreak/>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77777777" w:rsidR="007B5222" w:rsidRPr="00B160C5" w:rsidRDefault="007B5222" w:rsidP="00A06B48">
            <w:pPr>
              <w:rPr>
                <w:lang w:eastAsia="zh-CN"/>
              </w:rPr>
            </w:pPr>
          </w:p>
        </w:tc>
        <w:tc>
          <w:tcPr>
            <w:tcW w:w="7611" w:type="dxa"/>
          </w:tcPr>
          <w:p w14:paraId="4027BA61" w14:textId="77777777" w:rsidR="007B5222" w:rsidRPr="00B160C5" w:rsidRDefault="007B5222" w:rsidP="00A06B48">
            <w:pPr>
              <w:rPr>
                <w:lang w:eastAsia="zh-CN"/>
              </w:rPr>
            </w:pP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lastRenderedPageBreak/>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 xml:space="preserve">be reinterpreted as the number of </w:t>
            </w:r>
            <w:proofErr w:type="spellStart"/>
            <w:r w:rsidRPr="00303CAA">
              <w:rPr>
                <w:rFonts w:eastAsia="SimSun"/>
                <w:b/>
                <w:bCs/>
                <w:i/>
                <w:iCs/>
                <w:sz w:val="20"/>
                <w:lang w:eastAsia="zh-CN"/>
              </w:rPr>
              <w:t>TDMed</w:t>
            </w:r>
            <w:proofErr w:type="spellEnd"/>
            <w:r w:rsidRPr="00303CAA">
              <w:rPr>
                <w:rFonts w:eastAsia="SimSun"/>
                <w:b/>
                <w:bCs/>
                <w:i/>
                <w:iCs/>
                <w:sz w:val="20"/>
                <w:lang w:eastAsia="zh-CN"/>
              </w:rPr>
              <w:t xml:space="preserve"> occasions per CG period</w:t>
            </w:r>
          </w:p>
          <w:p w14:paraId="484AD0C7"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w:t>
            </w:r>
            <w:proofErr w:type="spellStart"/>
            <w:r w:rsidRPr="00327998">
              <w:rPr>
                <w:rFonts w:eastAsia="DengXian" w:hint="eastAsia"/>
                <w:b/>
                <w:i/>
                <w:sz w:val="20"/>
                <w:szCs w:val="20"/>
                <w:lang w:val="en-GB" w:eastAsia="zh-CN"/>
              </w:rPr>
              <w:t>Ngap</w:t>
            </w:r>
            <w:proofErr w:type="spellEnd"/>
            <w:r w:rsidRPr="00327998">
              <w:rPr>
                <w:rFonts w:eastAsia="DengXian"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t>gNB</w:t>
            </w:r>
            <w:proofErr w:type="spellEnd"/>
            <w:r w:rsidRPr="00327998">
              <w:rPr>
                <w:b/>
                <w:bCs/>
                <w:i/>
                <w:iCs/>
                <w:sz w:val="20"/>
              </w:rPr>
              <w:t>,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w:t>
            </w:r>
            <w:proofErr w:type="spellStart"/>
            <w:r w:rsidRPr="00CD230F">
              <w:rPr>
                <w:rFonts w:eastAsia="SimSun"/>
                <w:b/>
                <w:lang w:eastAsia="zh-CN"/>
              </w:rPr>
              <w:t>gNB</w:t>
            </w:r>
            <w:proofErr w:type="spellEnd"/>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A3CDC" w14:textId="77777777" w:rsidR="00A06B48" w:rsidRDefault="00A06B48" w:rsidP="005020B0">
      <w:pPr>
        <w:spacing w:after="0"/>
      </w:pPr>
      <w:r>
        <w:separator/>
      </w:r>
    </w:p>
  </w:endnote>
  <w:endnote w:type="continuationSeparator" w:id="0">
    <w:p w14:paraId="59AAAAD8" w14:textId="77777777" w:rsidR="00A06B48" w:rsidRDefault="00A06B48"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68276" w14:textId="77777777" w:rsidR="00A06B48" w:rsidRDefault="00A06B48" w:rsidP="005020B0">
      <w:pPr>
        <w:spacing w:after="0"/>
      </w:pPr>
      <w:r>
        <w:separator/>
      </w:r>
    </w:p>
  </w:footnote>
  <w:footnote w:type="continuationSeparator" w:id="0">
    <w:p w14:paraId="731F39B5" w14:textId="77777777" w:rsidR="00A06B48" w:rsidRDefault="00A06B48"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6"/>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5"/>
  </w:num>
  <w:num w:numId="10">
    <w:abstractNumId w:val="17"/>
  </w:num>
  <w:num w:numId="11">
    <w:abstractNumId w:val="1"/>
  </w:num>
  <w:num w:numId="12">
    <w:abstractNumId w:val="16"/>
  </w:num>
  <w:num w:numId="13">
    <w:abstractNumId w:val="33"/>
  </w:num>
  <w:num w:numId="14">
    <w:abstractNumId w:val="15"/>
  </w:num>
  <w:num w:numId="15">
    <w:abstractNumId w:val="4"/>
  </w:num>
  <w:num w:numId="16">
    <w:abstractNumId w:val="9"/>
  </w:num>
  <w:num w:numId="17">
    <w:abstractNumId w:val="24"/>
  </w:num>
  <w:num w:numId="18">
    <w:abstractNumId w:val="32"/>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8"/>
  </w:num>
  <w:num w:numId="27">
    <w:abstractNumId w:val="31"/>
  </w:num>
  <w:num w:numId="28">
    <w:abstractNumId w:val="11"/>
  </w:num>
  <w:num w:numId="29">
    <w:abstractNumId w:val="23"/>
  </w:num>
  <w:num w:numId="30">
    <w:abstractNumId w:val="29"/>
  </w:num>
  <w:num w:numId="31">
    <w:abstractNumId w:val="8"/>
  </w:num>
  <w:num w:numId="32">
    <w:abstractNumId w:val="27"/>
  </w:num>
  <w:num w:numId="33">
    <w:abstractNumId w:val="10"/>
  </w:num>
  <w:num w:numId="34">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styleId="UnresolvedMention">
    <w:name w:val="Unresolved Mention"/>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2C492-8163-432F-BAD6-718A63FF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7189</Words>
  <Characters>39147</Characters>
  <Application>Microsoft Office Word</Application>
  <DocSecurity>0</DocSecurity>
  <Lines>326</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Nokia</cp:lastModifiedBy>
  <cp:revision>2</cp:revision>
  <cp:lastPrinted>2007-06-18T05:08:00Z</cp:lastPrinted>
  <dcterms:created xsi:type="dcterms:W3CDTF">2021-05-21T18:58:00Z</dcterms:created>
  <dcterms:modified xsi:type="dcterms:W3CDTF">2021-05-21T18:58:00Z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