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361B7F">
      <w:pPr>
        <w:pStyle w:val="CRCoverPage"/>
        <w:tabs>
          <w:tab w:val="right" w:pos="9639"/>
          <w:tab w:val="right" w:pos="13323"/>
        </w:tabs>
        <w:spacing w:after="0"/>
        <w:rPr>
          <w:rFonts w:cs="Arial"/>
          <w:b/>
          <w:sz w:val="24"/>
          <w:szCs w:val="24"/>
        </w:rPr>
      </w:pPr>
      <w:r w:rsidRPr="00133CAF">
        <w:rPr>
          <w:rFonts w:cs="Arial"/>
          <w:b/>
          <w:sz w:val="24"/>
          <w:szCs w:val="24"/>
        </w:rPr>
        <w:t>3GPP TSG-RAN</w:t>
      </w:r>
      <w:r w:rsidRPr="000B67FE">
        <w:rPr>
          <w:rFonts w:cs="Arial"/>
          <w:b/>
          <w:sz w:val="24"/>
          <w:szCs w:val="24"/>
        </w:rPr>
        <w:t xml:space="preserve"> WG</w:t>
      </w:r>
      <w:r>
        <w:rPr>
          <w:rFonts w:cs="Arial"/>
          <w:b/>
          <w:sz w:val="24"/>
          <w:szCs w:val="24"/>
        </w:rPr>
        <w:t>1 e-Meeting #104</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627ADD">
        <w:rPr>
          <w:rFonts w:cs="Arial"/>
          <w:b/>
          <w:sz w:val="24"/>
          <w:szCs w:val="24"/>
        </w:rPr>
        <w:t>2101693</w:t>
      </w:r>
    </w:p>
    <w:p w:rsidR="00361B7F" w:rsidRPr="009146A1" w:rsidRDefault="00361B7F" w:rsidP="00361B7F">
      <w:pPr>
        <w:pStyle w:val="CRCoverPage"/>
        <w:tabs>
          <w:tab w:val="right" w:pos="9639"/>
        </w:tabs>
        <w:spacing w:after="0"/>
        <w:rPr>
          <w:rFonts w:cs="Arial"/>
          <w:b/>
          <w:sz w:val="24"/>
        </w:rPr>
      </w:pPr>
      <w:r>
        <w:rPr>
          <w:rFonts w:cs="Arial"/>
          <w:b/>
          <w:sz w:val="24"/>
        </w:rPr>
        <w:t>Jan</w:t>
      </w:r>
      <w:r w:rsidRPr="00A37E13">
        <w:rPr>
          <w:rFonts w:cs="Arial"/>
          <w:b/>
          <w:sz w:val="24"/>
        </w:rPr>
        <w:t xml:space="preserve"> </w:t>
      </w:r>
      <w:r>
        <w:rPr>
          <w:rFonts w:cs="Arial"/>
          <w:b/>
          <w:sz w:val="24"/>
        </w:rPr>
        <w:t>25</w:t>
      </w:r>
      <w:r w:rsidRPr="00615D5A">
        <w:rPr>
          <w:rFonts w:cs="Arial"/>
          <w:b/>
          <w:sz w:val="24"/>
          <w:vertAlign w:val="superscript"/>
        </w:rPr>
        <w:t>th</w:t>
      </w:r>
      <w:r>
        <w:rPr>
          <w:rFonts w:cs="Arial"/>
          <w:b/>
          <w:sz w:val="24"/>
        </w:rPr>
        <w:t xml:space="preserve"> – Feb 12</w:t>
      </w:r>
      <w:r w:rsidRPr="00A37E13">
        <w:rPr>
          <w:rFonts w:cs="Arial"/>
          <w:b/>
          <w:sz w:val="24"/>
          <w:vertAlign w:val="superscript"/>
        </w:rPr>
        <w:t>th</w:t>
      </w:r>
      <w:r w:rsidRPr="00A37E13">
        <w:rPr>
          <w:rFonts w:cs="Arial"/>
          <w:b/>
          <w:sz w:val="24"/>
        </w:rPr>
        <w:t>, 20</w:t>
      </w:r>
      <w:r>
        <w:rPr>
          <w:rFonts w:cs="Arial"/>
          <w:b/>
          <w:sz w:val="24"/>
        </w:rPr>
        <w:t>21</w:t>
      </w:r>
    </w:p>
    <w:p w:rsidR="00361B7F" w:rsidRPr="00A37E13" w:rsidRDefault="00361B7F" w:rsidP="00361B7F">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E563B0">
        <w:rPr>
          <w:rFonts w:cs="Arial"/>
          <w:b w:val="0"/>
          <w:sz w:val="24"/>
          <w:szCs w:val="24"/>
        </w:rPr>
        <w:t>Discussion on Beam Management</w:t>
      </w:r>
      <w:r>
        <w:rPr>
          <w:rFonts w:cs="Arial"/>
          <w:b w:val="0"/>
          <w:sz w:val="24"/>
          <w:szCs w:val="24"/>
        </w:rPr>
        <w:t xml:space="preserve"> for NTN</w:t>
      </w:r>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361B7F">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Pr>
          <w:rFonts w:cs="Arial"/>
          <w:b w:val="0"/>
          <w:sz w:val="24"/>
          <w:szCs w:val="24"/>
        </w:rPr>
        <w:t>8.4.4 Others</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berschrift1"/>
        <w:tabs>
          <w:tab w:val="clear" w:pos="432"/>
        </w:tabs>
        <w:textAlignment w:val="auto"/>
      </w:pPr>
      <w:r w:rsidRPr="006F083D">
        <w:t>Introduction</w:t>
      </w:r>
    </w:p>
    <w:p w:rsidR="00361B7F" w:rsidRDefault="00361B7F" w:rsidP="00361B7F">
      <w:pPr>
        <w:spacing w:after="0"/>
      </w:pPr>
      <w:r>
        <w:t xml:space="preserve">In RAN1#102-e and RAN1#103-e, the following agreement and FL recommendations were achieved regarding the agenda item (AI) 8.4.4, others. The summary of the achieved agreements </w:t>
      </w:r>
      <w:proofErr w:type="gramStart"/>
      <w:r>
        <w:t>is listed</w:t>
      </w:r>
      <w:proofErr w:type="gramEnd"/>
      <w:r>
        <w:t xml:space="preserve"> below:</w:t>
      </w:r>
    </w:p>
    <w:p w:rsidR="00361B7F" w:rsidRDefault="00361B7F" w:rsidP="00361B7F">
      <w:pPr>
        <w:spacing w:after="0"/>
      </w:pPr>
    </w:p>
    <w:p w:rsidR="00361B7F" w:rsidRPr="00615D5A" w:rsidRDefault="00361B7F" w:rsidP="00361B7F">
      <w:pPr>
        <w:spacing w:after="0"/>
      </w:pPr>
      <w:r w:rsidRPr="00382EB7">
        <w:rPr>
          <w:b/>
          <w:noProof/>
          <w:lang w:val="de-DE" w:eastAsia="de-DE"/>
        </w:rPr>
        <mc:AlternateContent>
          <mc:Choice Requires="wps">
            <w:drawing>
              <wp:inline distT="0" distB="0" distL="0" distR="0" wp14:anchorId="7858F049" wp14:editId="07072539">
                <wp:extent cx="5932627" cy="5463960"/>
                <wp:effectExtent l="0" t="0" r="11430"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5463960"/>
                        </a:xfrm>
                        <a:prstGeom prst="rect">
                          <a:avLst/>
                        </a:prstGeom>
                        <a:solidFill>
                          <a:srgbClr val="FFFFFF"/>
                        </a:solidFill>
                        <a:ln w="9525">
                          <a:solidFill>
                            <a:srgbClr val="000000"/>
                          </a:solidFill>
                          <a:miter lim="800000"/>
                          <a:headEnd/>
                          <a:tailEnd/>
                        </a:ln>
                      </wps:spPr>
                      <wps:txbx>
                        <w:txbxContent>
                          <w:p w:rsidR="008F5739" w:rsidRPr="00361B7F" w:rsidRDefault="008F5739" w:rsidP="00361B7F">
                            <w:pPr>
                              <w:rPr>
                                <w:b/>
                                <w:bCs/>
                                <w:sz w:val="22"/>
                                <w:szCs w:val="22"/>
                              </w:rPr>
                            </w:pPr>
                            <w:r w:rsidRPr="00361B7F">
                              <w:rPr>
                                <w:b/>
                                <w:bCs/>
                                <w:sz w:val="22"/>
                                <w:szCs w:val="22"/>
                              </w:rPr>
                              <w:t>RAN1#102-e:</w:t>
                            </w:r>
                          </w:p>
                          <w:p w:rsidR="008F5739" w:rsidRPr="00361B7F" w:rsidRDefault="008F5739" w:rsidP="00361B7F">
                            <w:pPr>
                              <w:rPr>
                                <w:sz w:val="22"/>
                                <w:szCs w:val="22"/>
                                <w:lang w:eastAsia="x-none"/>
                              </w:rPr>
                            </w:pPr>
                            <w:r w:rsidRPr="00361B7F">
                              <w:rPr>
                                <w:sz w:val="22"/>
                                <w:szCs w:val="22"/>
                                <w:highlight w:val="green"/>
                                <w:lang w:eastAsia="x-none"/>
                              </w:rPr>
                              <w:t>Agreement:</w:t>
                            </w:r>
                          </w:p>
                          <w:p w:rsidR="008F5739" w:rsidRPr="00361B7F" w:rsidRDefault="008F5739" w:rsidP="00361B7F">
                            <w:pPr>
                              <w:rPr>
                                <w:sz w:val="22"/>
                                <w:szCs w:val="22"/>
                                <w:lang w:eastAsia="x-none"/>
                              </w:rPr>
                            </w:pPr>
                            <w:r w:rsidRPr="00361B7F">
                              <w:rPr>
                                <w:sz w:val="22"/>
                                <w:szCs w:val="22"/>
                                <w:lang w:eastAsia="x-none"/>
                              </w:rPr>
                              <w:t xml:space="preserve">One-beam per cell and multiple-beam per cell </w:t>
                            </w:r>
                            <w:proofErr w:type="gramStart"/>
                            <w:r w:rsidRPr="00361B7F">
                              <w:rPr>
                                <w:sz w:val="22"/>
                                <w:szCs w:val="22"/>
                                <w:lang w:eastAsia="x-none"/>
                              </w:rPr>
                              <w:t>are supported</w:t>
                            </w:r>
                            <w:proofErr w:type="gramEnd"/>
                            <w:r w:rsidRPr="00361B7F">
                              <w:rPr>
                                <w:sz w:val="22"/>
                                <w:szCs w:val="22"/>
                                <w:lang w:eastAsia="x-none"/>
                              </w:rPr>
                              <w:t xml:space="preserve"> in existing NR specifications and are baseline for NR NTN.</w:t>
                            </w:r>
                          </w:p>
                          <w:p w:rsidR="008F5739" w:rsidRPr="00361B7F" w:rsidRDefault="008F5739" w:rsidP="00361B7F">
                            <w:pPr>
                              <w:rPr>
                                <w:sz w:val="22"/>
                                <w:szCs w:val="22"/>
                                <w:lang w:eastAsia="x-none"/>
                              </w:rPr>
                            </w:pPr>
                            <w:r w:rsidRPr="00361B7F">
                              <w:rPr>
                                <w:sz w:val="22"/>
                                <w:szCs w:val="22"/>
                                <w:lang w:eastAsia="x-none"/>
                              </w:rPr>
                              <w:t xml:space="preserve">FFS: The need for potential enhancement for beam management </w:t>
                            </w:r>
                          </w:p>
                          <w:p w:rsidR="008F5739" w:rsidRDefault="008F5739" w:rsidP="00361B7F">
                            <w:pPr>
                              <w:rPr>
                                <w:sz w:val="22"/>
                                <w:szCs w:val="22"/>
                                <w:lang w:eastAsia="x-none"/>
                              </w:rPr>
                            </w:pPr>
                            <w:r w:rsidRPr="00361B7F">
                              <w:rPr>
                                <w:sz w:val="22"/>
                                <w:szCs w:val="22"/>
                                <w:lang w:eastAsia="x-none"/>
                              </w:rPr>
                              <w:t>FFS: The need for potential enhancement on association of SSBs, beams and BWPs</w:t>
                            </w:r>
                          </w:p>
                          <w:p w:rsidR="008F5739" w:rsidRPr="00361B7F" w:rsidRDefault="008F5739" w:rsidP="00361B7F">
                            <w:pPr>
                              <w:rPr>
                                <w:sz w:val="22"/>
                                <w:szCs w:val="22"/>
                                <w:lang w:eastAsia="x-none"/>
                              </w:rPr>
                            </w:pPr>
                          </w:p>
                          <w:p w:rsidR="008F5739" w:rsidRPr="00361B7F" w:rsidRDefault="008F5739" w:rsidP="00361B7F">
                            <w:pPr>
                              <w:rPr>
                                <w:b/>
                                <w:bCs/>
                                <w:sz w:val="22"/>
                                <w:szCs w:val="22"/>
                              </w:rPr>
                            </w:pPr>
                            <w:r w:rsidRPr="00361B7F">
                              <w:rPr>
                                <w:b/>
                                <w:bCs/>
                                <w:sz w:val="22"/>
                                <w:szCs w:val="22"/>
                              </w:rPr>
                              <w:t>RAN1#103-e:</w:t>
                            </w:r>
                          </w:p>
                          <w:p w:rsidR="008F5739" w:rsidRPr="00361B7F" w:rsidRDefault="008F5739" w:rsidP="00361B7F">
                            <w:pPr>
                              <w:rPr>
                                <w:sz w:val="22"/>
                                <w:szCs w:val="22"/>
                              </w:rPr>
                            </w:pPr>
                            <w:r w:rsidRPr="00361B7F">
                              <w:rPr>
                                <w:i/>
                                <w:sz w:val="22"/>
                                <w:szCs w:val="22"/>
                                <w:highlight w:val="cyan"/>
                              </w:rPr>
                              <w:t>FL recommendation on beam management</w:t>
                            </w:r>
                            <w:r w:rsidRPr="00361B7F">
                              <w:rPr>
                                <w:i/>
                                <w:sz w:val="22"/>
                                <w:szCs w:val="22"/>
                              </w:rPr>
                              <w:t xml:space="preserve">:  </w:t>
                            </w:r>
                            <w:r w:rsidRPr="00361B7F">
                              <w:rPr>
                                <w:sz w:val="22"/>
                                <w:szCs w:val="22"/>
                              </w:rPr>
                              <w:t xml:space="preserve">Companies are encouraged </w:t>
                            </w:r>
                            <w:proofErr w:type="gramStart"/>
                            <w:r w:rsidRPr="00361B7F">
                              <w:rPr>
                                <w:sz w:val="22"/>
                                <w:szCs w:val="22"/>
                              </w:rPr>
                              <w:t>to further contribute</w:t>
                            </w:r>
                            <w:proofErr w:type="gramEnd"/>
                            <w:r w:rsidRPr="00361B7F">
                              <w:rPr>
                                <w:sz w:val="22"/>
                                <w:szCs w:val="22"/>
                              </w:rPr>
                              <w:t xml:space="preserve"> on the need and potential enhancements for beam management with a view to achieve consensus on whether these potential enhancements are beneficial. </w:t>
                            </w:r>
                            <w:r w:rsidRPr="00361B7F">
                              <w:rPr>
                                <w:sz w:val="22"/>
                                <w:szCs w:val="22"/>
                                <w:lang w:eastAsia="ko-KR"/>
                              </w:rPr>
                              <w:t>Associations of SSBs, beams, and BWPs with Option-1 and Option-2 could be working assumption for the beam management:</w:t>
                            </w:r>
                          </w:p>
                          <w:p w:rsidR="008F5739" w:rsidRPr="00361B7F" w:rsidRDefault="008F5739" w:rsidP="00361B7F">
                            <w:pPr>
                              <w:rPr>
                                <w:sz w:val="22"/>
                                <w:szCs w:val="22"/>
                                <w:lang w:eastAsia="ko-KR"/>
                              </w:rPr>
                            </w:pPr>
                            <w:r w:rsidRPr="00361B7F">
                              <w:rPr>
                                <w:sz w:val="22"/>
                                <w:szCs w:val="22"/>
                              </w:rPr>
                              <w:t xml:space="preserve">Option-1: same beam layout for BWP0 and </w:t>
                            </w:r>
                            <w:proofErr w:type="spellStart"/>
                            <w:r w:rsidRPr="00361B7F">
                              <w:rPr>
                                <w:sz w:val="22"/>
                                <w:szCs w:val="22"/>
                              </w:rPr>
                              <w:t>BWPx</w:t>
                            </w:r>
                            <w:proofErr w:type="spellEnd"/>
                            <w:r w:rsidRPr="00361B7F">
                              <w:rPr>
                                <w:sz w:val="22"/>
                                <w:szCs w:val="22"/>
                              </w:rPr>
                              <w:t xml:space="preserve"> in single-beam cell</w:t>
                            </w:r>
                            <w:r w:rsidRPr="00361B7F">
                              <w:rPr>
                                <w:sz w:val="22"/>
                                <w:szCs w:val="22"/>
                                <w:lang w:eastAsia="ko-KR"/>
                              </w:rPr>
                              <w:t xml:space="preserve"> </w:t>
                            </w:r>
                          </w:p>
                          <w:p w:rsidR="008F5739" w:rsidRPr="00361B7F" w:rsidRDefault="008F5739" w:rsidP="00361B7F">
                            <w:pPr>
                              <w:rPr>
                                <w:sz w:val="22"/>
                                <w:szCs w:val="22"/>
                                <w:lang w:eastAsia="ko-KR"/>
                              </w:rPr>
                            </w:pPr>
                            <w:r w:rsidRPr="00361B7F">
                              <w:rPr>
                                <w:sz w:val="22"/>
                                <w:szCs w:val="22"/>
                              </w:rPr>
                              <w:t xml:space="preserve">Option-2: hierarchical beam layout in multiple-beam cell, where wider beam is associated with cell-specific initial BWP0 and narrow beams are associated with beam-specific </w:t>
                            </w:r>
                            <w:proofErr w:type="spellStart"/>
                            <w:r w:rsidRPr="00361B7F">
                              <w:rPr>
                                <w:sz w:val="22"/>
                                <w:szCs w:val="22"/>
                              </w:rPr>
                              <w:t>BWPx</w:t>
                            </w:r>
                            <w:proofErr w:type="spellEnd"/>
                            <w:r w:rsidRPr="00361B7F">
                              <w:rPr>
                                <w:sz w:val="22"/>
                                <w:szCs w:val="22"/>
                              </w:rPr>
                              <w:t xml:space="preserve">, with x≠0. </w:t>
                            </w:r>
                          </w:p>
                          <w:p w:rsidR="008F5739" w:rsidRPr="00361B7F" w:rsidRDefault="008F5739" w:rsidP="00361B7F">
                            <w:pPr>
                              <w:rPr>
                                <w:sz w:val="22"/>
                                <w:szCs w:val="22"/>
                                <w:lang w:eastAsia="ko-KR"/>
                              </w:rPr>
                            </w:pPr>
                            <w:r w:rsidRPr="00361B7F">
                              <w:rPr>
                                <w:sz w:val="22"/>
                                <w:szCs w:val="22"/>
                                <w:lang w:eastAsia="ko-KR"/>
                              </w:rPr>
                              <w:t xml:space="preserve">Companies are encouraged to consider need for potential beam management enhancements re-using specified TCI and BWP switching mechanisms. </w:t>
                            </w:r>
                          </w:p>
                          <w:p w:rsidR="008F5739" w:rsidRPr="00361B7F" w:rsidRDefault="008F5739" w:rsidP="00361B7F">
                            <w:pPr>
                              <w:rPr>
                                <w:sz w:val="22"/>
                                <w:szCs w:val="22"/>
                                <w:lang w:eastAsia="ko-KR"/>
                              </w:rPr>
                            </w:pPr>
                            <w:r w:rsidRPr="00361B7F">
                              <w:rPr>
                                <w:i/>
                                <w:sz w:val="22"/>
                                <w:szCs w:val="22"/>
                                <w:highlight w:val="cyan"/>
                              </w:rPr>
                              <w:t>FL recommendation on association of SSBs, beams, and BWPs</w:t>
                            </w:r>
                            <w:r w:rsidRPr="00361B7F">
                              <w:rPr>
                                <w:sz w:val="22"/>
                                <w:szCs w:val="22"/>
                                <w:lang w:eastAsia="ko-KR"/>
                              </w:rPr>
                              <w:t xml:space="preserve">: </w:t>
                            </w:r>
                          </w:p>
                          <w:p w:rsidR="008F5739" w:rsidRPr="00361B7F" w:rsidRDefault="008F5739" w:rsidP="00361B7F">
                            <w:pPr>
                              <w:rPr>
                                <w:sz w:val="22"/>
                                <w:szCs w:val="22"/>
                                <w:lang w:eastAsia="ko-KR"/>
                              </w:rPr>
                            </w:pPr>
                            <w:r w:rsidRPr="00361B7F">
                              <w:rPr>
                                <w:sz w:val="22"/>
                                <w:szCs w:val="22"/>
                                <w:lang w:eastAsia="ko-KR"/>
                              </w:rPr>
                              <w:t xml:space="preserve">Companies are encouraged </w:t>
                            </w:r>
                            <w:proofErr w:type="gramStart"/>
                            <w:r w:rsidRPr="00361B7F">
                              <w:rPr>
                                <w:sz w:val="22"/>
                                <w:szCs w:val="22"/>
                                <w:lang w:eastAsia="ko-KR"/>
                              </w:rPr>
                              <w:t>to further discuss</w:t>
                            </w:r>
                            <w:proofErr w:type="gramEnd"/>
                            <w:r w:rsidRPr="00361B7F">
                              <w:rPr>
                                <w:sz w:val="22"/>
                                <w:szCs w:val="22"/>
                                <w:lang w:eastAsia="ko-KR"/>
                              </w:rPr>
                              <w:t xml:space="preserve"> understanding of Option-3 Mapping between SSB index and BWP index, whether the impact on the specification is minimum, and whether it is beneficial if used with beam management mechanisms.</w:t>
                            </w:r>
                          </w:p>
                          <w:p w:rsidR="008F5739" w:rsidRPr="00361B7F" w:rsidRDefault="008F5739" w:rsidP="00361B7F">
                            <w:pPr>
                              <w:rPr>
                                <w:sz w:val="22"/>
                                <w:szCs w:val="22"/>
                                <w:lang w:eastAsia="ko-KR"/>
                              </w:rPr>
                            </w:pPr>
                            <w:r w:rsidRPr="00361B7F">
                              <w:rPr>
                                <w:sz w:val="22"/>
                                <w:szCs w:val="22"/>
                                <w:lang w:eastAsia="ko-KR"/>
                              </w:rPr>
                              <w:t>Companies that are promoting Option-4: SSB transmission in beam-specific initial BWP are encouraged to discuss with other companies on the need and benefits of this option in the context of beam management, and also discuss the impact on specifications, measurements, and testing.</w:t>
                            </w:r>
                          </w:p>
                          <w:p w:rsidR="008F5739" w:rsidRPr="001B3392" w:rsidRDefault="008F5739" w:rsidP="00361B7F">
                            <w:pPr>
                              <w:spacing w:after="0"/>
                              <w:rPr>
                                <w:rFonts w:asciiTheme="minorBidi" w:hAnsiTheme="minorBidi" w:cstheme="minorBidi"/>
                                <w:sz w:val="16"/>
                                <w:szCs w:val="16"/>
                                <w:lang w:eastAsia="x-none"/>
                              </w:rPr>
                            </w:pP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4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">
                <v:textbox>
                  <w:txbxContent>
                    <w:p w:rsidR="008F5739" w:rsidRPr="00361B7F" w:rsidRDefault="008F5739" w:rsidP="00361B7F">
                      <w:pPr>
                        <w:rPr>
                          <w:b/>
                          <w:bCs/>
                          <w:sz w:val="22"/>
                          <w:szCs w:val="22"/>
                        </w:rPr>
                      </w:pPr>
                      <w:r w:rsidRPr="00361B7F">
                        <w:rPr>
                          <w:b/>
                          <w:bCs/>
                          <w:sz w:val="22"/>
                          <w:szCs w:val="22"/>
                        </w:rPr>
                        <w:t>RAN1#102-e:</w:t>
                      </w:r>
                    </w:p>
                    <w:p w:rsidR="008F5739" w:rsidRPr="00361B7F" w:rsidRDefault="008F5739" w:rsidP="00361B7F">
                      <w:pPr>
                        <w:rPr>
                          <w:sz w:val="22"/>
                          <w:szCs w:val="22"/>
                          <w:lang w:eastAsia="x-none"/>
                        </w:rPr>
                      </w:pPr>
                      <w:r w:rsidRPr="00361B7F">
                        <w:rPr>
                          <w:sz w:val="22"/>
                          <w:szCs w:val="22"/>
                          <w:highlight w:val="green"/>
                          <w:lang w:eastAsia="x-none"/>
                        </w:rPr>
                        <w:t>Agreement:</w:t>
                      </w:r>
                    </w:p>
                    <w:p w:rsidR="008F5739" w:rsidRPr="00361B7F" w:rsidRDefault="008F5739" w:rsidP="00361B7F">
                      <w:pPr>
                        <w:rPr>
                          <w:sz w:val="22"/>
                          <w:szCs w:val="22"/>
                          <w:lang w:eastAsia="x-none"/>
                        </w:rPr>
                      </w:pPr>
                      <w:r w:rsidRPr="00361B7F">
                        <w:rPr>
                          <w:sz w:val="22"/>
                          <w:szCs w:val="22"/>
                          <w:lang w:eastAsia="x-none"/>
                        </w:rPr>
                        <w:t>One-beam per cell and multiple-beam per cell are supported in existing NR specifications and are baseline for NR NTN.</w:t>
                      </w:r>
                    </w:p>
                    <w:p w:rsidR="008F5739" w:rsidRPr="00361B7F" w:rsidRDefault="008F5739" w:rsidP="00361B7F">
                      <w:pPr>
                        <w:rPr>
                          <w:sz w:val="22"/>
                          <w:szCs w:val="22"/>
                          <w:lang w:eastAsia="x-none"/>
                        </w:rPr>
                      </w:pPr>
                      <w:r w:rsidRPr="00361B7F">
                        <w:rPr>
                          <w:sz w:val="22"/>
                          <w:szCs w:val="22"/>
                          <w:lang w:eastAsia="x-none"/>
                        </w:rPr>
                        <w:t xml:space="preserve">FFS: The need for potential enhancement for beam management </w:t>
                      </w:r>
                    </w:p>
                    <w:p w:rsidR="008F5739" w:rsidRDefault="008F5739" w:rsidP="00361B7F">
                      <w:pPr>
                        <w:rPr>
                          <w:sz w:val="22"/>
                          <w:szCs w:val="22"/>
                          <w:lang w:eastAsia="x-none"/>
                        </w:rPr>
                      </w:pPr>
                      <w:r w:rsidRPr="00361B7F">
                        <w:rPr>
                          <w:sz w:val="22"/>
                          <w:szCs w:val="22"/>
                          <w:lang w:eastAsia="x-none"/>
                        </w:rPr>
                        <w:t>FFS: The need for potential enhancement on association of SSBs, beams and BWPs</w:t>
                      </w:r>
                    </w:p>
                    <w:p w:rsidR="008F5739" w:rsidRPr="00361B7F" w:rsidRDefault="008F5739" w:rsidP="00361B7F">
                      <w:pPr>
                        <w:rPr>
                          <w:sz w:val="22"/>
                          <w:szCs w:val="22"/>
                          <w:lang w:eastAsia="x-none"/>
                        </w:rPr>
                      </w:pPr>
                    </w:p>
                    <w:p w:rsidR="008F5739" w:rsidRPr="00361B7F" w:rsidRDefault="008F5739" w:rsidP="00361B7F">
                      <w:pPr>
                        <w:rPr>
                          <w:b/>
                          <w:bCs/>
                          <w:sz w:val="22"/>
                          <w:szCs w:val="22"/>
                        </w:rPr>
                      </w:pPr>
                      <w:r w:rsidRPr="00361B7F">
                        <w:rPr>
                          <w:b/>
                          <w:bCs/>
                          <w:sz w:val="22"/>
                          <w:szCs w:val="22"/>
                        </w:rPr>
                        <w:t>RAN1#103-e:</w:t>
                      </w:r>
                    </w:p>
                    <w:p w:rsidR="008F5739" w:rsidRPr="00361B7F" w:rsidRDefault="008F5739" w:rsidP="00361B7F">
                      <w:pPr>
                        <w:rPr>
                          <w:sz w:val="22"/>
                          <w:szCs w:val="22"/>
                        </w:rPr>
                      </w:pPr>
                      <w:r w:rsidRPr="00361B7F">
                        <w:rPr>
                          <w:i/>
                          <w:sz w:val="22"/>
                          <w:szCs w:val="22"/>
                          <w:highlight w:val="cyan"/>
                        </w:rPr>
                        <w:t>FL recommendation on beam management</w:t>
                      </w:r>
                      <w:r w:rsidRPr="00361B7F">
                        <w:rPr>
                          <w:i/>
                          <w:sz w:val="22"/>
                          <w:szCs w:val="22"/>
                        </w:rPr>
                        <w:t xml:space="preserve">:  </w:t>
                      </w:r>
                      <w:r w:rsidRPr="00361B7F">
                        <w:rPr>
                          <w:sz w:val="22"/>
                          <w:szCs w:val="22"/>
                        </w:rPr>
                        <w:t xml:space="preserve">Companies are encouraged to further contribute on the need and potential enhancements for beam management with a view to achieve consensus on whether these potential enhancements are beneficial. </w:t>
                      </w:r>
                      <w:r w:rsidRPr="00361B7F">
                        <w:rPr>
                          <w:sz w:val="22"/>
                          <w:szCs w:val="22"/>
                          <w:lang w:eastAsia="ko-KR"/>
                        </w:rPr>
                        <w:t>Associations of SSBs, beams, and BWPs with Option-1 and Option-2 could be working assumption for the beam management:</w:t>
                      </w:r>
                    </w:p>
                    <w:p w:rsidR="008F5739" w:rsidRPr="00361B7F" w:rsidRDefault="008F5739" w:rsidP="00361B7F">
                      <w:pPr>
                        <w:rPr>
                          <w:sz w:val="22"/>
                          <w:szCs w:val="22"/>
                          <w:lang w:eastAsia="ko-KR"/>
                        </w:rPr>
                      </w:pPr>
                      <w:r w:rsidRPr="00361B7F">
                        <w:rPr>
                          <w:sz w:val="22"/>
                          <w:szCs w:val="22"/>
                        </w:rPr>
                        <w:t xml:space="preserve">Option-1: same beam layout for BWP0 and </w:t>
                      </w:r>
                      <w:proofErr w:type="spellStart"/>
                      <w:r w:rsidRPr="00361B7F">
                        <w:rPr>
                          <w:sz w:val="22"/>
                          <w:szCs w:val="22"/>
                        </w:rPr>
                        <w:t>BWPx</w:t>
                      </w:r>
                      <w:proofErr w:type="spellEnd"/>
                      <w:r w:rsidRPr="00361B7F">
                        <w:rPr>
                          <w:sz w:val="22"/>
                          <w:szCs w:val="22"/>
                        </w:rPr>
                        <w:t xml:space="preserve"> in single-beam cell</w:t>
                      </w:r>
                      <w:r w:rsidRPr="00361B7F">
                        <w:rPr>
                          <w:sz w:val="22"/>
                          <w:szCs w:val="22"/>
                          <w:lang w:eastAsia="ko-KR"/>
                        </w:rPr>
                        <w:t xml:space="preserve"> </w:t>
                      </w:r>
                    </w:p>
                    <w:p w:rsidR="008F5739" w:rsidRPr="00361B7F" w:rsidRDefault="008F5739" w:rsidP="00361B7F">
                      <w:pPr>
                        <w:rPr>
                          <w:sz w:val="22"/>
                          <w:szCs w:val="22"/>
                          <w:lang w:eastAsia="ko-KR"/>
                        </w:rPr>
                      </w:pPr>
                      <w:r w:rsidRPr="00361B7F">
                        <w:rPr>
                          <w:sz w:val="22"/>
                          <w:szCs w:val="22"/>
                        </w:rPr>
                        <w:t xml:space="preserve">Option-2: hierarchical beam layout in multiple-beam cell, where wider beam is associated with cell-specific initial BWP0 and narrow beams are associated with beam-specific </w:t>
                      </w:r>
                      <w:proofErr w:type="spellStart"/>
                      <w:r w:rsidRPr="00361B7F">
                        <w:rPr>
                          <w:sz w:val="22"/>
                          <w:szCs w:val="22"/>
                        </w:rPr>
                        <w:t>BWPx</w:t>
                      </w:r>
                      <w:proofErr w:type="spellEnd"/>
                      <w:r w:rsidRPr="00361B7F">
                        <w:rPr>
                          <w:sz w:val="22"/>
                          <w:szCs w:val="22"/>
                        </w:rPr>
                        <w:t xml:space="preserve">, with x≠0. </w:t>
                      </w:r>
                    </w:p>
                    <w:p w:rsidR="008F5739" w:rsidRPr="00361B7F" w:rsidRDefault="008F5739" w:rsidP="00361B7F">
                      <w:pPr>
                        <w:rPr>
                          <w:sz w:val="22"/>
                          <w:szCs w:val="22"/>
                          <w:lang w:eastAsia="ko-KR"/>
                        </w:rPr>
                      </w:pPr>
                      <w:r w:rsidRPr="00361B7F">
                        <w:rPr>
                          <w:sz w:val="22"/>
                          <w:szCs w:val="22"/>
                          <w:lang w:eastAsia="ko-KR"/>
                        </w:rPr>
                        <w:t xml:space="preserve">Companies are encouraged to consider need for potential beam management enhancements re-using specified TCI and BWP switching mechanisms. </w:t>
                      </w:r>
                    </w:p>
                    <w:p w:rsidR="008F5739" w:rsidRPr="00361B7F" w:rsidRDefault="008F5739" w:rsidP="00361B7F">
                      <w:pPr>
                        <w:rPr>
                          <w:sz w:val="22"/>
                          <w:szCs w:val="22"/>
                          <w:lang w:eastAsia="ko-KR"/>
                        </w:rPr>
                      </w:pPr>
                      <w:r w:rsidRPr="00361B7F">
                        <w:rPr>
                          <w:i/>
                          <w:sz w:val="22"/>
                          <w:szCs w:val="22"/>
                          <w:highlight w:val="cyan"/>
                        </w:rPr>
                        <w:t>FL recommendation on association of SSBs, beams, and BWPs</w:t>
                      </w:r>
                      <w:r w:rsidRPr="00361B7F">
                        <w:rPr>
                          <w:sz w:val="22"/>
                          <w:szCs w:val="22"/>
                          <w:lang w:eastAsia="ko-KR"/>
                        </w:rPr>
                        <w:t xml:space="preserve">: </w:t>
                      </w:r>
                    </w:p>
                    <w:p w:rsidR="008F5739" w:rsidRPr="00361B7F" w:rsidRDefault="008F5739" w:rsidP="00361B7F">
                      <w:pPr>
                        <w:rPr>
                          <w:sz w:val="22"/>
                          <w:szCs w:val="22"/>
                          <w:lang w:eastAsia="ko-KR"/>
                        </w:rPr>
                      </w:pPr>
                      <w:r w:rsidRPr="00361B7F">
                        <w:rPr>
                          <w:sz w:val="22"/>
                          <w:szCs w:val="22"/>
                          <w:lang w:eastAsia="ko-KR"/>
                        </w:rPr>
                        <w:t>Companies are encouraged to further discuss understanding of Option-3 Mapping between SSB index and BWP index, whether the impact on the specification is minimum, and whether it is beneficial if used with beam management mechanisms.</w:t>
                      </w:r>
                    </w:p>
                    <w:p w:rsidR="008F5739" w:rsidRPr="00361B7F" w:rsidRDefault="008F5739" w:rsidP="00361B7F">
                      <w:pPr>
                        <w:rPr>
                          <w:sz w:val="22"/>
                          <w:szCs w:val="22"/>
                          <w:lang w:eastAsia="ko-KR"/>
                        </w:rPr>
                      </w:pPr>
                      <w:r w:rsidRPr="00361B7F">
                        <w:rPr>
                          <w:sz w:val="22"/>
                          <w:szCs w:val="22"/>
                          <w:lang w:eastAsia="ko-KR"/>
                        </w:rPr>
                        <w:t>Companies that are promoting Option-4: SSB transmission in beam-specific initial BWP are encouraged to discuss with other companies on the need and benefits of this option in the context of beam management, and also discuss the impact on specifications, measurements, and testing.</w:t>
                      </w:r>
                    </w:p>
                    <w:p w:rsidR="008F5739" w:rsidRPr="001B3392" w:rsidRDefault="008F5739" w:rsidP="00361B7F">
                      <w:pPr>
                        <w:spacing w:after="0"/>
                        <w:rPr>
                          <w:rFonts w:asciiTheme="minorBidi" w:hAnsiTheme="minorBidi" w:cstheme="minorBidi"/>
                          <w:sz w:val="16"/>
                          <w:szCs w:val="16"/>
                          <w:lang w:eastAsia="x-none"/>
                        </w:rPr>
                      </w:pPr>
                    </w:p>
                  </w:txbxContent>
                </v:textbox>
                <w10:anchorlock/>
              </v:shape>
            </w:pict>
          </mc:Fallback>
        </mc:AlternateContent>
      </w:r>
    </w:p>
    <w:p w:rsidR="00361B7F" w:rsidRDefault="00361B7F"/>
    <w:p w:rsidR="00361B7F" w:rsidRDefault="00361B7F" w:rsidP="00361B7F">
      <w:pPr>
        <w:pStyle w:val="berschrift1"/>
      </w:pPr>
      <w:r>
        <w:lastRenderedPageBreak/>
        <w:t xml:space="preserve">Discussion </w:t>
      </w:r>
    </w:p>
    <w:p w:rsidR="008F5739" w:rsidRDefault="008F5739" w:rsidP="008F5739">
      <w:pPr>
        <w:rPr>
          <w:sz w:val="22"/>
          <w:szCs w:val="22"/>
        </w:rPr>
      </w:pPr>
      <w:r>
        <w:rPr>
          <w:sz w:val="22"/>
          <w:szCs w:val="22"/>
        </w:rPr>
        <w:t xml:space="preserve">Multiple antennas </w:t>
      </w:r>
      <w:proofErr w:type="gramStart"/>
      <w:r>
        <w:rPr>
          <w:sz w:val="22"/>
          <w:szCs w:val="22"/>
        </w:rPr>
        <w:t>may be deployed</w:t>
      </w:r>
      <w:proofErr w:type="gramEnd"/>
      <w:r>
        <w:rPr>
          <w:sz w:val="22"/>
          <w:szCs w:val="22"/>
        </w:rPr>
        <w:t xml:space="preserve"> at a satellite to construct multiple spot beams on ground. It was identified in TR38.821</w:t>
      </w:r>
      <w:r w:rsidR="003F0798">
        <w:rPr>
          <w:sz w:val="22"/>
          <w:szCs w:val="22"/>
        </w:rPr>
        <w:t xml:space="preserve"> [1]</w:t>
      </w:r>
      <w:r>
        <w:rPr>
          <w:sz w:val="22"/>
          <w:szCs w:val="22"/>
        </w:rPr>
        <w:t xml:space="preserve"> that using frequency reuse factors larger than one reduce the co-channel interference on adjacent beams and, </w:t>
      </w:r>
      <w:proofErr w:type="gramStart"/>
      <w:r>
        <w:rPr>
          <w:sz w:val="22"/>
          <w:szCs w:val="22"/>
        </w:rPr>
        <w:t>as a result</w:t>
      </w:r>
      <w:proofErr w:type="gramEnd"/>
      <w:r>
        <w:rPr>
          <w:sz w:val="22"/>
          <w:szCs w:val="22"/>
        </w:rPr>
        <w:t xml:space="preserve"> of this, improve the link budget of each spot beam. Thus, one possible approach to allocate different frequency ranges to different beams of a satellite is via the existing concept of bandwidth part (BWP) in 5G NR. </w:t>
      </w:r>
    </w:p>
    <w:p w:rsidR="003F0798" w:rsidRDefault="008F5739" w:rsidP="001B70FB">
      <w:pPr>
        <w:rPr>
          <w:sz w:val="22"/>
          <w:szCs w:val="22"/>
        </w:rPr>
      </w:pPr>
      <w:r>
        <w:rPr>
          <w:sz w:val="22"/>
          <w:szCs w:val="22"/>
        </w:rPr>
        <w:t xml:space="preserve">On the other hand, an NTN cell may contain only one satellite beam (the only beam of a single spot satellite or one of the beams of a multi-spot satellite) or it may include multiple beams of a multi-spot satellite. In the former, when mobility is concerned, e.g., due to the mobility of a LEO satellite with moving beams on earth, switching of beams occurs on the cell level and, as a result, handover is required which involves RRC signaling and RRC reconfiguration. In the later, however, the switching of the beams on the ground for the UE occurs on the beam </w:t>
      </w:r>
      <w:proofErr w:type="gramStart"/>
      <w:r>
        <w:rPr>
          <w:sz w:val="22"/>
          <w:szCs w:val="22"/>
        </w:rPr>
        <w:t>level which</w:t>
      </w:r>
      <w:proofErr w:type="gramEnd"/>
      <w:r>
        <w:rPr>
          <w:sz w:val="22"/>
          <w:szCs w:val="22"/>
        </w:rPr>
        <w:t xml:space="preserve"> involves PHY and MAC layer signaling. </w:t>
      </w:r>
      <w:r w:rsidR="00F23A23">
        <w:rPr>
          <w:sz w:val="22"/>
          <w:szCs w:val="22"/>
        </w:rPr>
        <w:t xml:space="preserve">Beam level switching is preferable over the cell level switching with respect to latency and cost of signaling. </w:t>
      </w:r>
      <w:proofErr w:type="gramStart"/>
      <w:r w:rsidR="00F23A23">
        <w:rPr>
          <w:sz w:val="22"/>
          <w:szCs w:val="22"/>
        </w:rPr>
        <w:t xml:space="preserve">However, according to the current specifications in 5G NR, the beam level </w:t>
      </w:r>
      <w:r w:rsidR="001B70FB">
        <w:rPr>
          <w:sz w:val="22"/>
          <w:szCs w:val="22"/>
        </w:rPr>
        <w:t>switching</w:t>
      </w:r>
      <w:r w:rsidR="00F23A23">
        <w:rPr>
          <w:sz w:val="22"/>
          <w:szCs w:val="22"/>
        </w:rPr>
        <w:t xml:space="preserve"> is performed under the assumption that all </w:t>
      </w:r>
      <w:r w:rsidR="001B70FB">
        <w:rPr>
          <w:sz w:val="22"/>
          <w:szCs w:val="22"/>
        </w:rPr>
        <w:t xml:space="preserve">measured </w:t>
      </w:r>
      <w:r w:rsidR="00F23A23">
        <w:rPr>
          <w:sz w:val="22"/>
          <w:szCs w:val="22"/>
        </w:rPr>
        <w:t xml:space="preserve">beams </w:t>
      </w:r>
      <w:r w:rsidR="001B70FB">
        <w:rPr>
          <w:sz w:val="22"/>
          <w:szCs w:val="22"/>
        </w:rPr>
        <w:t xml:space="preserve">(i.e., serving beam and neighbouring beams) </w:t>
      </w:r>
      <w:r w:rsidR="00F23A23">
        <w:rPr>
          <w:sz w:val="22"/>
          <w:szCs w:val="22"/>
        </w:rPr>
        <w:t xml:space="preserve">belong </w:t>
      </w:r>
      <w:r w:rsidR="001B70FB">
        <w:rPr>
          <w:sz w:val="22"/>
          <w:szCs w:val="22"/>
        </w:rPr>
        <w:t xml:space="preserve">to </w:t>
      </w:r>
      <w:r w:rsidR="00F23A23">
        <w:rPr>
          <w:sz w:val="22"/>
          <w:szCs w:val="22"/>
        </w:rPr>
        <w:t>the s</w:t>
      </w:r>
      <w:r w:rsidR="00795E1D">
        <w:rPr>
          <w:sz w:val="22"/>
          <w:szCs w:val="22"/>
        </w:rPr>
        <w:t xml:space="preserve">ame </w:t>
      </w:r>
      <w:r w:rsidR="001B70FB">
        <w:rPr>
          <w:sz w:val="22"/>
          <w:szCs w:val="22"/>
        </w:rPr>
        <w:t>active BWP</w:t>
      </w:r>
      <w:r w:rsidR="00795E1D">
        <w:rPr>
          <w:sz w:val="22"/>
          <w:szCs w:val="22"/>
        </w:rPr>
        <w:t xml:space="preserve"> or</w:t>
      </w:r>
      <w:r w:rsidR="00F23A23">
        <w:rPr>
          <w:sz w:val="22"/>
          <w:szCs w:val="22"/>
        </w:rPr>
        <w:t xml:space="preserve"> the same frequency range, while</w:t>
      </w:r>
      <w:r w:rsidR="00795E1D">
        <w:rPr>
          <w:sz w:val="22"/>
          <w:szCs w:val="22"/>
        </w:rPr>
        <w:t xml:space="preserve"> in NTN and</w:t>
      </w:r>
      <w:r w:rsidR="001B70FB">
        <w:rPr>
          <w:sz w:val="22"/>
          <w:szCs w:val="22"/>
        </w:rPr>
        <w:t xml:space="preserve"> under the</w:t>
      </w:r>
      <w:r w:rsidR="00795E1D">
        <w:rPr>
          <w:sz w:val="22"/>
          <w:szCs w:val="22"/>
        </w:rPr>
        <w:t xml:space="preserve"> consideration of allocating different BWP</w:t>
      </w:r>
      <w:r w:rsidR="001B70FB">
        <w:rPr>
          <w:sz w:val="22"/>
          <w:szCs w:val="22"/>
        </w:rPr>
        <w:t>s</w:t>
      </w:r>
      <w:r w:rsidR="00795E1D">
        <w:rPr>
          <w:sz w:val="22"/>
          <w:szCs w:val="22"/>
        </w:rPr>
        <w:t xml:space="preserve"> to spot beams, the beam level </w:t>
      </w:r>
      <w:r w:rsidR="001B70FB">
        <w:rPr>
          <w:sz w:val="22"/>
          <w:szCs w:val="22"/>
        </w:rPr>
        <w:t xml:space="preserve">measurement (to perform beam level switching) </w:t>
      </w:r>
      <w:r w:rsidR="00795E1D">
        <w:rPr>
          <w:sz w:val="22"/>
          <w:szCs w:val="22"/>
        </w:rPr>
        <w:t xml:space="preserve">is envisioned to be </w:t>
      </w:r>
      <w:r w:rsidR="001B70FB">
        <w:rPr>
          <w:sz w:val="22"/>
          <w:szCs w:val="22"/>
        </w:rPr>
        <w:t>done</w:t>
      </w:r>
      <w:r w:rsidR="00795E1D">
        <w:rPr>
          <w:sz w:val="22"/>
          <w:szCs w:val="22"/>
        </w:rPr>
        <w:t xml:space="preserve"> on different frequency ranges</w:t>
      </w:r>
      <w:r w:rsidR="001B70FB">
        <w:rPr>
          <w:sz w:val="22"/>
          <w:szCs w:val="22"/>
        </w:rPr>
        <w:t xml:space="preserve"> or different BWPs</w:t>
      </w:r>
      <w:r w:rsidR="00795E1D">
        <w:rPr>
          <w:sz w:val="22"/>
          <w:szCs w:val="22"/>
        </w:rPr>
        <w:t>.</w:t>
      </w:r>
      <w:proofErr w:type="gramEnd"/>
      <w:r w:rsidR="00795E1D">
        <w:rPr>
          <w:sz w:val="22"/>
          <w:szCs w:val="22"/>
        </w:rPr>
        <w:t xml:space="preserve"> Thus, it is necessary to enhance the current mecha</w:t>
      </w:r>
      <w:r w:rsidR="003F0798">
        <w:rPr>
          <w:sz w:val="22"/>
          <w:szCs w:val="22"/>
        </w:rPr>
        <w:t xml:space="preserve">nisms and procedures related to beam measurement and BWP management. </w:t>
      </w:r>
    </w:p>
    <w:p w:rsidR="003F0798" w:rsidRDefault="006C6A4C" w:rsidP="006C6A4C">
      <w:pPr>
        <w:pStyle w:val="berschrift1"/>
      </w:pPr>
      <w:r>
        <w:t xml:space="preserve">Association of SSBs, Beams, and BWPs </w:t>
      </w:r>
    </w:p>
    <w:p w:rsidR="00AF762E" w:rsidRDefault="001E521A" w:rsidP="00AF762E">
      <w:r>
        <w:t>In [2], four different options for association of SSBs, beams, and</w:t>
      </w:r>
      <w:r w:rsidR="00524997">
        <w:t xml:space="preserve"> BWPs </w:t>
      </w:r>
      <w:proofErr w:type="gramStart"/>
      <w:r w:rsidR="00524997">
        <w:t>are discussed</w:t>
      </w:r>
      <w:proofErr w:type="gramEnd"/>
      <w:r w:rsidR="00524997">
        <w:t>. In option-1</w:t>
      </w:r>
      <w:r>
        <w:t>,</w:t>
      </w:r>
      <w:r w:rsidR="00524997">
        <w:t xml:space="preserve"> same beam layout </w:t>
      </w:r>
      <w:proofErr w:type="gramStart"/>
      <w:r w:rsidR="00524997">
        <w:t>is considered</w:t>
      </w:r>
      <w:proofErr w:type="gramEnd"/>
      <w:r w:rsidR="00524997">
        <w:t xml:space="preserve"> for BWP0 and BWPX, whereas in option-2, a hierarchical beam layout is considered for different BWPs. There was a consensus in the previous meeting that both option-1 and option-2 </w:t>
      </w:r>
      <w:r w:rsidR="00107027">
        <w:t>are compatible with Rel-15/16 BWP and SSB specifications. Furthermore, for option-3,</w:t>
      </w:r>
      <w:r w:rsidR="00AF762E">
        <w:t xml:space="preserve"> i.e.,</w:t>
      </w:r>
      <w:r w:rsidR="00107027">
        <w:t xml:space="preserve"> mapping between SSB index and BWP index,</w:t>
      </w:r>
      <w:r w:rsidR="001358D6">
        <w:t xml:space="preserve"> where SSBs </w:t>
      </w:r>
      <w:proofErr w:type="gramStart"/>
      <w:r w:rsidR="001358D6">
        <w:t>are carried</w:t>
      </w:r>
      <w:proofErr w:type="gramEnd"/>
      <w:r w:rsidR="001358D6">
        <w:t xml:space="preserve"> in the s</w:t>
      </w:r>
      <w:r w:rsidR="00AF762E">
        <w:t>ame frequency range (e.g., BWP0)</w:t>
      </w:r>
      <w:r w:rsidR="00107027">
        <w:t xml:space="preserve"> it was identified in [2]</w:t>
      </w:r>
      <w:r w:rsidR="001358D6">
        <w:t xml:space="preserve"> that</w:t>
      </w:r>
      <w:r w:rsidR="00107027">
        <w:t xml:space="preserve"> </w:t>
      </w:r>
      <w:r w:rsidR="001358D6">
        <w:t>minimum specifica</w:t>
      </w:r>
      <w:r w:rsidR="007A5EDF">
        <w:t xml:space="preserve">tion impact is needed. The main advantage of option-3, compare with option-1 and option-2 is that </w:t>
      </w:r>
      <w:r w:rsidR="00AF762E">
        <w:t xml:space="preserve">the delay involved in performing SSB measurements in corresponding BWP0 which is caused by BWP switching (for option-1 and option-2) is reduced in option-3 due to performing SSB measurement via measurement gaps. </w:t>
      </w:r>
    </w:p>
    <w:p w:rsidR="001D1F19" w:rsidRDefault="00AF762E" w:rsidP="00AF762E">
      <w:pPr>
        <w:rPr>
          <w:b/>
          <w:bCs/>
        </w:rPr>
      </w:pPr>
      <w:r>
        <w:rPr>
          <w:b/>
          <w:bCs/>
        </w:rPr>
        <w:t xml:space="preserve">Observation 1: Option-3 of </w:t>
      </w:r>
      <w:r w:rsidR="00580E2A">
        <w:rPr>
          <w:b/>
          <w:bCs/>
        </w:rPr>
        <w:t>“</w:t>
      </w:r>
      <w:r w:rsidR="001D1F19">
        <w:rPr>
          <w:b/>
          <w:bCs/>
        </w:rPr>
        <w:t>SSBs and BWPs association</w:t>
      </w:r>
      <w:r w:rsidR="00580E2A">
        <w:rPr>
          <w:b/>
          <w:bCs/>
        </w:rPr>
        <w:t>”</w:t>
      </w:r>
      <w:r w:rsidR="001D1F19">
        <w:rPr>
          <w:b/>
          <w:bCs/>
        </w:rPr>
        <w:t xml:space="preserve"> reduces the latency in SSB measurements for NTN UE and preferable over option-1 and option-2 with respect to latency. </w:t>
      </w:r>
    </w:p>
    <w:p w:rsidR="00E0379E" w:rsidRDefault="00E0379E" w:rsidP="00933D4C">
      <w:pPr>
        <w:rPr>
          <w:b/>
          <w:bCs/>
        </w:rPr>
      </w:pPr>
      <w:r>
        <w:rPr>
          <w:b/>
          <w:bCs/>
        </w:rPr>
        <w:t>Proposal 1: RAN1 should consider</w:t>
      </w:r>
      <w:r w:rsidR="001D1F19">
        <w:rPr>
          <w:b/>
          <w:bCs/>
        </w:rPr>
        <w:t xml:space="preserve"> option-3 of SSBs and BWPs association </w:t>
      </w:r>
      <w:r>
        <w:rPr>
          <w:b/>
          <w:bCs/>
        </w:rPr>
        <w:t>and leave</w:t>
      </w:r>
      <w:r w:rsidR="00CD32A1">
        <w:rPr>
          <w:b/>
          <w:bCs/>
        </w:rPr>
        <w:t xml:space="preserve"> option-3</w:t>
      </w:r>
      <w:r>
        <w:rPr>
          <w:b/>
          <w:bCs/>
        </w:rPr>
        <w:t xml:space="preserve"> for implementation</w:t>
      </w:r>
      <w:r w:rsidR="001D1F19">
        <w:rPr>
          <w:b/>
          <w:bCs/>
        </w:rPr>
        <w:t xml:space="preserve"> in addition to working assumptions</w:t>
      </w:r>
      <w:r w:rsidR="00933D4C">
        <w:rPr>
          <w:b/>
          <w:bCs/>
        </w:rPr>
        <w:t xml:space="preserve"> option-1 and option-2. </w:t>
      </w:r>
    </w:p>
    <w:p w:rsidR="004417B8" w:rsidRDefault="004417B8" w:rsidP="00A02643">
      <w:r>
        <w:t>Now, we provide a discussion regarding option-4 of SSBs, beams and BWPs associations.</w:t>
      </w:r>
      <w:r w:rsidR="00A02643">
        <w:t xml:space="preserve"> In option-4, SSBs </w:t>
      </w:r>
      <w:proofErr w:type="gramStart"/>
      <w:r w:rsidR="00A02643">
        <w:t>are transmitted</w:t>
      </w:r>
      <w:proofErr w:type="gramEnd"/>
      <w:r w:rsidR="00A02643">
        <w:t xml:space="preserve"> on different frequency ranges and in beam specific initial BWPs.</w:t>
      </w:r>
      <w:r>
        <w:t xml:space="preserve"> In particular, according to [3] clause 5.2.4, i.e., </w:t>
      </w:r>
      <w:r w:rsidRPr="004417B8">
        <w:t>Synchronization signal and PBCH block</w:t>
      </w:r>
      <w:r>
        <w:t xml:space="preserve">, it is stated that </w:t>
      </w:r>
    </w:p>
    <w:p w:rsidR="006C6A4C" w:rsidRDefault="004417B8" w:rsidP="004417B8">
      <w:pPr>
        <w:rPr>
          <w:b/>
          <w:bCs/>
        </w:rPr>
      </w:pPr>
      <w:r>
        <w:t>“</w:t>
      </w:r>
      <w:r w:rsidRPr="004417B8">
        <w:rPr>
          <w:i/>
          <w:iCs/>
          <w:lang w:eastAsia="en-US"/>
        </w:rPr>
        <w:t xml:space="preserve">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w:t>
      </w:r>
      <w:proofErr w:type="gramStart"/>
      <w:r w:rsidRPr="004417B8">
        <w:rPr>
          <w:i/>
          <w:iCs/>
          <w:lang w:eastAsia="en-US"/>
        </w:rPr>
        <w:t>is referred</w:t>
      </w:r>
      <w:proofErr w:type="gramEnd"/>
      <w:r w:rsidRPr="004417B8">
        <w:rPr>
          <w:i/>
          <w:iCs/>
          <w:lang w:eastAsia="en-US"/>
        </w:rPr>
        <w:t xml:space="preserve"> to as a Cell-Defining SSB (CD-SSB). A </w:t>
      </w:r>
      <w:proofErr w:type="spellStart"/>
      <w:r w:rsidRPr="004417B8">
        <w:rPr>
          <w:i/>
          <w:iCs/>
          <w:lang w:eastAsia="en-US"/>
        </w:rPr>
        <w:t>PCell</w:t>
      </w:r>
      <w:proofErr w:type="spellEnd"/>
      <w:r w:rsidRPr="004417B8">
        <w:rPr>
          <w:i/>
          <w:iCs/>
          <w:lang w:eastAsia="en-US"/>
        </w:rPr>
        <w:t xml:space="preserve"> is always associated to a CD-SSB located on the synchronization raster.</w:t>
      </w:r>
      <w:r>
        <w:t xml:space="preserve">” </w:t>
      </w:r>
      <w:r w:rsidR="001D1F19">
        <w:rPr>
          <w:b/>
          <w:bCs/>
        </w:rPr>
        <w:t xml:space="preserve"> </w:t>
      </w:r>
    </w:p>
    <w:p w:rsidR="002B610E" w:rsidRDefault="00CD32A1" w:rsidP="00E82DE7">
      <w:pPr>
        <w:rPr>
          <w:lang w:eastAsia="ja-JP"/>
        </w:rPr>
      </w:pPr>
      <w:r>
        <w:rPr>
          <w:lang w:eastAsia="ja-JP"/>
        </w:rPr>
        <w:t>As stated above, transmission of multiple SSBs within the frequency span</w:t>
      </w:r>
      <w:r w:rsidR="00857D11">
        <w:rPr>
          <w:lang w:eastAsia="ja-JP"/>
        </w:rPr>
        <w:t xml:space="preserve"> of a carrier allowed. However, </w:t>
      </w:r>
      <w:r w:rsidR="000B11B8">
        <w:rPr>
          <w:lang w:eastAsia="ja-JP"/>
        </w:rPr>
        <w:t xml:space="preserve">this leads to </w:t>
      </w:r>
      <w:r w:rsidR="00D423C3">
        <w:rPr>
          <w:lang w:eastAsia="ja-JP"/>
        </w:rPr>
        <w:t>in</w:t>
      </w:r>
      <w:r w:rsidR="002A3C82">
        <w:rPr>
          <w:lang w:eastAsia="ja-JP"/>
        </w:rPr>
        <w:t>crease in initial access timing</w:t>
      </w:r>
      <w:r w:rsidR="00D423C3">
        <w:rPr>
          <w:lang w:eastAsia="ja-JP"/>
        </w:rPr>
        <w:t xml:space="preserve"> since SSB frequencies have to </w:t>
      </w:r>
      <w:proofErr w:type="gramStart"/>
      <w:r w:rsidR="002A3C82">
        <w:rPr>
          <w:lang w:eastAsia="ja-JP"/>
        </w:rPr>
        <w:t>located</w:t>
      </w:r>
      <w:proofErr w:type="gramEnd"/>
      <w:r w:rsidR="002A3C82">
        <w:rPr>
          <w:lang w:eastAsia="ja-JP"/>
        </w:rPr>
        <w:t xml:space="preserve"> in a dens synchronization raster. </w:t>
      </w:r>
      <w:r w:rsidR="00392527">
        <w:rPr>
          <w:lang w:eastAsia="ja-JP"/>
        </w:rPr>
        <w:t>Other specification</w:t>
      </w:r>
      <w:r w:rsidR="00857D11">
        <w:rPr>
          <w:lang w:eastAsia="ja-JP"/>
        </w:rPr>
        <w:t xml:space="preserve"> impacts </w:t>
      </w:r>
      <w:r w:rsidR="00392527">
        <w:rPr>
          <w:lang w:eastAsia="ja-JP"/>
        </w:rPr>
        <w:t>is the</w:t>
      </w:r>
      <w:r w:rsidR="00857D11">
        <w:rPr>
          <w:lang w:eastAsia="ja-JP"/>
        </w:rPr>
        <w:t xml:space="preserve"> </w:t>
      </w:r>
      <w:r w:rsidR="00392527">
        <w:rPr>
          <w:lang w:eastAsia="ja-JP"/>
        </w:rPr>
        <w:t>Inter-frequency synchronization and</w:t>
      </w:r>
      <w:r w:rsidR="00857D11" w:rsidRPr="00857D11">
        <w:rPr>
          <w:lang w:eastAsia="ja-JP"/>
        </w:rPr>
        <w:t xml:space="preserve"> decoding of SIB1</w:t>
      </w:r>
      <w:r w:rsidR="00392527">
        <w:rPr>
          <w:lang w:eastAsia="ja-JP"/>
        </w:rPr>
        <w:t>.</w:t>
      </w:r>
      <w:r w:rsidR="00857D11">
        <w:rPr>
          <w:lang w:eastAsia="ja-JP"/>
        </w:rPr>
        <w:t xml:space="preserve"> The problem with </w:t>
      </w:r>
      <w:r w:rsidR="002B610E">
        <w:rPr>
          <w:lang w:eastAsia="ja-JP"/>
        </w:rPr>
        <w:t xml:space="preserve">inter-frequency synchronization </w:t>
      </w:r>
      <w:r w:rsidR="002A3C82">
        <w:rPr>
          <w:lang w:eastAsia="ja-JP"/>
        </w:rPr>
        <w:t>may</w:t>
      </w:r>
      <w:r w:rsidR="002B610E">
        <w:rPr>
          <w:lang w:eastAsia="ja-JP"/>
        </w:rPr>
        <w:t xml:space="preserve"> be resolved by broadcasting </w:t>
      </w:r>
      <w:r w:rsidR="002B610E" w:rsidRPr="002B610E">
        <w:rPr>
          <w:lang w:eastAsia="ja-JP"/>
        </w:rPr>
        <w:t xml:space="preserve">the </w:t>
      </w:r>
      <w:r w:rsidR="002B610E">
        <w:rPr>
          <w:lang w:eastAsia="ja-JP"/>
        </w:rPr>
        <w:t xml:space="preserve">satellite </w:t>
      </w:r>
      <w:r w:rsidR="002B610E" w:rsidRPr="002B610E">
        <w:rPr>
          <w:lang w:eastAsia="ja-JP"/>
        </w:rPr>
        <w:t>beam layout and</w:t>
      </w:r>
      <w:r w:rsidR="00606967">
        <w:rPr>
          <w:lang w:eastAsia="ja-JP"/>
        </w:rPr>
        <w:t xml:space="preserve"> given</w:t>
      </w:r>
      <w:r w:rsidR="002B610E" w:rsidRPr="002B610E">
        <w:rPr>
          <w:lang w:eastAsia="ja-JP"/>
        </w:rPr>
        <w:t xml:space="preserve"> t</w:t>
      </w:r>
      <w:r w:rsidR="00606967">
        <w:rPr>
          <w:lang w:eastAsia="ja-JP"/>
        </w:rPr>
        <w:t>he UE position acquired by GNSS,</w:t>
      </w:r>
      <w:r w:rsidR="002B610E" w:rsidRPr="002B610E">
        <w:rPr>
          <w:lang w:eastAsia="ja-JP"/>
        </w:rPr>
        <w:t xml:space="preserve"> UE </w:t>
      </w:r>
      <w:r w:rsidR="00E82DE7">
        <w:rPr>
          <w:lang w:eastAsia="ja-JP"/>
        </w:rPr>
        <w:t>obtains</w:t>
      </w:r>
      <w:r w:rsidR="002B610E" w:rsidRPr="002B610E">
        <w:rPr>
          <w:lang w:eastAsia="ja-JP"/>
        </w:rPr>
        <w:t xml:space="preserve"> </w:t>
      </w:r>
      <w:r w:rsidR="00E82DE7">
        <w:rPr>
          <w:lang w:eastAsia="ja-JP"/>
        </w:rPr>
        <w:t xml:space="preserve">the serving beam by satellite and, </w:t>
      </w:r>
      <w:proofErr w:type="gramStart"/>
      <w:r w:rsidR="00E82DE7">
        <w:rPr>
          <w:lang w:eastAsia="ja-JP"/>
        </w:rPr>
        <w:t>as a consequence</w:t>
      </w:r>
      <w:proofErr w:type="gramEnd"/>
      <w:r w:rsidR="00E82DE7">
        <w:rPr>
          <w:lang w:eastAsia="ja-JP"/>
        </w:rPr>
        <w:t xml:space="preserve">, </w:t>
      </w:r>
      <w:r w:rsidR="002B610E" w:rsidRPr="002B610E">
        <w:rPr>
          <w:lang w:eastAsia="ja-JP"/>
        </w:rPr>
        <w:t xml:space="preserve">it can </w:t>
      </w:r>
      <w:r w:rsidR="00E82DE7">
        <w:rPr>
          <w:lang w:eastAsia="ja-JP"/>
        </w:rPr>
        <w:t>acquire</w:t>
      </w:r>
      <w:r w:rsidR="002B610E" w:rsidRPr="002B610E">
        <w:rPr>
          <w:lang w:eastAsia="ja-JP"/>
        </w:rPr>
        <w:t xml:space="preserve"> the corresponding BWP for synchronization.</w:t>
      </w:r>
      <w:r w:rsidR="00E82DE7">
        <w:rPr>
          <w:lang w:eastAsia="ja-JP"/>
        </w:rPr>
        <w:t xml:space="preserve"> However, the overall specification impact for option-4 is substantial. Unless benefits of option-4 </w:t>
      </w:r>
      <w:proofErr w:type="gramStart"/>
      <w:r w:rsidR="00E82DE7">
        <w:rPr>
          <w:lang w:eastAsia="ja-JP"/>
        </w:rPr>
        <w:t>are not identified</w:t>
      </w:r>
      <w:proofErr w:type="gramEnd"/>
      <w:r w:rsidR="00E82DE7">
        <w:rPr>
          <w:lang w:eastAsia="ja-JP"/>
        </w:rPr>
        <w:t xml:space="preserve">, option-4 should be discarded. </w:t>
      </w:r>
    </w:p>
    <w:p w:rsidR="00E82DE7" w:rsidRDefault="00E82DE7" w:rsidP="00E82DE7">
      <w:pPr>
        <w:rPr>
          <w:b/>
          <w:bCs/>
          <w:lang w:eastAsia="ja-JP"/>
        </w:rPr>
      </w:pPr>
      <w:r>
        <w:rPr>
          <w:b/>
          <w:bCs/>
          <w:lang w:eastAsia="ja-JP"/>
        </w:rPr>
        <w:lastRenderedPageBreak/>
        <w:t xml:space="preserve">Observation 2: Overall specification impacts of option-4 </w:t>
      </w:r>
      <w:r w:rsidR="00686D8D">
        <w:rPr>
          <w:b/>
          <w:bCs/>
          <w:lang w:eastAsia="ja-JP"/>
        </w:rPr>
        <w:t>of “S</w:t>
      </w:r>
      <w:r w:rsidR="00580E2A">
        <w:rPr>
          <w:b/>
          <w:bCs/>
          <w:lang w:eastAsia="ja-JP"/>
        </w:rPr>
        <w:t>SBs, beam, and BWPs association</w:t>
      </w:r>
      <w:r w:rsidR="00686D8D">
        <w:rPr>
          <w:b/>
          <w:bCs/>
          <w:lang w:eastAsia="ja-JP"/>
        </w:rPr>
        <w:t xml:space="preserve">” are substantially large. </w:t>
      </w:r>
    </w:p>
    <w:p w:rsidR="00686D8D" w:rsidRDefault="00686D8D" w:rsidP="00686D8D">
      <w:pPr>
        <w:pStyle w:val="berschrift1"/>
        <w:rPr>
          <w:lang w:eastAsia="ja-JP"/>
        </w:rPr>
      </w:pPr>
      <w:r>
        <w:rPr>
          <w:lang w:eastAsia="ja-JP"/>
        </w:rPr>
        <w:t xml:space="preserve">Beam Management </w:t>
      </w:r>
    </w:p>
    <w:p w:rsidR="00686D8D" w:rsidRDefault="0008521D" w:rsidP="00686D8D">
      <w:pPr>
        <w:rPr>
          <w:lang w:eastAsia="ja-JP"/>
        </w:rPr>
      </w:pPr>
      <w:r>
        <w:rPr>
          <w:lang w:eastAsia="ja-JP"/>
        </w:rPr>
        <w:t xml:space="preserve">With respect to beam management, here, we consider option-1 and option-2 of “SSBs and beams association” and discuss several issues. </w:t>
      </w:r>
    </w:p>
    <w:p w:rsidR="0008521D" w:rsidRPr="00686D8D" w:rsidRDefault="00550E62" w:rsidP="007F0C4F">
      <w:pPr>
        <w:rPr>
          <w:lang w:eastAsia="ja-JP"/>
        </w:rPr>
      </w:pPr>
      <w:r>
        <w:rPr>
          <w:lang w:eastAsia="ja-JP"/>
        </w:rPr>
        <w:t>I</w:t>
      </w:r>
      <w:r w:rsidR="007A7641">
        <w:rPr>
          <w:lang w:eastAsia="ja-JP"/>
        </w:rPr>
        <w:t>n the context of NTN</w:t>
      </w:r>
      <w:r w:rsidR="00FA6333">
        <w:rPr>
          <w:lang w:eastAsia="ja-JP"/>
        </w:rPr>
        <w:t>,</w:t>
      </w:r>
      <w:r w:rsidR="007A7641">
        <w:rPr>
          <w:lang w:eastAsia="ja-JP"/>
        </w:rPr>
        <w:t xml:space="preserve"> </w:t>
      </w:r>
      <w:r w:rsidR="00FA6333">
        <w:rPr>
          <w:lang w:eastAsia="ja-JP"/>
        </w:rPr>
        <w:t>there is a consensus on using</w:t>
      </w:r>
      <w:r w:rsidR="00E37CA2">
        <w:rPr>
          <w:lang w:eastAsia="ja-JP"/>
        </w:rPr>
        <w:t xml:space="preserve"> BWP</w:t>
      </w:r>
      <w:r w:rsidR="00FA6333">
        <w:rPr>
          <w:lang w:eastAsia="ja-JP"/>
        </w:rPr>
        <w:t xml:space="preserve"> procedures and mechanisms</w:t>
      </w:r>
      <w:r w:rsidR="00E37CA2">
        <w:rPr>
          <w:lang w:eastAsia="ja-JP"/>
        </w:rPr>
        <w:t xml:space="preserve"> as a mean to allocate different frequency ranges to different satellite beams</w:t>
      </w:r>
      <w:r>
        <w:rPr>
          <w:lang w:eastAsia="ja-JP"/>
        </w:rPr>
        <w:t xml:space="preserve"> to realize frequency reuse factors greater than one.</w:t>
      </w:r>
      <w:r w:rsidR="00E37CA2">
        <w:rPr>
          <w:lang w:eastAsia="ja-JP"/>
        </w:rPr>
        <w:t xml:space="preserve"> </w:t>
      </w:r>
      <w:r>
        <w:rPr>
          <w:lang w:eastAsia="ja-JP"/>
        </w:rPr>
        <w:t>According to the current specifications</w:t>
      </w:r>
      <w:r w:rsidR="00FA6333">
        <w:rPr>
          <w:lang w:eastAsia="ja-JP"/>
        </w:rPr>
        <w:t>,</w:t>
      </w:r>
      <w:r>
        <w:rPr>
          <w:lang w:eastAsia="ja-JP"/>
        </w:rPr>
        <w:t xml:space="preserve"> up to four DL and four </w:t>
      </w:r>
      <w:r w:rsidR="007F0C4F">
        <w:rPr>
          <w:lang w:eastAsia="ja-JP"/>
        </w:rPr>
        <w:t>UL</w:t>
      </w:r>
      <w:r>
        <w:rPr>
          <w:lang w:eastAsia="ja-JP"/>
        </w:rPr>
        <w:t xml:space="preserve"> BWPs </w:t>
      </w:r>
      <w:proofErr w:type="gramStart"/>
      <w:r>
        <w:rPr>
          <w:lang w:eastAsia="ja-JP"/>
        </w:rPr>
        <w:t>can be configured</w:t>
      </w:r>
      <w:proofErr w:type="gramEnd"/>
      <w:r>
        <w:rPr>
          <w:lang w:eastAsia="ja-JP"/>
        </w:rPr>
        <w:t xml:space="preserve"> for UE. As a result of this, in order to maintain the current </w:t>
      </w:r>
      <w:r w:rsidR="00FA6333">
        <w:rPr>
          <w:lang w:eastAsia="ja-JP"/>
        </w:rPr>
        <w:t>use cases of BWP</w:t>
      </w:r>
      <w:r w:rsidR="00161F99">
        <w:rPr>
          <w:lang w:eastAsia="ja-JP"/>
        </w:rPr>
        <w:t xml:space="preserve"> </w:t>
      </w:r>
      <w:r w:rsidR="009E5872">
        <w:rPr>
          <w:lang w:eastAsia="ja-JP"/>
        </w:rPr>
        <w:t xml:space="preserve">mechanism (i.e., bandwidth adaptation, support devices with different bandwidth capabilities, and flexible radio resource scheduling) and distinguish them from the new use case of BWP in NTN, the number of configured DL and UL BWPs should be increased for NTN. </w:t>
      </w:r>
      <w:r w:rsidR="00FA6333">
        <w:rPr>
          <w:lang w:eastAsia="ja-JP"/>
        </w:rPr>
        <w:t xml:space="preserve"> </w:t>
      </w:r>
      <w:r>
        <w:rPr>
          <w:lang w:eastAsia="ja-JP"/>
        </w:rPr>
        <w:t xml:space="preserve">  </w:t>
      </w:r>
      <w:r w:rsidR="00E37CA2">
        <w:rPr>
          <w:lang w:eastAsia="ja-JP"/>
        </w:rPr>
        <w:t xml:space="preserve"> </w:t>
      </w:r>
    </w:p>
    <w:p w:rsidR="009E5872" w:rsidRDefault="009E5872" w:rsidP="00686D8D">
      <w:pPr>
        <w:rPr>
          <w:b/>
          <w:bCs/>
          <w:lang w:eastAsia="ja-JP"/>
        </w:rPr>
      </w:pPr>
      <w:r>
        <w:rPr>
          <w:b/>
          <w:bCs/>
          <w:lang w:eastAsia="ja-JP"/>
        </w:rPr>
        <w:t xml:space="preserve">Observation 3: </w:t>
      </w:r>
      <w:r w:rsidR="00D06F99">
        <w:rPr>
          <w:b/>
          <w:bCs/>
          <w:lang w:eastAsia="ja-JP"/>
        </w:rPr>
        <w:t xml:space="preserve">To maintain the </w:t>
      </w:r>
      <w:r w:rsidR="005131B7">
        <w:rPr>
          <w:b/>
          <w:bCs/>
          <w:lang w:eastAsia="ja-JP"/>
        </w:rPr>
        <w:t>existing use cases of BWP mechanism and distinguish them from the new use case of BWP, i.e., beam switching in NTN, the number of configured DL/UL BWPS for NTN UE need to be increased.</w:t>
      </w:r>
    </w:p>
    <w:p w:rsidR="005131B7" w:rsidRDefault="009E5872" w:rsidP="00933D4C">
      <w:pPr>
        <w:rPr>
          <w:b/>
          <w:bCs/>
          <w:lang w:eastAsia="ja-JP"/>
        </w:rPr>
      </w:pPr>
      <w:r>
        <w:rPr>
          <w:b/>
          <w:bCs/>
          <w:lang w:eastAsia="ja-JP"/>
        </w:rPr>
        <w:t>Proposal 2: RAN1 should increase the number of configured DL and UL BWPs for NTN UE.</w:t>
      </w:r>
    </w:p>
    <w:p w:rsidR="005131B7" w:rsidRDefault="005131B7" w:rsidP="008D7CCA">
      <w:pPr>
        <w:rPr>
          <w:lang w:eastAsia="ja-JP"/>
        </w:rPr>
      </w:pPr>
      <w:r>
        <w:rPr>
          <w:lang w:eastAsia="ja-JP"/>
        </w:rPr>
        <w:t xml:space="preserve">Another issue </w:t>
      </w:r>
      <w:proofErr w:type="gramStart"/>
      <w:r>
        <w:rPr>
          <w:lang w:eastAsia="ja-JP"/>
        </w:rPr>
        <w:t>is related</w:t>
      </w:r>
      <w:proofErr w:type="gramEnd"/>
      <w:r>
        <w:rPr>
          <w:lang w:eastAsia="ja-JP"/>
        </w:rPr>
        <w:t xml:space="preserve"> to the indication of beam switching. </w:t>
      </w:r>
      <w:r w:rsidR="00933D4C">
        <w:rPr>
          <w:lang w:eastAsia="ja-JP"/>
        </w:rPr>
        <w:t xml:space="preserve">In the current 5G NR specifications, beam switching </w:t>
      </w:r>
      <w:proofErr w:type="gramStart"/>
      <w:r w:rsidR="00933D4C">
        <w:rPr>
          <w:lang w:eastAsia="ja-JP"/>
        </w:rPr>
        <w:t>is indicated</w:t>
      </w:r>
      <w:proofErr w:type="gramEnd"/>
      <w:r w:rsidR="00933D4C">
        <w:rPr>
          <w:lang w:eastAsia="ja-JP"/>
        </w:rPr>
        <w:t xml:space="preserve"> via transmission configuration indicator (TCI) in DCI or MAC CE. </w:t>
      </w:r>
      <w:r w:rsidR="008D7CCA">
        <w:rPr>
          <w:lang w:eastAsia="ja-JP"/>
        </w:rPr>
        <w:t>The association of</w:t>
      </w:r>
      <w:r w:rsidR="00933D4C">
        <w:rPr>
          <w:lang w:eastAsia="ja-JP"/>
        </w:rPr>
        <w:t xml:space="preserve"> each satellite beam to a BWP leads to beam switching via BWP switching. From this </w:t>
      </w:r>
      <w:proofErr w:type="gramStart"/>
      <w:r w:rsidR="00933D4C">
        <w:rPr>
          <w:lang w:eastAsia="ja-JP"/>
        </w:rPr>
        <w:t>perspective</w:t>
      </w:r>
      <w:proofErr w:type="gramEnd"/>
      <w:r w:rsidR="00933D4C">
        <w:rPr>
          <w:lang w:eastAsia="ja-JP"/>
        </w:rPr>
        <w:t xml:space="preserve"> it is import</w:t>
      </w:r>
      <w:r w:rsidR="00D24D9B">
        <w:rPr>
          <w:lang w:eastAsia="ja-JP"/>
        </w:rPr>
        <w:t>ant that</w:t>
      </w:r>
      <w:r w:rsidR="00933D4C">
        <w:rPr>
          <w:lang w:eastAsia="ja-JP"/>
        </w:rPr>
        <w:t xml:space="preserve"> a unified approach is adopted for </w:t>
      </w:r>
      <w:r w:rsidR="00FA686E">
        <w:rPr>
          <w:lang w:eastAsia="ja-JP"/>
        </w:rPr>
        <w:t xml:space="preserve">indication of beam switching in NTN. Furthermore, due to the association of beams and BWPs </w:t>
      </w:r>
      <w:r w:rsidR="006B5C33">
        <w:rPr>
          <w:lang w:eastAsia="ja-JP"/>
        </w:rPr>
        <w:t xml:space="preserve">in NTN, every beam switching triggers BWP switching. However, not every BWP switching should trigger beam switching. </w:t>
      </w:r>
    </w:p>
    <w:p w:rsidR="00594232" w:rsidRPr="00594232" w:rsidRDefault="00594232" w:rsidP="00594232">
      <w:pPr>
        <w:rPr>
          <w:b/>
          <w:bCs/>
          <w:lang w:eastAsia="ja-JP"/>
        </w:rPr>
      </w:pPr>
      <w:r>
        <w:rPr>
          <w:b/>
          <w:bCs/>
          <w:lang w:eastAsia="ja-JP"/>
        </w:rPr>
        <w:t>Proposal 3: RAN1 to strive for a unified solution to indicate beam switching in NTN.</w:t>
      </w:r>
    </w:p>
    <w:p w:rsidR="001A7667" w:rsidRDefault="006B5C33" w:rsidP="001A7667">
      <w:pPr>
        <w:rPr>
          <w:b/>
          <w:bCs/>
          <w:lang w:eastAsia="ja-JP"/>
        </w:rPr>
      </w:pPr>
      <w:r>
        <w:rPr>
          <w:b/>
          <w:bCs/>
          <w:lang w:eastAsia="ja-JP"/>
        </w:rPr>
        <w:t xml:space="preserve">Observation 4: </w:t>
      </w:r>
      <w:r w:rsidR="00594232">
        <w:rPr>
          <w:b/>
          <w:bCs/>
          <w:lang w:eastAsia="ja-JP"/>
        </w:rPr>
        <w:t xml:space="preserve">In NTN, beam switching should trigger BWP </w:t>
      </w:r>
      <w:proofErr w:type="gramStart"/>
      <w:r w:rsidR="00594232">
        <w:rPr>
          <w:b/>
          <w:bCs/>
          <w:lang w:eastAsia="ja-JP"/>
        </w:rPr>
        <w:t>switching,</w:t>
      </w:r>
      <w:proofErr w:type="gramEnd"/>
      <w:r w:rsidR="001A7667">
        <w:rPr>
          <w:b/>
          <w:bCs/>
          <w:lang w:eastAsia="ja-JP"/>
        </w:rPr>
        <w:t xml:space="preserve"> however,</w:t>
      </w:r>
      <w:r w:rsidR="00594232">
        <w:rPr>
          <w:b/>
          <w:bCs/>
          <w:lang w:eastAsia="ja-JP"/>
        </w:rPr>
        <w:t xml:space="preserve"> not </w:t>
      </w:r>
      <w:r w:rsidR="001A7667">
        <w:rPr>
          <w:b/>
          <w:bCs/>
          <w:lang w:eastAsia="ja-JP"/>
        </w:rPr>
        <w:t>every BWP switching should trigger beam switching</w:t>
      </w:r>
      <w:r w:rsidR="00594232">
        <w:rPr>
          <w:b/>
          <w:bCs/>
          <w:lang w:eastAsia="ja-JP"/>
        </w:rPr>
        <w:t>.</w:t>
      </w:r>
    </w:p>
    <w:p w:rsidR="006B5C33" w:rsidRDefault="001A7667" w:rsidP="00B14361">
      <w:pPr>
        <w:rPr>
          <w:lang w:eastAsia="ja-JP"/>
        </w:rPr>
      </w:pPr>
      <w:r>
        <w:rPr>
          <w:lang w:eastAsia="ja-JP"/>
        </w:rPr>
        <w:t xml:space="preserve">In order to take the </w:t>
      </w:r>
      <w:r w:rsidR="00B14361">
        <w:rPr>
          <w:lang w:eastAsia="ja-JP"/>
        </w:rPr>
        <w:t xml:space="preserve">observations above into account, one potential solution would be to consider NTN specific BWP or beam-specific BWPs. In particular, beam-specific BWPs </w:t>
      </w:r>
      <w:proofErr w:type="gramStart"/>
      <w:r w:rsidR="00B14361">
        <w:rPr>
          <w:lang w:eastAsia="ja-JP"/>
        </w:rPr>
        <w:t>are used</w:t>
      </w:r>
      <w:proofErr w:type="gramEnd"/>
      <w:r w:rsidR="00B14361">
        <w:rPr>
          <w:lang w:eastAsia="ja-JP"/>
        </w:rPr>
        <w:t xml:space="preserve"> for switching</w:t>
      </w:r>
      <w:r w:rsidR="00BD2D5E">
        <w:rPr>
          <w:lang w:eastAsia="ja-JP"/>
        </w:rPr>
        <w:t xml:space="preserve"> a</w:t>
      </w:r>
      <w:r w:rsidR="00B14361">
        <w:rPr>
          <w:lang w:eastAsia="ja-JP"/>
        </w:rPr>
        <w:t xml:space="preserve"> BWP triggered for bea</w:t>
      </w:r>
      <w:r w:rsidR="00B154AC">
        <w:rPr>
          <w:lang w:eastAsia="ja-JP"/>
        </w:rPr>
        <w:t xml:space="preserve">m switching purposes, while non beam-specific BWPs, as defined in NR specifications, are used for BWP switching not related to beam switching. </w:t>
      </w:r>
    </w:p>
    <w:p w:rsidR="00B154AC" w:rsidRDefault="00B154AC" w:rsidP="00B14361">
      <w:pPr>
        <w:rPr>
          <w:b/>
          <w:bCs/>
          <w:lang w:eastAsia="ja-JP"/>
        </w:rPr>
      </w:pPr>
      <w:r>
        <w:rPr>
          <w:b/>
          <w:bCs/>
          <w:lang w:eastAsia="ja-JP"/>
        </w:rPr>
        <w:t xml:space="preserve">Proposal </w:t>
      </w:r>
      <w:r w:rsidR="00CE5B53">
        <w:rPr>
          <w:b/>
          <w:bCs/>
          <w:lang w:eastAsia="ja-JP"/>
        </w:rPr>
        <w:t>4</w:t>
      </w:r>
      <w:r>
        <w:rPr>
          <w:b/>
          <w:bCs/>
          <w:lang w:eastAsia="ja-JP"/>
        </w:rPr>
        <w:t xml:space="preserve">: RAN1 to introduce beam-specific BWPs for NTN. </w:t>
      </w:r>
    </w:p>
    <w:p w:rsidR="002828D4" w:rsidRDefault="00B879AB" w:rsidP="002828D4">
      <w:pPr>
        <w:rPr>
          <w:lang w:eastAsia="ja-JP"/>
        </w:rPr>
      </w:pPr>
      <w:r>
        <w:rPr>
          <w:lang w:eastAsia="ja-JP"/>
        </w:rPr>
        <w:t xml:space="preserve">Another advantage of having beam-specific BWP configuration for NTN UE is that a unified approach for beam switching indication </w:t>
      </w:r>
      <w:proofErr w:type="gramStart"/>
      <w:r>
        <w:rPr>
          <w:lang w:eastAsia="ja-JP"/>
        </w:rPr>
        <w:t>can be adopted</w:t>
      </w:r>
      <w:proofErr w:type="gramEnd"/>
      <w:r>
        <w:rPr>
          <w:lang w:eastAsia="ja-JP"/>
        </w:rPr>
        <w:t xml:space="preserve">. Specifically, </w:t>
      </w:r>
      <w:r w:rsidR="008D7CCA">
        <w:rPr>
          <w:lang w:eastAsia="ja-JP"/>
        </w:rPr>
        <w:t>any indication of beam switching via TCI or MAC CE triggers the beam-specific BWP</w:t>
      </w:r>
      <w:r w:rsidR="002828D4">
        <w:rPr>
          <w:lang w:eastAsia="ja-JP"/>
        </w:rPr>
        <w:t xml:space="preserve"> switch</w:t>
      </w:r>
      <w:r w:rsidR="008D7CCA">
        <w:rPr>
          <w:lang w:eastAsia="ja-JP"/>
        </w:rPr>
        <w:t xml:space="preserve">, while </w:t>
      </w:r>
      <w:r w:rsidR="002828D4">
        <w:rPr>
          <w:lang w:eastAsia="ja-JP"/>
        </w:rPr>
        <w:t>current NR BWP switching indications such as 1-</w:t>
      </w:r>
      <w:r w:rsidR="002828D4" w:rsidRPr="002828D4">
        <w:t xml:space="preserve"> </w:t>
      </w:r>
      <w:r w:rsidR="002828D4" w:rsidRPr="002828D4">
        <w:rPr>
          <w:lang w:eastAsia="ja-JP"/>
        </w:rPr>
        <w:t>RRC reconfiguration based BWP switch</w:t>
      </w:r>
      <w:r w:rsidR="002828D4">
        <w:rPr>
          <w:lang w:eastAsia="ja-JP"/>
        </w:rPr>
        <w:t xml:space="preserve">, 2- </w:t>
      </w:r>
      <w:r w:rsidR="002828D4" w:rsidRPr="002828D4">
        <w:rPr>
          <w:lang w:eastAsia="ja-JP"/>
        </w:rPr>
        <w:t>DCI-based BWP switch</w:t>
      </w:r>
      <w:r w:rsidR="002828D4">
        <w:rPr>
          <w:lang w:eastAsia="ja-JP"/>
        </w:rPr>
        <w:t xml:space="preserve">, and 3- </w:t>
      </w:r>
      <w:r w:rsidR="002828D4" w:rsidRPr="002828D4">
        <w:rPr>
          <w:lang w:eastAsia="ja-JP"/>
        </w:rPr>
        <w:t>Timer-based BWP switch</w:t>
      </w:r>
      <w:r w:rsidR="002828D4">
        <w:rPr>
          <w:lang w:eastAsia="ja-JP"/>
        </w:rPr>
        <w:t xml:space="preserve"> </w:t>
      </w:r>
      <w:proofErr w:type="gramStart"/>
      <w:r w:rsidR="002828D4">
        <w:rPr>
          <w:lang w:eastAsia="ja-JP"/>
        </w:rPr>
        <w:t>can be used</w:t>
      </w:r>
      <w:proofErr w:type="gramEnd"/>
      <w:r w:rsidR="002828D4">
        <w:rPr>
          <w:lang w:eastAsia="ja-JP"/>
        </w:rPr>
        <w:t xml:space="preserve"> for non beam-specific BWP switch. </w:t>
      </w:r>
    </w:p>
    <w:p w:rsidR="004D4BD9" w:rsidRDefault="002828D4" w:rsidP="004D4BD9">
      <w:pPr>
        <w:rPr>
          <w:b/>
          <w:bCs/>
          <w:lang w:eastAsia="ja-JP"/>
        </w:rPr>
      </w:pPr>
      <w:r>
        <w:rPr>
          <w:b/>
          <w:bCs/>
          <w:lang w:eastAsia="ja-JP"/>
        </w:rPr>
        <w:t>Observation 5: Beam-specific BWP</w:t>
      </w:r>
      <w:r w:rsidR="004D4BD9">
        <w:rPr>
          <w:b/>
          <w:bCs/>
          <w:lang w:eastAsia="ja-JP"/>
        </w:rPr>
        <w:t xml:space="preserve">s consideration for NTN facilitates the design of unified solution for beam switching indication in NTN. </w:t>
      </w:r>
    </w:p>
    <w:p w:rsidR="007C6800" w:rsidRDefault="004D4BD9" w:rsidP="007C6800">
      <w:pPr>
        <w:rPr>
          <w:lang w:eastAsia="ja-JP"/>
        </w:rPr>
      </w:pPr>
      <w:r>
        <w:rPr>
          <w:lang w:eastAsia="ja-JP"/>
        </w:rPr>
        <w:t xml:space="preserve">Another aspect of beam management discussion should clarify the scope of beam management enhancement in the first place. For example, </w:t>
      </w:r>
      <w:r w:rsidR="00151889">
        <w:rPr>
          <w:lang w:eastAsia="ja-JP"/>
        </w:rPr>
        <w:t xml:space="preserve">it </w:t>
      </w:r>
      <w:proofErr w:type="gramStart"/>
      <w:r w:rsidR="00151889">
        <w:rPr>
          <w:lang w:eastAsia="ja-JP"/>
        </w:rPr>
        <w:t>must be clarified</w:t>
      </w:r>
      <w:proofErr w:type="gramEnd"/>
      <w:r w:rsidR="00151889">
        <w:rPr>
          <w:lang w:eastAsia="ja-JP"/>
        </w:rPr>
        <w:t xml:space="preserve"> if the beam management enhancement is restricted to a single satellite scenario or it should take</w:t>
      </w:r>
      <w:r w:rsidR="00CA5C1D">
        <w:rPr>
          <w:lang w:eastAsia="ja-JP"/>
        </w:rPr>
        <w:t xml:space="preserve"> </w:t>
      </w:r>
      <w:r w:rsidR="007C6800">
        <w:rPr>
          <w:lang w:eastAsia="ja-JP"/>
        </w:rPr>
        <w:t xml:space="preserve">the service link switch associated with other satellites into account. </w:t>
      </w:r>
    </w:p>
    <w:p w:rsidR="004D4BD9" w:rsidRPr="007C6800" w:rsidRDefault="007C6800" w:rsidP="007C6800">
      <w:pPr>
        <w:rPr>
          <w:b/>
          <w:bCs/>
          <w:lang w:eastAsia="ja-JP"/>
        </w:rPr>
      </w:pPr>
      <w:r>
        <w:rPr>
          <w:b/>
          <w:bCs/>
          <w:lang w:eastAsia="ja-JP"/>
        </w:rPr>
        <w:t>Proposal</w:t>
      </w:r>
      <w:r w:rsidR="00CE5B53">
        <w:rPr>
          <w:b/>
          <w:bCs/>
          <w:lang w:eastAsia="ja-JP"/>
        </w:rPr>
        <w:t xml:space="preserve"> 5</w:t>
      </w:r>
      <w:r>
        <w:rPr>
          <w:b/>
          <w:bCs/>
          <w:lang w:eastAsia="ja-JP"/>
        </w:rPr>
        <w:t>: RAN1 to clarify the scope of beam management enhancement.</w:t>
      </w:r>
    </w:p>
    <w:p w:rsidR="00B154AC" w:rsidRDefault="004D4BD9" w:rsidP="004D4BD9">
      <w:pPr>
        <w:pStyle w:val="berschrift1"/>
        <w:rPr>
          <w:lang w:eastAsia="ja-JP"/>
        </w:rPr>
      </w:pPr>
      <w:r>
        <w:rPr>
          <w:lang w:eastAsia="ja-JP"/>
        </w:rPr>
        <w:t xml:space="preserve">Summary </w:t>
      </w:r>
      <w:r w:rsidR="002828D4">
        <w:rPr>
          <w:lang w:eastAsia="ja-JP"/>
        </w:rPr>
        <w:t xml:space="preserve">  </w:t>
      </w:r>
    </w:p>
    <w:p w:rsidR="004D4BD9" w:rsidRDefault="004D4BD9" w:rsidP="004D4BD9">
      <w:pPr>
        <w:rPr>
          <w:b/>
          <w:bCs/>
        </w:rPr>
      </w:pPr>
      <w:r>
        <w:rPr>
          <w:b/>
          <w:bCs/>
        </w:rPr>
        <w:t xml:space="preserve">Observation 1: Option-3 of “SSBs and BWPs association” reduces the latency in SSB measurements for NTN UE and preferable over option-1 and option-2 with respect to latency. </w:t>
      </w:r>
    </w:p>
    <w:p w:rsidR="004D4BD9" w:rsidRDefault="004D4BD9" w:rsidP="004D4BD9">
      <w:pPr>
        <w:rPr>
          <w:b/>
          <w:bCs/>
        </w:rPr>
      </w:pPr>
      <w:r>
        <w:rPr>
          <w:b/>
          <w:bCs/>
        </w:rPr>
        <w:t xml:space="preserve">Proposal 1: RAN1 should consider option-3 of SSBs and BWPs association and leave option-3 for implementation in addition to working assumptions option-1 and option-2. </w:t>
      </w:r>
    </w:p>
    <w:p w:rsidR="004D4BD9" w:rsidRDefault="004D4BD9" w:rsidP="004D4BD9">
      <w:pPr>
        <w:rPr>
          <w:b/>
          <w:bCs/>
          <w:lang w:eastAsia="ja-JP"/>
        </w:rPr>
      </w:pPr>
      <w:r>
        <w:rPr>
          <w:b/>
          <w:bCs/>
          <w:lang w:eastAsia="ja-JP"/>
        </w:rPr>
        <w:lastRenderedPageBreak/>
        <w:t xml:space="preserve">Observation 2: Overall specification impacts of option-4 of “SSBs, beam, and BWPs association” are substantially large. </w:t>
      </w:r>
    </w:p>
    <w:p w:rsidR="004D4BD9" w:rsidRDefault="004D4BD9" w:rsidP="004D4BD9">
      <w:pPr>
        <w:rPr>
          <w:b/>
          <w:bCs/>
          <w:lang w:eastAsia="ja-JP"/>
        </w:rPr>
      </w:pPr>
      <w:r>
        <w:rPr>
          <w:b/>
          <w:bCs/>
          <w:lang w:eastAsia="ja-JP"/>
        </w:rPr>
        <w:t>Observation 3: To maintain the existing use cases of BWP mechanism and distinguish them from the new use case of BWP, i.e., beam switching in NTN, the number of configured DL/UL BWPS for NTN UE need to be increased.</w:t>
      </w:r>
    </w:p>
    <w:p w:rsidR="004D4BD9" w:rsidRDefault="004D4BD9" w:rsidP="004D4BD9">
      <w:pPr>
        <w:rPr>
          <w:b/>
          <w:bCs/>
          <w:lang w:eastAsia="ja-JP"/>
        </w:rPr>
      </w:pPr>
      <w:r>
        <w:rPr>
          <w:b/>
          <w:bCs/>
          <w:lang w:eastAsia="ja-JP"/>
        </w:rPr>
        <w:t>Proposal 2: RAN1 should increase the number of configured DL and UL BWPs for NTN UE.</w:t>
      </w:r>
    </w:p>
    <w:p w:rsidR="004D4BD9" w:rsidRPr="00594232" w:rsidRDefault="004D4BD9" w:rsidP="004D4BD9">
      <w:pPr>
        <w:rPr>
          <w:b/>
          <w:bCs/>
          <w:lang w:eastAsia="ja-JP"/>
        </w:rPr>
      </w:pPr>
      <w:r>
        <w:rPr>
          <w:b/>
          <w:bCs/>
          <w:lang w:eastAsia="ja-JP"/>
        </w:rPr>
        <w:t>Proposal 3: RAN1 to strive for a unified solution to indicate beam switching in NTN.</w:t>
      </w:r>
    </w:p>
    <w:p w:rsidR="004D4BD9" w:rsidRDefault="004D4BD9" w:rsidP="004D4BD9">
      <w:pPr>
        <w:rPr>
          <w:b/>
          <w:bCs/>
          <w:lang w:eastAsia="ja-JP"/>
        </w:rPr>
      </w:pPr>
      <w:r>
        <w:rPr>
          <w:b/>
          <w:bCs/>
          <w:lang w:eastAsia="ja-JP"/>
        </w:rPr>
        <w:t xml:space="preserve">Observation 4: In NTN, beam switching should trigger BWP </w:t>
      </w:r>
      <w:proofErr w:type="gramStart"/>
      <w:r>
        <w:rPr>
          <w:b/>
          <w:bCs/>
          <w:lang w:eastAsia="ja-JP"/>
        </w:rPr>
        <w:t>switching,</w:t>
      </w:r>
      <w:proofErr w:type="gramEnd"/>
      <w:r>
        <w:rPr>
          <w:b/>
          <w:bCs/>
          <w:lang w:eastAsia="ja-JP"/>
        </w:rPr>
        <w:t xml:space="preserve"> however, not every BWP switching should trigger beam switching.</w:t>
      </w:r>
    </w:p>
    <w:p w:rsidR="004D4BD9" w:rsidRDefault="00CE5B53" w:rsidP="004D4BD9">
      <w:pPr>
        <w:rPr>
          <w:b/>
          <w:bCs/>
          <w:lang w:eastAsia="ja-JP"/>
        </w:rPr>
      </w:pPr>
      <w:r>
        <w:rPr>
          <w:b/>
          <w:bCs/>
          <w:lang w:eastAsia="ja-JP"/>
        </w:rPr>
        <w:t>Proposal 4</w:t>
      </w:r>
      <w:r w:rsidR="004D4BD9">
        <w:rPr>
          <w:b/>
          <w:bCs/>
          <w:lang w:eastAsia="ja-JP"/>
        </w:rPr>
        <w:t xml:space="preserve">: RAN1 to introduce beam-specific BWPs for NTN. </w:t>
      </w:r>
    </w:p>
    <w:p w:rsidR="004D4BD9" w:rsidRDefault="004D4BD9" w:rsidP="004D4BD9">
      <w:pPr>
        <w:rPr>
          <w:b/>
          <w:bCs/>
          <w:lang w:eastAsia="ja-JP"/>
        </w:rPr>
      </w:pPr>
      <w:r>
        <w:rPr>
          <w:b/>
          <w:bCs/>
          <w:lang w:eastAsia="ja-JP"/>
        </w:rPr>
        <w:t xml:space="preserve">Observation 5: Beam-specific BWPs consideration for NTN facilitates the design of unified solution for beam switching indication in NTN. </w:t>
      </w:r>
    </w:p>
    <w:p w:rsidR="00372EFB" w:rsidRPr="004D4BD9" w:rsidRDefault="00372EFB" w:rsidP="00372EFB">
      <w:pPr>
        <w:rPr>
          <w:b/>
          <w:bCs/>
          <w:lang w:eastAsia="ja-JP"/>
        </w:rPr>
      </w:pPr>
      <w:r>
        <w:rPr>
          <w:b/>
          <w:bCs/>
          <w:lang w:eastAsia="ja-JP"/>
        </w:rPr>
        <w:t xml:space="preserve">Proposal </w:t>
      </w:r>
      <w:r w:rsidR="00CE5B53">
        <w:rPr>
          <w:b/>
          <w:bCs/>
          <w:lang w:eastAsia="ja-JP"/>
        </w:rPr>
        <w:t>5</w:t>
      </w:r>
      <w:bookmarkStart w:id="0" w:name="_GoBack"/>
      <w:bookmarkEnd w:id="0"/>
      <w:r>
        <w:rPr>
          <w:b/>
          <w:bCs/>
          <w:lang w:eastAsia="ja-JP"/>
        </w:rPr>
        <w:t>: RAN1 to clarify the scope of beam management enhancement.</w:t>
      </w:r>
    </w:p>
    <w:p w:rsidR="003F0798" w:rsidRDefault="003F0798" w:rsidP="003F0798">
      <w:pPr>
        <w:pStyle w:val="berschrift1"/>
      </w:pPr>
      <w:r>
        <w:t xml:space="preserve">References </w:t>
      </w:r>
    </w:p>
    <w:p w:rsidR="008F5739" w:rsidRDefault="003F0798" w:rsidP="003F0798">
      <w:pPr>
        <w:pStyle w:val="Reference"/>
        <w:numPr>
          <w:ilvl w:val="0"/>
          <w:numId w:val="15"/>
        </w:numPr>
        <w:tabs>
          <w:tab w:val="left" w:pos="1701"/>
        </w:tabs>
        <w:overflowPunct/>
        <w:autoSpaceDE/>
        <w:autoSpaceDN/>
        <w:adjustRightInd/>
        <w:jc w:val="left"/>
        <w:textAlignment w:val="auto"/>
      </w:pPr>
      <w:bookmarkStart w:id="1" w:name="_Ref528322197"/>
      <w:r>
        <w:t>3GPP TR 38.821 v16.0</w:t>
      </w:r>
      <w:r w:rsidRPr="003C1A5F">
        <w:t>.</w:t>
      </w:r>
      <w:r>
        <w:t>0 (2019-12)</w:t>
      </w:r>
      <w:r w:rsidRPr="003C1A5F">
        <w:t>: 3rd Generation Partnership Project; Technical Specification Group Radio Access Network; Solutions for NR to support non-terrestrial networks (NTN) (Release 16)</w:t>
      </w:r>
      <w:bookmarkEnd w:id="1"/>
      <w:r>
        <w:t xml:space="preserve"> </w:t>
      </w:r>
    </w:p>
    <w:p w:rsidR="001E521A" w:rsidRDefault="001E521A" w:rsidP="001E521A">
      <w:pPr>
        <w:pStyle w:val="Reference"/>
        <w:numPr>
          <w:ilvl w:val="0"/>
          <w:numId w:val="15"/>
        </w:numPr>
        <w:tabs>
          <w:tab w:val="left" w:pos="1701"/>
        </w:tabs>
        <w:overflowPunct/>
        <w:autoSpaceDE/>
        <w:autoSpaceDN/>
        <w:adjustRightInd/>
        <w:jc w:val="left"/>
        <w:textAlignment w:val="auto"/>
      </w:pPr>
      <w:r w:rsidRPr="001E521A">
        <w:t>R1-2009736</w:t>
      </w:r>
      <w:r>
        <w:t>, “</w:t>
      </w:r>
      <w:r w:rsidRPr="001E521A">
        <w:t>Summary #3 of 8.4.4 Other Aspects of NR-NTN</w:t>
      </w:r>
      <w:r>
        <w:t>”, RAN1#103-e, Nov. 2020.</w:t>
      </w:r>
      <w:r w:rsidR="00B200D5">
        <w:t xml:space="preserve"> </w:t>
      </w:r>
    </w:p>
    <w:p w:rsidR="00B200D5" w:rsidRPr="008F5739" w:rsidRDefault="00B200D5" w:rsidP="004417B8">
      <w:pPr>
        <w:pStyle w:val="Reference"/>
        <w:numPr>
          <w:ilvl w:val="0"/>
          <w:numId w:val="15"/>
        </w:numPr>
        <w:tabs>
          <w:tab w:val="left" w:pos="1701"/>
        </w:tabs>
        <w:overflowPunct/>
        <w:autoSpaceDE/>
        <w:autoSpaceDN/>
        <w:adjustRightInd/>
        <w:jc w:val="left"/>
        <w:textAlignment w:val="auto"/>
      </w:pPr>
      <w:r>
        <w:t>3GPP TR 38.</w:t>
      </w:r>
      <w:r w:rsidR="004417B8">
        <w:t>300 v16.4</w:t>
      </w:r>
      <w:r w:rsidRPr="003C1A5F">
        <w:t>.</w:t>
      </w:r>
      <w:r w:rsidR="004417B8">
        <w:t>0 (2020</w:t>
      </w:r>
      <w:r>
        <w:t>-12)</w:t>
      </w:r>
      <w:r w:rsidRPr="003C1A5F">
        <w:t xml:space="preserve">: 3rd Generation Partnership Project; Technical Specification Group Radio Access Network; </w:t>
      </w:r>
      <w:r w:rsidR="004417B8">
        <w:t>NR; NR and NG-RAN Overall Description; Stage 2 (Release 16)</w:t>
      </w:r>
    </w:p>
    <w:p w:rsidR="00361B7F" w:rsidRPr="008F5739" w:rsidRDefault="000B11B8" w:rsidP="00795E1D">
      <w:pPr>
        <w:rPr>
          <w:sz w:val="24"/>
          <w:szCs w:val="24"/>
        </w:rPr>
      </w:pPr>
      <w:r>
        <w:rPr>
          <w:sz w:val="24"/>
          <w:szCs w:val="24"/>
        </w:rPr>
        <w:t xml:space="preserve"> </w:t>
      </w:r>
    </w:p>
    <w:sectPr w:rsidR="00361B7F" w:rsidRPr="008F5739">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berschrift1"/>
      <w:lvlText w:val="%1"/>
      <w:lvlJc w:val="left"/>
      <w:pPr>
        <w:tabs>
          <w:tab w:val="left" w:pos="432"/>
        </w:tabs>
        <w:ind w:left="432" w:hanging="432"/>
      </w:pPr>
      <w:rPr>
        <w:rFonts w:hint="default"/>
      </w:rPr>
    </w:lvl>
    <w:lvl w:ilvl="1">
      <w:start w:val="1"/>
      <w:numFmt w:val="decimal"/>
      <w:pStyle w:val="berschrift2"/>
      <w:lvlText w:val="%1.%2"/>
      <w:lvlJc w:val="left"/>
      <w:pPr>
        <w:tabs>
          <w:tab w:val="left" w:pos="576"/>
        </w:tabs>
        <w:ind w:left="576" w:hanging="576"/>
      </w:pPr>
      <w:rPr>
        <w:rFonts w:hint="default"/>
      </w:rPr>
    </w:lvl>
    <w:lvl w:ilvl="2">
      <w:start w:val="1"/>
      <w:numFmt w:val="decimal"/>
      <w:pStyle w:val="berschrift3"/>
      <w:lvlText w:val="%1.%2.%3"/>
      <w:lvlJc w:val="left"/>
      <w:pPr>
        <w:tabs>
          <w:tab w:val="left" w:pos="720"/>
        </w:tabs>
        <w:ind w:left="720" w:hanging="720"/>
      </w:pPr>
      <w:rPr>
        <w:rFonts w:hint="default"/>
      </w:rPr>
    </w:lvl>
    <w:lvl w:ilvl="3">
      <w:start w:val="1"/>
      <w:numFmt w:val="decimal"/>
      <w:pStyle w:val="berschrift4"/>
      <w:lvlText w:val="%1.%2.%3.%4"/>
      <w:lvlJc w:val="left"/>
      <w:pPr>
        <w:tabs>
          <w:tab w:val="left" w:pos="864"/>
        </w:tabs>
        <w:ind w:left="864" w:hanging="864"/>
      </w:pPr>
      <w:rPr>
        <w:rFonts w:hint="default"/>
      </w:rPr>
    </w:lvl>
    <w:lvl w:ilvl="4">
      <w:start w:val="1"/>
      <w:numFmt w:val="decimal"/>
      <w:pStyle w:val="berschrift5"/>
      <w:lvlText w:val="%1.%2.%3.%4.%5"/>
      <w:lvlJc w:val="left"/>
      <w:pPr>
        <w:tabs>
          <w:tab w:val="left" w:pos="1008"/>
        </w:tabs>
        <w:ind w:left="1008" w:hanging="1008"/>
      </w:pPr>
      <w:rPr>
        <w:rFonts w:hint="default"/>
      </w:rPr>
    </w:lvl>
    <w:lvl w:ilvl="5">
      <w:start w:val="1"/>
      <w:numFmt w:val="decimal"/>
      <w:pStyle w:val="berschrift6"/>
      <w:lvlText w:val="%1.%2.%3.%4.%5.%6"/>
      <w:lvlJc w:val="left"/>
      <w:pPr>
        <w:tabs>
          <w:tab w:val="left" w:pos="1152"/>
        </w:tabs>
        <w:ind w:left="1152" w:hanging="1152"/>
      </w:pPr>
      <w:rPr>
        <w:rFonts w:hint="default"/>
      </w:rPr>
    </w:lvl>
    <w:lvl w:ilvl="6">
      <w:start w:val="1"/>
      <w:numFmt w:val="decimal"/>
      <w:pStyle w:val="berschrift7"/>
      <w:lvlText w:val="%1.%2.%3.%4.%5.%6.%7"/>
      <w:lvlJc w:val="left"/>
      <w:pPr>
        <w:tabs>
          <w:tab w:val="left" w:pos="1296"/>
        </w:tabs>
        <w:ind w:left="1296" w:hanging="1296"/>
      </w:pPr>
      <w:rPr>
        <w:rFonts w:hint="default"/>
      </w:rPr>
    </w:lvl>
    <w:lvl w:ilvl="7">
      <w:start w:val="1"/>
      <w:numFmt w:val="decimal"/>
      <w:pStyle w:val="berschrift8"/>
      <w:lvlText w:val="%1.%2.%3.%4.%5.%6.%7.%8"/>
      <w:lvlJc w:val="left"/>
      <w:pPr>
        <w:tabs>
          <w:tab w:val="left" w:pos="1440"/>
        </w:tabs>
        <w:ind w:left="1440" w:hanging="1440"/>
      </w:pPr>
      <w:rPr>
        <w:rFonts w:hint="default"/>
      </w:rPr>
    </w:lvl>
    <w:lvl w:ilvl="8">
      <w:start w:val="1"/>
      <w:numFmt w:val="decimal"/>
      <w:pStyle w:val="berschrift9"/>
      <w:lvlText w:val="%1.%2.%3.%4.%5.%6.%7.%8.%9"/>
      <w:lvlJc w:val="left"/>
      <w:pPr>
        <w:tabs>
          <w:tab w:val="left" w:pos="1584"/>
        </w:tabs>
        <w:ind w:left="1584" w:hanging="1584"/>
      </w:pPr>
      <w:rPr>
        <w:rFonts w:hint="default"/>
      </w:rPr>
    </w:lvl>
  </w:abstractNum>
  <w:abstractNum w:abstractNumId="1"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
  </w:num>
  <w:num w:numId="3">
    <w:abstractNumId w:val="5"/>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2"/>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8521D"/>
    <w:rsid w:val="000B11B8"/>
    <w:rsid w:val="00107027"/>
    <w:rsid w:val="001358D6"/>
    <w:rsid w:val="00151889"/>
    <w:rsid w:val="00161F99"/>
    <w:rsid w:val="0017328F"/>
    <w:rsid w:val="001A7667"/>
    <w:rsid w:val="001B70FB"/>
    <w:rsid w:val="001D1F19"/>
    <w:rsid w:val="001E521A"/>
    <w:rsid w:val="002828D4"/>
    <w:rsid w:val="002A3C82"/>
    <w:rsid w:val="002B610E"/>
    <w:rsid w:val="00335AB4"/>
    <w:rsid w:val="00361B7F"/>
    <w:rsid w:val="00372EFB"/>
    <w:rsid w:val="00392527"/>
    <w:rsid w:val="003F0798"/>
    <w:rsid w:val="004417B8"/>
    <w:rsid w:val="004D4BD9"/>
    <w:rsid w:val="005131B7"/>
    <w:rsid w:val="00524997"/>
    <w:rsid w:val="00550E62"/>
    <w:rsid w:val="00580E2A"/>
    <w:rsid w:val="00594232"/>
    <w:rsid w:val="00606967"/>
    <w:rsid w:val="00627ADD"/>
    <w:rsid w:val="00673C32"/>
    <w:rsid w:val="00680263"/>
    <w:rsid w:val="00686D8D"/>
    <w:rsid w:val="006B5C33"/>
    <w:rsid w:val="006C6A4C"/>
    <w:rsid w:val="00795E1D"/>
    <w:rsid w:val="007A5EDF"/>
    <w:rsid w:val="007A7641"/>
    <w:rsid w:val="007C6800"/>
    <w:rsid w:val="007F0C4F"/>
    <w:rsid w:val="00857D11"/>
    <w:rsid w:val="00884493"/>
    <w:rsid w:val="008D7CCA"/>
    <w:rsid w:val="008F11C4"/>
    <w:rsid w:val="008F5739"/>
    <w:rsid w:val="00933D4C"/>
    <w:rsid w:val="009E5872"/>
    <w:rsid w:val="009E59C2"/>
    <w:rsid w:val="00A02643"/>
    <w:rsid w:val="00A743DC"/>
    <w:rsid w:val="00AC7860"/>
    <w:rsid w:val="00AF762E"/>
    <w:rsid w:val="00B14361"/>
    <w:rsid w:val="00B154AC"/>
    <w:rsid w:val="00B200D5"/>
    <w:rsid w:val="00B879AB"/>
    <w:rsid w:val="00BD2D5E"/>
    <w:rsid w:val="00CA5C1D"/>
    <w:rsid w:val="00CD32A1"/>
    <w:rsid w:val="00CE5B53"/>
    <w:rsid w:val="00D06F99"/>
    <w:rsid w:val="00D24D9B"/>
    <w:rsid w:val="00D423C3"/>
    <w:rsid w:val="00E0379E"/>
    <w:rsid w:val="00E37CA2"/>
    <w:rsid w:val="00E563B0"/>
    <w:rsid w:val="00E82DE7"/>
    <w:rsid w:val="00F23A23"/>
    <w:rsid w:val="00FA6333"/>
    <w:rsid w:val="00FA686E"/>
    <w:rsid w:val="00FB1C7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168B9"/>
  <w15:chartTrackingRefBased/>
  <w15:docId w15:val="{477B48CD-5EAF-4C9C-9AFD-5F1B4BA4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43DC"/>
    <w:pPr>
      <w:overflowPunct w:val="0"/>
      <w:autoSpaceDE w:val="0"/>
      <w:autoSpaceDN w:val="0"/>
      <w:adjustRightInd w:val="0"/>
      <w:spacing w:after="120"/>
      <w:jc w:val="both"/>
      <w:textAlignment w:val="baseline"/>
    </w:pPr>
    <w:rPr>
      <w:rFonts w:ascii="Arial" w:hAnsi="Arial"/>
      <w:lang w:val="en-GB" w:eastAsia="zh-CN"/>
    </w:rPr>
  </w:style>
  <w:style w:type="paragraph" w:styleId="berschrift1">
    <w:name w:val="heading 1"/>
    <w:next w:val="Standard"/>
    <w:link w:val="berschrift1Zchn"/>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berschrift2">
    <w:name w:val="heading 2"/>
    <w:basedOn w:val="berschrift1"/>
    <w:next w:val="Standard"/>
    <w:link w:val="berschrift2Zchn"/>
    <w:qFormat/>
    <w:rsid w:val="00A743DC"/>
    <w:pPr>
      <w:numPr>
        <w:ilvl w:val="1"/>
      </w:numPr>
      <w:pBdr>
        <w:top w:val="none" w:sz="0" w:space="0" w:color="auto"/>
      </w:pBdr>
      <w:spacing w:before="180"/>
      <w:outlineLvl w:val="1"/>
    </w:pPr>
    <w:rPr>
      <w:sz w:val="32"/>
      <w:szCs w:val="32"/>
    </w:rPr>
  </w:style>
  <w:style w:type="paragraph" w:styleId="berschrift3">
    <w:name w:val="heading 3"/>
    <w:basedOn w:val="berschrift2"/>
    <w:next w:val="Standard"/>
    <w:link w:val="berschrift3Zchn"/>
    <w:qFormat/>
    <w:rsid w:val="00A743DC"/>
    <w:pPr>
      <w:numPr>
        <w:ilvl w:val="2"/>
      </w:numPr>
      <w:spacing w:before="120"/>
      <w:outlineLvl w:val="2"/>
    </w:pPr>
    <w:rPr>
      <w:sz w:val="28"/>
      <w:szCs w:val="28"/>
    </w:rPr>
  </w:style>
  <w:style w:type="paragraph" w:styleId="berschrift4">
    <w:name w:val="heading 4"/>
    <w:basedOn w:val="berschrift3"/>
    <w:next w:val="Standard"/>
    <w:link w:val="berschrift4Zchn"/>
    <w:qFormat/>
    <w:rsid w:val="00A743DC"/>
    <w:pPr>
      <w:numPr>
        <w:ilvl w:val="3"/>
      </w:numPr>
      <w:outlineLvl w:val="3"/>
    </w:pPr>
    <w:rPr>
      <w:sz w:val="24"/>
      <w:szCs w:val="24"/>
    </w:rPr>
  </w:style>
  <w:style w:type="paragraph" w:styleId="berschrift5">
    <w:name w:val="heading 5"/>
    <w:basedOn w:val="berschrift4"/>
    <w:next w:val="Standard"/>
    <w:link w:val="berschrift5Zchn"/>
    <w:qFormat/>
    <w:rsid w:val="00A743DC"/>
    <w:pPr>
      <w:numPr>
        <w:ilvl w:val="4"/>
      </w:numPr>
      <w:outlineLvl w:val="4"/>
    </w:pPr>
    <w:rPr>
      <w:sz w:val="22"/>
      <w:szCs w:val="22"/>
    </w:rPr>
  </w:style>
  <w:style w:type="paragraph" w:styleId="berschrift6">
    <w:name w:val="heading 6"/>
    <w:basedOn w:val="Standard"/>
    <w:next w:val="Standard"/>
    <w:link w:val="berschrift6Zchn"/>
    <w:qFormat/>
    <w:rsid w:val="00A743DC"/>
    <w:pPr>
      <w:keepNext/>
      <w:keepLines/>
      <w:numPr>
        <w:ilvl w:val="5"/>
        <w:numId w:val="12"/>
      </w:numPr>
      <w:tabs>
        <w:tab w:val="left" w:pos="432"/>
      </w:tabs>
      <w:spacing w:before="120"/>
      <w:outlineLvl w:val="5"/>
    </w:pPr>
    <w:rPr>
      <w:rFonts w:cs="Arial"/>
    </w:rPr>
  </w:style>
  <w:style w:type="paragraph" w:styleId="berschrift7">
    <w:name w:val="heading 7"/>
    <w:basedOn w:val="Standard"/>
    <w:next w:val="Standard"/>
    <w:link w:val="berschrift7Zchn"/>
    <w:qFormat/>
    <w:rsid w:val="00A743DC"/>
    <w:pPr>
      <w:keepNext/>
      <w:keepLines/>
      <w:numPr>
        <w:ilvl w:val="6"/>
        <w:numId w:val="12"/>
      </w:numPr>
      <w:tabs>
        <w:tab w:val="left" w:pos="432"/>
      </w:tabs>
      <w:spacing w:before="120"/>
      <w:outlineLvl w:val="6"/>
    </w:pPr>
    <w:rPr>
      <w:rFonts w:cs="Arial"/>
    </w:rPr>
  </w:style>
  <w:style w:type="paragraph" w:styleId="berschrift8">
    <w:name w:val="heading 8"/>
    <w:basedOn w:val="berschrift7"/>
    <w:next w:val="Standard"/>
    <w:link w:val="berschrift8Zchn"/>
    <w:qFormat/>
    <w:rsid w:val="00A743DC"/>
    <w:pPr>
      <w:numPr>
        <w:ilvl w:val="7"/>
      </w:numPr>
      <w:outlineLvl w:val="7"/>
    </w:pPr>
  </w:style>
  <w:style w:type="paragraph" w:styleId="berschrift9">
    <w:name w:val="heading 9"/>
    <w:basedOn w:val="berschrift8"/>
    <w:next w:val="Standard"/>
    <w:link w:val="berschrift9Zchn"/>
    <w:qFormat/>
    <w:rsid w:val="00A743DC"/>
    <w:pPr>
      <w:numPr>
        <w:ilvl w:val="8"/>
      </w:numPr>
      <w:tabs>
        <w:tab w:val="clear" w:pos="432"/>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A743DC"/>
    <w:rPr>
      <w:rFonts w:ascii="Arial" w:eastAsia="Times New Roman" w:hAnsi="Arial" w:cs="Arial"/>
      <w:sz w:val="32"/>
      <w:szCs w:val="32"/>
      <w:lang w:val="en-GB" w:eastAsia="zh-CN"/>
    </w:rPr>
  </w:style>
  <w:style w:type="character" w:customStyle="1" w:styleId="berschrift1Zchn">
    <w:name w:val="Überschrift 1 Zchn"/>
    <w:basedOn w:val="Absatz-Standardschriftart"/>
    <w:link w:val="berschrift1"/>
    <w:rsid w:val="00A743DC"/>
    <w:rPr>
      <w:rFonts w:ascii="Arial" w:eastAsia="Times New Roman" w:hAnsi="Arial" w:cs="Arial"/>
      <w:sz w:val="36"/>
      <w:szCs w:val="36"/>
      <w:lang w:val="en-GB" w:eastAsia="zh-CN"/>
    </w:rPr>
  </w:style>
  <w:style w:type="paragraph" w:customStyle="1" w:styleId="3GPPHeader">
    <w:name w:val="3GPP_Header"/>
    <w:basedOn w:val="Standard"/>
    <w:rsid w:val="00A743DC"/>
    <w:pPr>
      <w:tabs>
        <w:tab w:val="left" w:pos="1701"/>
        <w:tab w:val="right" w:pos="9639"/>
      </w:tabs>
      <w:spacing w:after="240"/>
    </w:pPr>
    <w:rPr>
      <w:b/>
      <w:sz w:val="24"/>
    </w:rPr>
  </w:style>
  <w:style w:type="paragraph" w:styleId="Liste">
    <w:name w:val="List"/>
    <w:basedOn w:val="Standard"/>
    <w:uiPriority w:val="99"/>
    <w:semiHidden/>
    <w:unhideWhenUsed/>
    <w:rsid w:val="00A743DC"/>
    <w:pPr>
      <w:ind w:left="360" w:hanging="360"/>
      <w:contextualSpacing/>
    </w:pPr>
  </w:style>
  <w:style w:type="paragraph" w:customStyle="1" w:styleId="B1">
    <w:name w:val="B1"/>
    <w:basedOn w:val="Liste"/>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e2">
    <w:name w:val="List 2"/>
    <w:basedOn w:val="Standard"/>
    <w:uiPriority w:val="99"/>
    <w:semiHidden/>
    <w:unhideWhenUsed/>
    <w:rsid w:val="00A743DC"/>
    <w:pPr>
      <w:ind w:left="720" w:hanging="360"/>
      <w:contextualSpacing/>
    </w:pPr>
  </w:style>
  <w:style w:type="paragraph" w:customStyle="1" w:styleId="B2">
    <w:name w:val="B2"/>
    <w:basedOn w:val="Liste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Sprechblasentext">
    <w:name w:val="Balloon Text"/>
    <w:basedOn w:val="Standard"/>
    <w:link w:val="SprechblasentextZchn"/>
    <w:uiPriority w:val="99"/>
    <w:semiHidden/>
    <w:unhideWhenUsed/>
    <w:rsid w:val="00A743DC"/>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743DC"/>
    <w:rPr>
      <w:rFonts w:ascii="Segoe UI" w:eastAsia="Times New Roman" w:hAnsi="Segoe UI" w:cs="Segoe UI"/>
      <w:sz w:val="18"/>
      <w:szCs w:val="18"/>
      <w:lang w:val="en-GB" w:eastAsia="zh-CN"/>
    </w:rPr>
  </w:style>
  <w:style w:type="character" w:styleId="Kommentarzeichen">
    <w:name w:val="annotation reference"/>
    <w:basedOn w:val="Absatz-Standardschriftart"/>
    <w:uiPriority w:val="99"/>
    <w:semiHidden/>
    <w:unhideWhenUsed/>
    <w:rsid w:val="00A743DC"/>
    <w:rPr>
      <w:sz w:val="21"/>
      <w:szCs w:val="21"/>
    </w:rPr>
  </w:style>
  <w:style w:type="paragraph" w:styleId="Kommentartext">
    <w:name w:val="annotation text"/>
    <w:basedOn w:val="Standard"/>
    <w:link w:val="KommentartextZchn"/>
    <w:uiPriority w:val="99"/>
    <w:semiHidden/>
    <w:unhideWhenUsed/>
    <w:rsid w:val="00A743DC"/>
    <w:pPr>
      <w:jc w:val="left"/>
    </w:pPr>
  </w:style>
  <w:style w:type="character" w:customStyle="1" w:styleId="KommentartextZchn">
    <w:name w:val="Kommentartext Zchn"/>
    <w:basedOn w:val="Absatz-Standardschriftart"/>
    <w:link w:val="Kommentartext"/>
    <w:uiPriority w:val="99"/>
    <w:semiHidden/>
    <w:rsid w:val="00A743DC"/>
    <w:rPr>
      <w:rFonts w:ascii="Arial" w:eastAsia="Times New Roman" w:hAnsi="Arial"/>
      <w:lang w:val="en-GB" w:eastAsia="zh-CN"/>
    </w:rPr>
  </w:style>
  <w:style w:type="paragraph" w:styleId="Kommentarthema">
    <w:name w:val="annotation subject"/>
    <w:basedOn w:val="Kommentartext"/>
    <w:next w:val="Kommentartext"/>
    <w:link w:val="KommentarthemaZchn"/>
    <w:uiPriority w:val="99"/>
    <w:semiHidden/>
    <w:unhideWhenUsed/>
    <w:rsid w:val="00A743DC"/>
    <w:rPr>
      <w:b/>
      <w:bCs/>
    </w:rPr>
  </w:style>
  <w:style w:type="character" w:customStyle="1" w:styleId="KommentarthemaZchn">
    <w:name w:val="Kommentarthema Zchn"/>
    <w:basedOn w:val="KommentartextZchn"/>
    <w:link w:val="Kommentarthema"/>
    <w:uiPriority w:val="99"/>
    <w:semiHidden/>
    <w:rsid w:val="00A743DC"/>
    <w:rPr>
      <w:rFonts w:ascii="Arial" w:eastAsia="Times New Roman" w:hAnsi="Arial"/>
      <w:b/>
      <w:bCs/>
      <w:lang w:val="en-GB" w:eastAsia="zh-CN"/>
    </w:rPr>
  </w:style>
  <w:style w:type="paragraph" w:customStyle="1" w:styleId="Doc-text2">
    <w:name w:val="Doc-text2"/>
    <w:basedOn w:val="Standard"/>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Standard"/>
    <w:next w:val="Standard"/>
    <w:link w:val="EmailDiscussionChar"/>
    <w:qFormat/>
    <w:rsid w:val="00A743DC"/>
    <w:pPr>
      <w:numPr>
        <w:numId w:val="3"/>
      </w:numPr>
      <w:overflowPunct/>
      <w:autoSpaceDE/>
      <w:autoSpaceDN/>
      <w:adjustRightInd/>
      <w:spacing w:before="40" w:after="0"/>
      <w:jc w:val="left"/>
      <w:textAlignment w:val="auto"/>
    </w:pPr>
    <w:rPr>
      <w:rFonts w:eastAsiaTheme="minorHAnsi" w:cs="Arial"/>
      <w:b/>
      <w:sz w:val="22"/>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Standard"/>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Kopfzeile">
    <w:name w:val="header"/>
    <w:basedOn w:val="Standard"/>
    <w:link w:val="KopfzeileZchn"/>
    <w:uiPriority w:val="99"/>
    <w:unhideWhenUsed/>
    <w:rsid w:val="00A743DC"/>
    <w:pPr>
      <w:tabs>
        <w:tab w:val="center" w:pos="4680"/>
        <w:tab w:val="right" w:pos="9360"/>
      </w:tabs>
      <w:spacing w:after="0"/>
    </w:pPr>
  </w:style>
  <w:style w:type="character" w:customStyle="1" w:styleId="KopfzeileZchn">
    <w:name w:val="Kopfzeile Zchn"/>
    <w:basedOn w:val="Absatz-Standardschriftart"/>
    <w:link w:val="Kopfzeile"/>
    <w:uiPriority w:val="99"/>
    <w:rsid w:val="00A743DC"/>
    <w:rPr>
      <w:rFonts w:ascii="Arial" w:eastAsia="Times New Roman" w:hAnsi="Arial"/>
      <w:lang w:val="en-GB" w:eastAsia="zh-CN"/>
    </w:rPr>
  </w:style>
  <w:style w:type="paragraph" w:styleId="Fuzeile">
    <w:name w:val="footer"/>
    <w:basedOn w:val="Kopfzeile"/>
    <w:link w:val="FuzeileZchn"/>
    <w:semiHidden/>
    <w:rsid w:val="00A743DC"/>
    <w:pPr>
      <w:widowControl w:val="0"/>
      <w:jc w:val="center"/>
    </w:pPr>
    <w:rPr>
      <w:rFonts w:cs="Arial"/>
      <w:b/>
      <w:bCs/>
      <w:i/>
      <w:iCs/>
      <w:sz w:val="18"/>
      <w:szCs w:val="18"/>
      <w:lang w:val="en-US"/>
    </w:rPr>
  </w:style>
  <w:style w:type="character" w:customStyle="1" w:styleId="FuzeileZchn">
    <w:name w:val="Fußzeile Zchn"/>
    <w:basedOn w:val="Absatz-Standardschriftart"/>
    <w:link w:val="Fuzeile"/>
    <w:semiHidden/>
    <w:rsid w:val="00A743DC"/>
    <w:rPr>
      <w:rFonts w:ascii="Arial" w:eastAsia="Times New Roman" w:hAnsi="Arial" w:cs="Arial"/>
      <w:b/>
      <w:bCs/>
      <w:i/>
      <w:iCs/>
      <w:sz w:val="18"/>
      <w:szCs w:val="18"/>
      <w:lang w:val="en-US" w:eastAsia="zh-CN"/>
    </w:rPr>
  </w:style>
  <w:style w:type="character" w:customStyle="1" w:styleId="berschrift3Zchn">
    <w:name w:val="Überschrift 3 Zchn"/>
    <w:basedOn w:val="Absatz-Standardschriftart"/>
    <w:link w:val="berschrift3"/>
    <w:rsid w:val="00A743DC"/>
    <w:rPr>
      <w:rFonts w:ascii="Arial" w:eastAsia="Times New Roman" w:hAnsi="Arial" w:cs="Arial"/>
      <w:sz w:val="28"/>
      <w:szCs w:val="28"/>
      <w:lang w:val="en-GB" w:eastAsia="zh-CN"/>
    </w:rPr>
  </w:style>
  <w:style w:type="character" w:customStyle="1" w:styleId="berschrift4Zchn">
    <w:name w:val="Überschrift 4 Zchn"/>
    <w:basedOn w:val="Absatz-Standardschriftart"/>
    <w:link w:val="berschrift4"/>
    <w:rsid w:val="00A743DC"/>
    <w:rPr>
      <w:rFonts w:ascii="Arial" w:eastAsia="Times New Roman" w:hAnsi="Arial" w:cs="Arial"/>
      <w:sz w:val="24"/>
      <w:szCs w:val="24"/>
      <w:lang w:val="en-GB" w:eastAsia="zh-CN"/>
    </w:rPr>
  </w:style>
  <w:style w:type="character" w:customStyle="1" w:styleId="berschrift5Zchn">
    <w:name w:val="Überschrift 5 Zchn"/>
    <w:basedOn w:val="Absatz-Standardschriftart"/>
    <w:link w:val="berschrift5"/>
    <w:rsid w:val="00A743DC"/>
    <w:rPr>
      <w:rFonts w:ascii="Arial" w:eastAsia="Times New Roman" w:hAnsi="Arial" w:cs="Arial"/>
      <w:sz w:val="22"/>
      <w:szCs w:val="22"/>
      <w:lang w:val="en-GB" w:eastAsia="zh-CN"/>
    </w:rPr>
  </w:style>
  <w:style w:type="character" w:customStyle="1" w:styleId="berschrift6Zchn">
    <w:name w:val="Überschrift 6 Zchn"/>
    <w:basedOn w:val="Absatz-Standardschriftart"/>
    <w:link w:val="berschrift6"/>
    <w:rsid w:val="00A743DC"/>
    <w:rPr>
      <w:rFonts w:ascii="Arial" w:eastAsia="Times New Roman" w:hAnsi="Arial" w:cs="Arial"/>
      <w:lang w:val="en-GB" w:eastAsia="zh-CN"/>
    </w:rPr>
  </w:style>
  <w:style w:type="character" w:customStyle="1" w:styleId="berschrift7Zchn">
    <w:name w:val="Überschrift 7 Zchn"/>
    <w:basedOn w:val="Absatz-Standardschriftart"/>
    <w:link w:val="berschrift7"/>
    <w:rsid w:val="00A743DC"/>
    <w:rPr>
      <w:rFonts w:ascii="Arial" w:eastAsia="Times New Roman" w:hAnsi="Arial" w:cs="Arial"/>
      <w:lang w:val="en-GB" w:eastAsia="zh-CN"/>
    </w:rPr>
  </w:style>
  <w:style w:type="character" w:customStyle="1" w:styleId="berschrift8Zchn">
    <w:name w:val="Überschrift 8 Zchn"/>
    <w:basedOn w:val="Absatz-Standardschriftart"/>
    <w:link w:val="berschrift8"/>
    <w:rsid w:val="00A743DC"/>
    <w:rPr>
      <w:rFonts w:ascii="Arial" w:eastAsia="Times New Roman" w:hAnsi="Arial" w:cs="Arial"/>
      <w:lang w:val="en-GB" w:eastAsia="zh-CN"/>
    </w:rPr>
  </w:style>
  <w:style w:type="character" w:customStyle="1" w:styleId="berschrift9Zchn">
    <w:name w:val="Überschrift 9 Zchn"/>
    <w:basedOn w:val="Absatz-Standardschriftart"/>
    <w:link w:val="berschrift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enabsatz">
    <w:name w:val="List Paragraph"/>
    <w:basedOn w:val="Standard"/>
    <w:link w:val="ListenabsatzZchn"/>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enabsatzZchn">
    <w:name w:val="Listenabsatz Zchn"/>
    <w:link w:val="Listenabsatz"/>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KeinLeerraum">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StandardWeb">
    <w:name w:val="Normal (Web)"/>
    <w:basedOn w:val="Standard"/>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character" w:styleId="Seitenzahl">
    <w:name w:val="page number"/>
    <w:semiHidden/>
    <w:rsid w:val="00A743DC"/>
  </w:style>
  <w:style w:type="paragraph" w:customStyle="1" w:styleId="Reference">
    <w:name w:val="Reference"/>
    <w:basedOn w:val="Standard"/>
    <w:rsid w:val="00A743DC"/>
    <w:pPr>
      <w:numPr>
        <w:numId w:val="13"/>
      </w:numPr>
    </w:pPr>
  </w:style>
  <w:style w:type="character" w:styleId="Fett">
    <w:name w:val="Strong"/>
    <w:basedOn w:val="Absatz-Standardschriftart"/>
    <w:uiPriority w:val="22"/>
    <w:qFormat/>
    <w:rsid w:val="00A743DC"/>
    <w:rPr>
      <w:b/>
      <w:bCs/>
    </w:rPr>
  </w:style>
  <w:style w:type="table" w:styleId="Tabellenraster">
    <w:name w:val="Table Grid"/>
    <w:basedOn w:val="NormaleTabelle"/>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Standard"/>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Standard"/>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Standard"/>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Fraunhofer</cp:lastModifiedBy>
  <cp:revision>3</cp:revision>
  <dcterms:created xsi:type="dcterms:W3CDTF">2021-01-18T14:09:00Z</dcterms:created>
  <dcterms:modified xsi:type="dcterms:W3CDTF">2021-01-18T14:19:00Z</dcterms:modified>
</cp:coreProperties>
</file>