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7FD0E637"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104</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bookmarkStart w:id="1" w:name="_GoBack"/>
      <w:r w:rsidR="00496A7B" w:rsidRPr="000F114B">
        <w:rPr>
          <w:rFonts w:ascii="Arial" w:eastAsia="ＭＳ 明朝" w:hAnsi="Arial"/>
          <w:b/>
          <w:noProof/>
          <w:lang w:val="en-US"/>
        </w:rPr>
        <w:t>2</w:t>
      </w:r>
      <w:r w:rsidR="0048498F" w:rsidRPr="000F114B">
        <w:rPr>
          <w:rFonts w:ascii="Arial" w:eastAsia="ＭＳ 明朝" w:hAnsi="Arial"/>
          <w:b/>
          <w:noProof/>
          <w:lang w:val="en-US"/>
        </w:rPr>
        <w:t>1</w:t>
      </w:r>
      <w:r w:rsidR="00496A7B" w:rsidRPr="000F114B">
        <w:rPr>
          <w:rFonts w:ascii="Arial" w:eastAsia="ＭＳ 明朝" w:hAnsi="Arial"/>
          <w:b/>
          <w:noProof/>
          <w:lang w:val="en-US"/>
        </w:rPr>
        <w:t>0</w:t>
      </w:r>
      <w:r w:rsidR="00283C1F">
        <w:rPr>
          <w:rFonts w:ascii="Arial" w:eastAsia="ＭＳ 明朝" w:hAnsi="Arial"/>
          <w:b/>
          <w:noProof/>
          <w:lang w:val="en-US"/>
        </w:rPr>
        <w:t>1611</w:t>
      </w:r>
      <w:bookmarkEnd w:id="1"/>
    </w:p>
    <w:bookmarkEnd w:id="0"/>
    <w:p w14:paraId="6F2E48AF" w14:textId="56298D1F"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48498F">
        <w:rPr>
          <w:rFonts w:ascii="Arial" w:eastAsia="ＭＳ 明朝" w:hAnsi="Arial"/>
          <w:b/>
          <w:noProof/>
        </w:rPr>
        <w:t>January 25</w:t>
      </w:r>
      <w:r w:rsidR="0048498F" w:rsidRPr="0048498F">
        <w:rPr>
          <w:rFonts w:ascii="Arial" w:eastAsia="ＭＳ 明朝" w:hAnsi="Arial"/>
          <w:b/>
          <w:noProof/>
          <w:vertAlign w:val="superscript"/>
        </w:rPr>
        <w:t>th</w:t>
      </w:r>
      <w:r w:rsidR="0048498F">
        <w:rPr>
          <w:rFonts w:ascii="Arial" w:eastAsia="ＭＳ 明朝" w:hAnsi="Arial"/>
          <w:b/>
          <w:noProof/>
        </w:rPr>
        <w:t xml:space="preserve"> – February 5</w:t>
      </w:r>
      <w:r w:rsidR="0048498F" w:rsidRPr="0048498F">
        <w:rPr>
          <w:rFonts w:ascii="Arial" w:eastAsia="ＭＳ 明朝" w:hAnsi="Arial"/>
          <w:b/>
          <w:noProof/>
          <w:vertAlign w:val="superscript"/>
        </w:rPr>
        <w:t>th</w:t>
      </w:r>
      <w:r w:rsidR="00CE4741" w:rsidRPr="00420A1D">
        <w:rPr>
          <w:rFonts w:ascii="Arial" w:eastAsia="ＭＳ 明朝" w:hAnsi="Arial"/>
          <w:b/>
          <w:noProof/>
        </w:rPr>
        <w:t>, 202</w:t>
      </w:r>
      <w:r w:rsidR="0048498F">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53D14E7E"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3E0767">
        <w:rPr>
          <w:sz w:val="24"/>
          <w:lang w:val="en-US"/>
        </w:rPr>
        <w:t>Potential enhancements</w:t>
      </w:r>
      <w:r w:rsidR="00C156F0">
        <w:rPr>
          <w:sz w:val="24"/>
          <w:lang w:val="en-US"/>
        </w:rPr>
        <w:t xml:space="preserve"> </w:t>
      </w:r>
      <w:r w:rsidR="0048498F">
        <w:rPr>
          <w:sz w:val="24"/>
          <w:lang w:val="en-US"/>
        </w:rPr>
        <w:t>for NR from 52.6 to 71 GHz</w:t>
      </w:r>
    </w:p>
    <w:p w14:paraId="327D0F9A" w14:textId="4CE943B4"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2" w:name="Source"/>
      <w:bookmarkEnd w:id="2"/>
      <w:r w:rsidRPr="00034B54">
        <w:rPr>
          <w:sz w:val="24"/>
          <w:lang w:val="en-US"/>
        </w:rPr>
        <w:tab/>
      </w:r>
      <w:r w:rsidR="0048498F">
        <w:rPr>
          <w:rFonts w:hint="eastAsia"/>
          <w:sz w:val="24"/>
          <w:lang w:val="en-US" w:eastAsia="ja-JP"/>
        </w:rPr>
        <w:t>8.2.</w:t>
      </w:r>
      <w:r w:rsidR="003E0767">
        <w:rPr>
          <w:sz w:val="24"/>
          <w:lang w:val="en-US" w:eastAsia="ja-JP"/>
        </w:rPr>
        <w:t>7</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3" w:name="DocumentFor"/>
      <w:bookmarkEnd w:id="3"/>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DE7FEFC" w14:textId="36A61010" w:rsidR="00C156F0" w:rsidRPr="003E0767" w:rsidRDefault="003E0767" w:rsidP="003E0767">
      <w:pPr>
        <w:spacing w:afterLines="50" w:after="120"/>
        <w:jc w:val="both"/>
        <w:rPr>
          <w:rFonts w:eastAsia="ＭＳ 明朝"/>
          <w:szCs w:val="22"/>
          <w:lang w:val="en-US"/>
        </w:rPr>
      </w:pPr>
      <w:r>
        <w:rPr>
          <w:rFonts w:eastAsia="ＭＳ 明朝"/>
          <w:szCs w:val="22"/>
          <w:lang w:val="en-US"/>
        </w:rPr>
        <w:t>T</w:t>
      </w:r>
      <w:r>
        <w:rPr>
          <w:rFonts w:eastAsia="ＭＳ 明朝" w:hint="eastAsia"/>
          <w:szCs w:val="22"/>
          <w:lang w:val="en-US"/>
        </w:rPr>
        <w:t xml:space="preserve">his document provides our views on some potential enhancements related to physical layer aspects for NR </w:t>
      </w:r>
      <w:r>
        <w:rPr>
          <w:rFonts w:eastAsia="ＭＳ 明朝"/>
          <w:szCs w:val="22"/>
          <w:lang w:val="en-US"/>
        </w:rPr>
        <w:t xml:space="preserve">from 52.6 – 71 GHz. </w:t>
      </w:r>
    </w:p>
    <w:p w14:paraId="2C68294B" w14:textId="7CBCC553" w:rsidR="009511C1" w:rsidRDefault="009511C1" w:rsidP="00A65306">
      <w:pPr>
        <w:rPr>
          <w:rFonts w:eastAsia="ＭＳ 明朝"/>
          <w:b/>
          <w:bCs/>
          <w:szCs w:val="24"/>
          <w:lang w:val="en-US"/>
        </w:rPr>
      </w:pPr>
    </w:p>
    <w:p w14:paraId="55588E4E" w14:textId="48CF87C8" w:rsidR="009511C1" w:rsidRDefault="009511C1" w:rsidP="009511C1">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Discussion</w:t>
      </w:r>
    </w:p>
    <w:p w14:paraId="4273E04D" w14:textId="6EEEA432" w:rsidR="00C156F0" w:rsidRDefault="003E0767" w:rsidP="00C156F0">
      <w:pPr>
        <w:pStyle w:val="2"/>
        <w:numPr>
          <w:ilvl w:val="1"/>
          <w:numId w:val="6"/>
        </w:numPr>
        <w:rPr>
          <w:lang w:val="en-US"/>
        </w:rPr>
      </w:pPr>
      <w:r>
        <w:rPr>
          <w:lang w:val="en-US"/>
        </w:rPr>
        <w:t>SSB</w:t>
      </w:r>
      <w:r w:rsidR="00110860">
        <w:rPr>
          <w:lang w:val="en-US"/>
        </w:rPr>
        <w:t xml:space="preserve"> measurement window</w:t>
      </w:r>
      <w:r>
        <w:rPr>
          <w:lang w:val="en-US"/>
        </w:rPr>
        <w:t xml:space="preserve"> enhancement</w:t>
      </w:r>
    </w:p>
    <w:p w14:paraId="31C98EC7" w14:textId="3845F582" w:rsidR="003050E4" w:rsidRDefault="003E0767" w:rsidP="003050E4">
      <w:pPr>
        <w:rPr>
          <w:lang w:val="en-US"/>
        </w:rPr>
      </w:pPr>
      <w:r>
        <w:rPr>
          <w:lang w:val="en-US"/>
        </w:rPr>
        <w:t>In [1</w:t>
      </w:r>
      <w:r w:rsidRPr="003E0767">
        <w:rPr>
          <w:lang w:val="en-US"/>
        </w:rPr>
        <w:t>], it is clarified that up to 64 SSB beams are considered in this SI, which is the same as Rel-15 NR in FR2. If SSB structure in Rel-15 NR is reused, as slot length is scalable based on SCS, shorter duration of a SSB burst set would be considered with larger SCS. For example, 64 SSB beams are included within 2.5 ms with 240 kHz and within 1.25 ms with 480 kHz SCS. On the other hand, the maximum window duration to search a SSB burst set is 5 ms and the granularity of the window duration is 1 ms in Rel-15 NR. Considering potential higher complexity to search SSB with higher SCS due to short symbol length, shorter search window duration with finer granularity of window timing/duration may be preferable. Therefore, an enhancement on the window duration to search a SSB burst set, e.g. to limit the window duration, may be studied.</w:t>
      </w:r>
    </w:p>
    <w:p w14:paraId="40DD8470" w14:textId="7798C07F" w:rsidR="003050E4" w:rsidRDefault="003050E4" w:rsidP="00A65306">
      <w:pPr>
        <w:rPr>
          <w:lang w:val="en-US"/>
        </w:rPr>
      </w:pPr>
    </w:p>
    <w:p w14:paraId="3A1DAD11" w14:textId="67B61A7A" w:rsidR="00314D36" w:rsidRPr="00314D36" w:rsidRDefault="00314D36" w:rsidP="00A65306">
      <w:pPr>
        <w:rPr>
          <w:i/>
          <w:szCs w:val="22"/>
        </w:rPr>
      </w:pPr>
      <w:r w:rsidRPr="00314D36">
        <w:rPr>
          <w:b/>
          <w:szCs w:val="22"/>
          <w:u w:val="single"/>
        </w:rPr>
        <w:t>Proposal 1</w:t>
      </w:r>
      <w:r w:rsidRPr="00314D36">
        <w:rPr>
          <w:szCs w:val="22"/>
          <w:u w:val="single"/>
        </w:rPr>
        <w:t>:</w:t>
      </w:r>
      <w:r>
        <w:rPr>
          <w:szCs w:val="22"/>
        </w:rPr>
        <w:t xml:space="preserve"> </w:t>
      </w:r>
      <w:r w:rsidRPr="005C41F2">
        <w:rPr>
          <w:i/>
          <w:szCs w:val="22"/>
        </w:rPr>
        <w:t xml:space="preserve">Study the </w:t>
      </w:r>
      <w:r w:rsidR="00110860">
        <w:rPr>
          <w:i/>
          <w:szCs w:val="22"/>
        </w:rPr>
        <w:t xml:space="preserve">potential enhancement on the </w:t>
      </w:r>
      <w:r w:rsidRPr="005C41F2">
        <w:rPr>
          <w:i/>
          <w:szCs w:val="22"/>
        </w:rPr>
        <w:t>window duration/timing granularity to search a SSB set.</w:t>
      </w:r>
    </w:p>
    <w:p w14:paraId="31F925DD" w14:textId="77777777" w:rsidR="003E0767" w:rsidRDefault="003E0767" w:rsidP="00A65306">
      <w:pPr>
        <w:rPr>
          <w:lang w:val="en-US"/>
        </w:rPr>
      </w:pPr>
    </w:p>
    <w:p w14:paraId="26D98D8D" w14:textId="5022A072" w:rsidR="003050E4" w:rsidRDefault="003E0767" w:rsidP="003050E4">
      <w:pPr>
        <w:pStyle w:val="2"/>
        <w:numPr>
          <w:ilvl w:val="1"/>
          <w:numId w:val="6"/>
        </w:numPr>
        <w:rPr>
          <w:lang w:val="en-US"/>
        </w:rPr>
      </w:pPr>
      <w:r>
        <w:rPr>
          <w:lang w:val="en-US"/>
        </w:rPr>
        <w:t>Maximum number of component carrier</w:t>
      </w:r>
      <w:r w:rsidR="00110860">
        <w:rPr>
          <w:lang w:val="en-US"/>
        </w:rPr>
        <w:t>s</w:t>
      </w:r>
      <w:r>
        <w:rPr>
          <w:lang w:val="en-US"/>
        </w:rPr>
        <w:t xml:space="preserve"> for carrier aggregation</w:t>
      </w:r>
    </w:p>
    <w:p w14:paraId="33ED6BE2" w14:textId="7A4C2D57" w:rsidR="00AD6851" w:rsidRDefault="003E0767" w:rsidP="003050E4">
      <w:pPr>
        <w:rPr>
          <w:lang w:val="en-US"/>
        </w:rPr>
      </w:pPr>
      <w:r>
        <w:rPr>
          <w:lang w:val="en-US"/>
        </w:rPr>
        <w:t xml:space="preserve">In 60 GHz unlicensed band, around 10 GHz bandwidth is available, e.g., 13.95 GHz bandwidth in the US. Therefore, how to use such wide bandwidth efficiently may be studied. One potential approach would be to introduce larger channel </w:t>
      </w:r>
      <w:r w:rsidR="00314D36">
        <w:rPr>
          <w:lang w:val="en-US"/>
        </w:rPr>
        <w:t xml:space="preserve">bandwidth, as we have discussed in [2]. Another approach may be to reuse carrier aggregation in Rel-15 NR. Although CA in Rel-15 NR is basically reusable in 52.6 – 71 GHz regardless of how larger CBW is introduced, one aspect to be considered in higher frequency range could be the </w:t>
      </w:r>
      <w:r w:rsidR="00110860">
        <w:rPr>
          <w:lang w:val="en-US"/>
        </w:rPr>
        <w:t xml:space="preserve">maximum </w:t>
      </w:r>
      <w:r w:rsidR="00314D36">
        <w:rPr>
          <w:lang w:val="en-US"/>
        </w:rPr>
        <w:t xml:space="preserve">number of aggregated CCs. For example, if 400 MHz CBW </w:t>
      </w:r>
      <w:r w:rsidR="00110860">
        <w:rPr>
          <w:lang w:val="en-US"/>
        </w:rPr>
        <w:t xml:space="preserve">as </w:t>
      </w:r>
      <w:r w:rsidR="00314D36">
        <w:rPr>
          <w:lang w:val="en-US"/>
        </w:rPr>
        <w:t>supported in Rel-15 NR</w:t>
      </w:r>
      <w:r w:rsidR="00110860">
        <w:rPr>
          <w:lang w:val="en-US"/>
        </w:rPr>
        <w:t xml:space="preserve"> for FR2</w:t>
      </w:r>
      <w:r w:rsidR="00314D36">
        <w:rPr>
          <w:lang w:val="en-US"/>
        </w:rPr>
        <w:t xml:space="preserve"> is reused, then around 32 CCs need to be aggregated to fully utilize 13.95 GHz bandwidth. Whether/how to handle such a large number of CCs may need to be discussed for efficient spectrum usage</w:t>
      </w:r>
      <w:r w:rsidR="00110860">
        <w:rPr>
          <w:lang w:val="en-US"/>
        </w:rPr>
        <w:t xml:space="preserve"> especially if the maximum channel bandwidth in 52.6 – 71 GHz is not enough wide</w:t>
      </w:r>
      <w:r w:rsidR="00314D36">
        <w:rPr>
          <w:lang w:val="en-US"/>
        </w:rPr>
        <w:t xml:space="preserve">. </w:t>
      </w:r>
    </w:p>
    <w:p w14:paraId="19C4858F" w14:textId="3E787D94" w:rsidR="00314D36" w:rsidRDefault="00314D36" w:rsidP="003050E4">
      <w:pPr>
        <w:rPr>
          <w:lang w:val="en-US"/>
        </w:rPr>
      </w:pPr>
    </w:p>
    <w:p w14:paraId="2F76763A" w14:textId="4CA3E10B" w:rsidR="00314D36" w:rsidRPr="00314D36" w:rsidRDefault="00314D36" w:rsidP="003050E4">
      <w:pPr>
        <w:rPr>
          <w:i/>
          <w:lang w:val="en-US"/>
        </w:rPr>
      </w:pPr>
      <w:r>
        <w:rPr>
          <w:b/>
          <w:u w:val="single"/>
          <w:lang w:val="en-US"/>
        </w:rPr>
        <w:t>P</w:t>
      </w:r>
      <w:r>
        <w:rPr>
          <w:rFonts w:hint="eastAsia"/>
          <w:b/>
          <w:u w:val="single"/>
          <w:lang w:val="en-US"/>
        </w:rPr>
        <w:t xml:space="preserve">roposal </w:t>
      </w:r>
      <w:r>
        <w:rPr>
          <w:b/>
          <w:u w:val="single"/>
          <w:lang w:val="en-US"/>
        </w:rPr>
        <w:t>2</w:t>
      </w:r>
      <w:r w:rsidRPr="00314D36">
        <w:rPr>
          <w:u w:val="single"/>
          <w:lang w:val="en-US"/>
        </w:rPr>
        <w:t>:</w:t>
      </w:r>
      <w:r w:rsidRPr="00314D36">
        <w:rPr>
          <w:b/>
          <w:lang w:val="en-US"/>
        </w:rPr>
        <w:t xml:space="preserve"> </w:t>
      </w:r>
      <w:r>
        <w:rPr>
          <w:i/>
          <w:lang w:val="en-US"/>
        </w:rPr>
        <w:t>Discuss whether/how to utilize wide available spectrum such as more than 10 GHz bandwidth in 52.6 – 71 GHz frequency range</w:t>
      </w:r>
    </w:p>
    <w:p w14:paraId="591E0DFC" w14:textId="77777777" w:rsidR="00314D36" w:rsidRDefault="00314D36" w:rsidP="003050E4">
      <w:pPr>
        <w:rPr>
          <w:lang w:val="en-US"/>
        </w:rPr>
      </w:pPr>
    </w:p>
    <w:p w14:paraId="11740BBD" w14:textId="77777777" w:rsidR="003050E4" w:rsidRPr="00A65306" w:rsidRDefault="003050E4" w:rsidP="00A65306">
      <w:pPr>
        <w:rPr>
          <w:lang w:val="en-US"/>
        </w:rPr>
      </w:pPr>
    </w:p>
    <w:p w14:paraId="0E6AE862" w14:textId="24D6944E"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62DB0373" w14:textId="322888A4" w:rsidR="00314D36" w:rsidRDefault="00314D36" w:rsidP="00314D36">
      <w:pPr>
        <w:rPr>
          <w:i/>
          <w:szCs w:val="22"/>
        </w:rPr>
      </w:pPr>
      <w:r w:rsidRPr="00314D36">
        <w:rPr>
          <w:b/>
          <w:szCs w:val="22"/>
          <w:u w:val="single"/>
        </w:rPr>
        <w:t>Proposal 1</w:t>
      </w:r>
      <w:r w:rsidRPr="00314D36">
        <w:rPr>
          <w:szCs w:val="22"/>
          <w:u w:val="single"/>
        </w:rPr>
        <w:t>:</w:t>
      </w:r>
      <w:r>
        <w:rPr>
          <w:szCs w:val="22"/>
        </w:rPr>
        <w:t xml:space="preserve"> </w:t>
      </w:r>
      <w:r w:rsidRPr="005C41F2">
        <w:rPr>
          <w:i/>
          <w:szCs w:val="22"/>
        </w:rPr>
        <w:t>Study the window duration/timing granularity to search a SSB set.</w:t>
      </w:r>
    </w:p>
    <w:p w14:paraId="580ECA7A" w14:textId="53DD62B1" w:rsidR="00314D36" w:rsidRDefault="00314D36" w:rsidP="00314D36">
      <w:pPr>
        <w:rPr>
          <w:i/>
          <w:szCs w:val="22"/>
        </w:rPr>
      </w:pPr>
    </w:p>
    <w:p w14:paraId="31B38A85" w14:textId="77777777" w:rsidR="00314D36" w:rsidRPr="00314D36" w:rsidRDefault="00314D36" w:rsidP="00314D36">
      <w:pPr>
        <w:rPr>
          <w:i/>
          <w:lang w:val="en-US"/>
        </w:rPr>
      </w:pPr>
      <w:r>
        <w:rPr>
          <w:b/>
          <w:u w:val="single"/>
          <w:lang w:val="en-US"/>
        </w:rPr>
        <w:t>P</w:t>
      </w:r>
      <w:r>
        <w:rPr>
          <w:rFonts w:hint="eastAsia"/>
          <w:b/>
          <w:u w:val="single"/>
          <w:lang w:val="en-US"/>
        </w:rPr>
        <w:t xml:space="preserve">roposal </w:t>
      </w:r>
      <w:r>
        <w:rPr>
          <w:b/>
          <w:u w:val="single"/>
          <w:lang w:val="en-US"/>
        </w:rPr>
        <w:t>2</w:t>
      </w:r>
      <w:r w:rsidRPr="00314D36">
        <w:rPr>
          <w:u w:val="single"/>
          <w:lang w:val="en-US"/>
        </w:rPr>
        <w:t>:</w:t>
      </w:r>
      <w:r w:rsidRPr="00314D36">
        <w:rPr>
          <w:b/>
          <w:lang w:val="en-US"/>
        </w:rPr>
        <w:t xml:space="preserve"> </w:t>
      </w:r>
      <w:r>
        <w:rPr>
          <w:i/>
          <w:lang w:val="en-US"/>
        </w:rPr>
        <w:t>Discuss whether/how to utilize wide available spectrum such as more than 10 GHz bandwidth in 52.6 – 71 GHz frequency range</w:t>
      </w:r>
    </w:p>
    <w:p w14:paraId="6F1FF185" w14:textId="77777777" w:rsidR="00314D36" w:rsidRPr="00314D36" w:rsidRDefault="00314D36" w:rsidP="00314D36">
      <w:pPr>
        <w:rPr>
          <w:i/>
          <w:szCs w:val="22"/>
          <w:lang w:val="en-US"/>
        </w:rPr>
      </w:pPr>
    </w:p>
    <w:p w14:paraId="039EC3A9" w14:textId="77777777" w:rsidR="00867837" w:rsidRPr="00314D36" w:rsidRDefault="00867837" w:rsidP="0048498F"/>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2D7AA991" w14:textId="7935DBC0" w:rsidR="00603A7E" w:rsidRDefault="00C156F0" w:rsidP="00C156F0">
      <w:pPr>
        <w:pStyle w:val="afc"/>
        <w:numPr>
          <w:ilvl w:val="0"/>
          <w:numId w:val="4"/>
        </w:numPr>
        <w:spacing w:afterLines="50" w:after="120"/>
        <w:ind w:leftChars="0"/>
        <w:jc w:val="both"/>
        <w:rPr>
          <w:rFonts w:eastAsia="ＭＳ 明朝"/>
        </w:rPr>
      </w:pPr>
      <w:r>
        <w:rPr>
          <w:rFonts w:eastAsia="ＭＳ 明朝"/>
        </w:rPr>
        <w:t>RP-202925, “</w:t>
      </w:r>
      <w:r w:rsidRPr="00C156F0">
        <w:rPr>
          <w:rFonts w:eastAsia="ＭＳ 明朝"/>
        </w:rPr>
        <w:t>Revised WID:  Extending current NR operation to 71 GHz</w:t>
      </w:r>
      <w:r>
        <w:rPr>
          <w:rFonts w:eastAsia="ＭＳ 明朝"/>
        </w:rPr>
        <w:t>”, CMCC, 2020</w:t>
      </w:r>
    </w:p>
    <w:p w14:paraId="4E9A0167" w14:textId="1F919A05" w:rsidR="00B620AC" w:rsidRPr="00603A7E" w:rsidRDefault="00314D36" w:rsidP="000F114B">
      <w:pPr>
        <w:pStyle w:val="afc"/>
        <w:numPr>
          <w:ilvl w:val="0"/>
          <w:numId w:val="4"/>
        </w:numPr>
        <w:spacing w:afterLines="50" w:after="120"/>
        <w:ind w:leftChars="0"/>
        <w:jc w:val="both"/>
        <w:rPr>
          <w:rFonts w:eastAsia="ＭＳ 明朝"/>
        </w:rPr>
      </w:pPr>
      <w:r>
        <w:rPr>
          <w:rFonts w:eastAsia="ＭＳ 明朝" w:hint="eastAsia"/>
        </w:rPr>
        <w:t>R</w:t>
      </w:r>
      <w:r>
        <w:rPr>
          <w:rFonts w:eastAsia="ＭＳ 明朝"/>
        </w:rPr>
        <w:t>1-2101609, “PDSCH/PUSCH enhancements for NR from 52.6 to 71 GHz”, NTT DOCOMO, INC. RAN1#104-e</w:t>
      </w:r>
    </w:p>
    <w:sectPr w:rsidR="00B620AC" w:rsidRPr="00603A7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C700A" w14:textId="77777777" w:rsidR="000B5B36" w:rsidRDefault="000B5B36">
      <w:r>
        <w:separator/>
      </w:r>
    </w:p>
  </w:endnote>
  <w:endnote w:type="continuationSeparator" w:id="0">
    <w:p w14:paraId="706C8EAB" w14:textId="77777777" w:rsidR="000B5B36" w:rsidRDefault="000B5B36">
      <w:r>
        <w:continuationSeparator/>
      </w:r>
    </w:p>
  </w:endnote>
  <w:endnote w:type="continuationNotice" w:id="1">
    <w:p w14:paraId="0E5212BB" w14:textId="77777777" w:rsidR="000B5B36" w:rsidRDefault="000B5B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D4F7D9B" w:rsidR="005B2A0E" w:rsidRPr="00000924" w:rsidRDefault="005B2A0E">
    <w:pPr>
      <w:pStyle w:val="af"/>
      <w:jc w:val="cente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01A5E">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01A5E">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3B406" w14:textId="77777777" w:rsidR="000B5B36" w:rsidRDefault="000B5B36">
      <w:r>
        <w:separator/>
      </w:r>
    </w:p>
  </w:footnote>
  <w:footnote w:type="continuationSeparator" w:id="0">
    <w:p w14:paraId="38649B33" w14:textId="77777777" w:rsidR="000B5B36" w:rsidRDefault="000B5B36">
      <w:r>
        <w:continuationSeparator/>
      </w:r>
    </w:p>
  </w:footnote>
  <w:footnote w:type="continuationNotice" w:id="1">
    <w:p w14:paraId="2DE14A01" w14:textId="77777777" w:rsidR="000B5B36" w:rsidRDefault="000B5B3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87133D"/>
    <w:multiLevelType w:val="hybridMultilevel"/>
    <w:tmpl w:val="5F2203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967F0F"/>
    <w:multiLevelType w:val="hybridMultilevel"/>
    <w:tmpl w:val="78442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9D2F4A"/>
    <w:multiLevelType w:val="hybridMultilevel"/>
    <w:tmpl w:val="EC1EDE34"/>
    <w:lvl w:ilvl="0" w:tplc="69901598">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1D489D"/>
    <w:multiLevelType w:val="hybridMultilevel"/>
    <w:tmpl w:val="FCEA4C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7096CB6"/>
    <w:multiLevelType w:val="hybridMultilevel"/>
    <w:tmpl w:val="C332D5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 w15:restartNumberingAfterBreak="0">
    <w:nsid w:val="4D893489"/>
    <w:multiLevelType w:val="hybridMultilevel"/>
    <w:tmpl w:val="F1A83E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9040698"/>
    <w:multiLevelType w:val="hybridMultilevel"/>
    <w:tmpl w:val="606C6C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15"/>
  </w:num>
  <w:num w:numId="4">
    <w:abstractNumId w:val="8"/>
  </w:num>
  <w:num w:numId="5">
    <w:abstractNumId w:val="31"/>
  </w:num>
  <w:num w:numId="6">
    <w:abstractNumId w:val="24"/>
  </w:num>
  <w:num w:numId="7">
    <w:abstractNumId w:val="3"/>
  </w:num>
  <w:num w:numId="8">
    <w:abstractNumId w:val="19"/>
  </w:num>
  <w:num w:numId="9">
    <w:abstractNumId w:val="10"/>
  </w:num>
  <w:num w:numId="10">
    <w:abstractNumId w:val="30"/>
  </w:num>
  <w:num w:numId="11">
    <w:abstractNumId w:val="29"/>
  </w:num>
  <w:num w:numId="12">
    <w:abstractNumId w:val="17"/>
  </w:num>
  <w:num w:numId="13">
    <w:abstractNumId w:val="22"/>
  </w:num>
  <w:num w:numId="14">
    <w:abstractNumId w:val="2"/>
  </w:num>
  <w:num w:numId="15">
    <w:abstractNumId w:val="6"/>
  </w:num>
  <w:num w:numId="16">
    <w:abstractNumId w:val="5"/>
  </w:num>
  <w:num w:numId="17">
    <w:abstractNumId w:val="32"/>
  </w:num>
  <w:num w:numId="18">
    <w:abstractNumId w:val="18"/>
  </w:num>
  <w:num w:numId="19">
    <w:abstractNumId w:val="26"/>
  </w:num>
  <w:num w:numId="20">
    <w:abstractNumId w:val="7"/>
  </w:num>
  <w:num w:numId="21">
    <w:abstractNumId w:val="13"/>
  </w:num>
  <w:num w:numId="22">
    <w:abstractNumId w:val="1"/>
  </w:num>
  <w:num w:numId="23">
    <w:abstractNumId w:val="20"/>
  </w:num>
  <w:num w:numId="24">
    <w:abstractNumId w:val="14"/>
  </w:num>
  <w:num w:numId="25">
    <w:abstractNumId w:val="11"/>
  </w:num>
  <w:num w:numId="26">
    <w:abstractNumId w:val="4"/>
  </w:num>
  <w:num w:numId="27">
    <w:abstractNumId w:val="25"/>
  </w:num>
  <w:num w:numId="28">
    <w:abstractNumId w:val="9"/>
  </w:num>
  <w:num w:numId="29">
    <w:abstractNumId w:val="23"/>
  </w:num>
  <w:num w:numId="30">
    <w:abstractNumId w:val="12"/>
  </w:num>
  <w:num w:numId="31">
    <w:abstractNumId w:val="28"/>
  </w:num>
  <w:num w:numId="32">
    <w:abstractNumId w:val="21"/>
  </w:num>
  <w:num w:numId="33">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4A"/>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117"/>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36"/>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14"/>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44B"/>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14B"/>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0860"/>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1A"/>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1F"/>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583"/>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43"/>
    <w:rsid w:val="002F0956"/>
    <w:rsid w:val="002F0AF6"/>
    <w:rsid w:val="002F0FE7"/>
    <w:rsid w:val="002F1069"/>
    <w:rsid w:val="002F113A"/>
    <w:rsid w:val="002F15B9"/>
    <w:rsid w:val="002F1796"/>
    <w:rsid w:val="002F1A18"/>
    <w:rsid w:val="002F1DEE"/>
    <w:rsid w:val="002F1DF9"/>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0E4"/>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36"/>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6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0BDA"/>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9E"/>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A5E"/>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A73"/>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ED5"/>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21F"/>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5B44"/>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4DB1"/>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39"/>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061"/>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80"/>
    <w:rsid w:val="00800DE0"/>
    <w:rsid w:val="00800F6F"/>
    <w:rsid w:val="0080127C"/>
    <w:rsid w:val="00801562"/>
    <w:rsid w:val="00801727"/>
    <w:rsid w:val="0080177D"/>
    <w:rsid w:val="0080199B"/>
    <w:rsid w:val="00801EA0"/>
    <w:rsid w:val="00801EEF"/>
    <w:rsid w:val="00801F61"/>
    <w:rsid w:val="00802382"/>
    <w:rsid w:val="008023E4"/>
    <w:rsid w:val="00802D94"/>
    <w:rsid w:val="0080365C"/>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837"/>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8A"/>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1C1"/>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6DA"/>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306"/>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4BB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851"/>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0A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580"/>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78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6F0"/>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9DC"/>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C7BF4"/>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4F57"/>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2D49"/>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5E5"/>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512"/>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70"/>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6E6"/>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29"/>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A06"/>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C16"/>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C3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541"/>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7837"/>
    <w:rPr>
      <w:rFonts w:ascii="Times New Roman" w:eastAsia="ＭＳ ゴシック" w:hAnsi="Times New Roman"/>
      <w:sz w:val="22"/>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19183-6FA7-44C3-ACDE-AB4747F4B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2394</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Naoya Shibaike</dc:creator>
  <cp:lastModifiedBy>Naoya Shibaike</cp:lastModifiedBy>
  <cp:revision>2</cp:revision>
  <dcterms:created xsi:type="dcterms:W3CDTF">2021-01-19T05:26:00Z</dcterms:created>
  <dcterms:modified xsi:type="dcterms:W3CDTF">2021-01-19T05:26:00Z</dcterms:modified>
</cp:coreProperties>
</file>