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AAF80" w14:textId="469964E2"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1531DF">
        <w:rPr>
          <w:rFonts w:ascii="Arial" w:hAnsi="Arial" w:cs="Arial"/>
          <w:b/>
          <w:color w:val="000000"/>
          <w:sz w:val="24"/>
        </w:rPr>
        <w:t>4</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452453" w:rsidRPr="00786847">
        <w:rPr>
          <w:rFonts w:ascii="Arial" w:hAnsi="Arial" w:cs="Arial"/>
          <w:b/>
          <w:color w:val="000000"/>
          <w:sz w:val="24"/>
        </w:rPr>
        <w:t>2</w:t>
      </w:r>
      <w:r w:rsidR="00452453">
        <w:rPr>
          <w:rFonts w:ascii="Arial" w:hAnsi="Arial" w:cs="Arial"/>
          <w:b/>
          <w:color w:val="000000"/>
          <w:sz w:val="24"/>
        </w:rPr>
        <w:t>101438</w:t>
      </w:r>
    </w:p>
    <w:p w14:paraId="3BEBC94F" w14:textId="226A294E" w:rsidR="00785A29" w:rsidRDefault="001531DF" w:rsidP="001E5F34">
      <w:pPr>
        <w:spacing w:after="0"/>
        <w:jc w:val="both"/>
        <w:rPr>
          <w:rFonts w:ascii="Arial" w:hAnsi="Arial" w:cs="Arial"/>
          <w:b/>
          <w:sz w:val="24"/>
          <w:szCs w:val="24"/>
        </w:rPr>
      </w:pPr>
      <w:r>
        <w:rPr>
          <w:rFonts w:ascii="Arial" w:hAnsi="Arial" w:cs="Arial"/>
          <w:b/>
          <w:sz w:val="24"/>
          <w:szCs w:val="24"/>
        </w:rPr>
        <w:t>Jan</w:t>
      </w:r>
      <w:r w:rsidR="0044626D">
        <w:rPr>
          <w:rFonts w:ascii="Arial" w:hAnsi="Arial" w:cs="Arial"/>
          <w:b/>
          <w:sz w:val="24"/>
          <w:szCs w:val="24"/>
        </w:rPr>
        <w:t>.</w:t>
      </w:r>
      <w:r w:rsidR="001774E3" w:rsidRPr="003A329B">
        <w:rPr>
          <w:rFonts w:ascii="Arial" w:hAnsi="Arial" w:cs="Arial"/>
          <w:b/>
          <w:sz w:val="24"/>
          <w:szCs w:val="24"/>
        </w:rPr>
        <w:t xml:space="preserve"> </w:t>
      </w:r>
      <w:r w:rsidR="00812DB7">
        <w:rPr>
          <w:rFonts w:ascii="Arial" w:hAnsi="Arial" w:cs="Arial"/>
          <w:b/>
          <w:sz w:val="24"/>
          <w:szCs w:val="24"/>
        </w:rPr>
        <w:t>2</w:t>
      </w:r>
      <w:r>
        <w:rPr>
          <w:rFonts w:ascii="Arial" w:hAnsi="Arial" w:cs="Arial"/>
          <w:b/>
          <w:sz w:val="24"/>
          <w:szCs w:val="24"/>
        </w:rPr>
        <w:t>5</w:t>
      </w:r>
      <w:r w:rsidR="0044626D" w:rsidRPr="0044626D">
        <w:rPr>
          <w:rFonts w:ascii="Arial" w:hAnsi="Arial" w:cs="Arial"/>
          <w:b/>
          <w:sz w:val="24"/>
          <w:szCs w:val="24"/>
          <w:vertAlign w:val="superscript"/>
        </w:rPr>
        <w:t>th</w:t>
      </w:r>
      <w:r w:rsidR="00D90606" w:rsidRPr="003A329B">
        <w:rPr>
          <w:rFonts w:ascii="Arial" w:hAnsi="Arial" w:cs="Arial"/>
          <w:b/>
          <w:sz w:val="24"/>
          <w:szCs w:val="24"/>
        </w:rPr>
        <w:t xml:space="preserve"> –</w:t>
      </w:r>
      <w:r w:rsidR="008C3FC6">
        <w:rPr>
          <w:rFonts w:ascii="Arial" w:hAnsi="Arial" w:cs="Arial"/>
          <w:b/>
          <w:sz w:val="24"/>
          <w:szCs w:val="24"/>
        </w:rPr>
        <w:t xml:space="preserve"> </w:t>
      </w:r>
      <w:r>
        <w:rPr>
          <w:rFonts w:ascii="Arial" w:hAnsi="Arial" w:cs="Arial"/>
          <w:b/>
          <w:sz w:val="24"/>
          <w:szCs w:val="24"/>
        </w:rPr>
        <w:t>Feb.</w:t>
      </w:r>
      <w:r w:rsidR="00812DB7">
        <w:rPr>
          <w:rFonts w:ascii="Arial" w:hAnsi="Arial" w:cs="Arial"/>
          <w:b/>
          <w:sz w:val="24"/>
          <w:szCs w:val="24"/>
        </w:rPr>
        <w:t xml:space="preserve"> </w:t>
      </w:r>
      <w:r>
        <w:rPr>
          <w:rFonts w:ascii="Arial" w:hAnsi="Arial" w:cs="Arial"/>
          <w:b/>
          <w:sz w:val="24"/>
          <w:szCs w:val="24"/>
        </w:rPr>
        <w:t>5</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w:t>
      </w:r>
      <w:r>
        <w:rPr>
          <w:rFonts w:ascii="Arial" w:hAnsi="Arial" w:cs="Arial"/>
          <w:b/>
          <w:sz w:val="24"/>
          <w:szCs w:val="24"/>
        </w:rPr>
        <w:t>1</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65337C25"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r>
      <w:r w:rsidR="00DE4299">
        <w:rPr>
          <w:rFonts w:ascii="Arial" w:hAnsi="Arial"/>
          <w:color w:val="000000"/>
          <w:sz w:val="24"/>
        </w:rPr>
        <w:t>7.2.4</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20DEEDD7"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812DB7" w:rsidRPr="00DE4299">
        <w:rPr>
          <w:rFonts w:ascii="Arial" w:hAnsi="Arial"/>
          <w:sz w:val="24"/>
        </w:rPr>
        <w:t xml:space="preserve">Remaining Issues in </w:t>
      </w:r>
      <w:r w:rsidR="00452453" w:rsidRPr="00DE4299">
        <w:rPr>
          <w:rFonts w:ascii="Arial" w:hAnsi="Arial"/>
          <w:sz w:val="24"/>
        </w:rPr>
        <w:t xml:space="preserve">Physical </w:t>
      </w:r>
      <w:r w:rsidR="00D40257" w:rsidRPr="00DE4299">
        <w:rPr>
          <w:rFonts w:ascii="Arial" w:hAnsi="Arial"/>
          <w:sz w:val="24"/>
        </w:rPr>
        <w:t xml:space="preserve">Layer </w:t>
      </w:r>
      <w:r w:rsidR="00452453" w:rsidRPr="00DE4299">
        <w:rPr>
          <w:rFonts w:ascii="Arial" w:hAnsi="Arial"/>
          <w:sz w:val="24"/>
        </w:rPr>
        <w:t>Procedure</w:t>
      </w:r>
      <w:r w:rsidR="00440FA6">
        <w:rPr>
          <w:rFonts w:ascii="Arial" w:hAnsi="Arial"/>
          <w:sz w:val="22"/>
        </w:rPr>
        <w:t xml:space="preserve"> </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73D0635B" w14:textId="44D9E67E" w:rsidR="00E14434" w:rsidRDefault="00E14434" w:rsidP="00E14434">
      <w:pPr>
        <w:jc w:val="both"/>
        <w:rPr>
          <w:lang w:val="en-US"/>
        </w:rPr>
      </w:pPr>
      <w:r>
        <w:rPr>
          <w:lang w:val="en-US"/>
        </w:rPr>
        <w:t xml:space="preserve">In this contribution, we </w:t>
      </w:r>
      <w:r w:rsidR="00063E2C">
        <w:rPr>
          <w:lang w:val="en-US"/>
        </w:rPr>
        <w:t xml:space="preserve">discuss </w:t>
      </w:r>
      <w:r w:rsidR="00812DB7">
        <w:rPr>
          <w:lang w:val="en-US"/>
        </w:rPr>
        <w:t>remaining</w:t>
      </w:r>
      <w:r w:rsidR="00063E2C">
        <w:rPr>
          <w:lang w:val="en-US"/>
        </w:rPr>
        <w:t xml:space="preserve"> issues</w:t>
      </w:r>
      <w:r w:rsidR="00BD0178">
        <w:rPr>
          <w:lang w:val="en-US"/>
        </w:rPr>
        <w:t xml:space="preserve"> and corrections</w:t>
      </w:r>
      <w:r>
        <w:rPr>
          <w:lang w:val="en-US"/>
        </w:rPr>
        <w:t xml:space="preserve"> for NR V2X specifications regarding </w:t>
      </w:r>
      <w:r w:rsidR="005B3686">
        <w:rPr>
          <w:lang w:val="en-US"/>
        </w:rPr>
        <w:t>physical layer procedures</w:t>
      </w:r>
      <w:r>
        <w:rPr>
          <w:lang w:val="en-US"/>
        </w:rPr>
        <w:t>.</w:t>
      </w:r>
    </w:p>
    <w:p w14:paraId="513A5DA8" w14:textId="4727DDA8" w:rsidR="00076B51" w:rsidRDefault="00076B51" w:rsidP="000E5B87">
      <w:pPr>
        <w:pStyle w:val="Heading1"/>
        <w:rPr>
          <w:lang w:val="en-US"/>
        </w:rPr>
      </w:pPr>
      <w:r>
        <w:rPr>
          <w:lang w:val="en-US"/>
        </w:rPr>
        <w:t>Converting SPS periodicity from Millisecond to slot</w:t>
      </w:r>
    </w:p>
    <w:p w14:paraId="3FDED078" w14:textId="49027328" w:rsidR="000E5B87" w:rsidRDefault="00783511" w:rsidP="00076B51">
      <w:pPr>
        <w:rPr>
          <w:lang w:val="en-US"/>
        </w:rPr>
      </w:pPr>
      <w:r>
        <w:rPr>
          <w:lang w:val="en-US"/>
        </w:rPr>
        <w:t xml:space="preserve">For sidelink NR V2X operating in resource allocation mode 2, an important open issue is how to convert SPS periodicity to number of </w:t>
      </w:r>
      <w:proofErr w:type="gramStart"/>
      <w:r>
        <w:rPr>
          <w:lang w:val="en-US"/>
        </w:rPr>
        <w:t>slot</w:t>
      </w:r>
      <w:proofErr w:type="gramEnd"/>
      <w:r>
        <w:rPr>
          <w:lang w:val="en-US"/>
        </w:rPr>
        <w:t xml:space="preserve">. </w:t>
      </w:r>
    </w:p>
    <w:p w14:paraId="2B567498" w14:textId="30CA20E0" w:rsidR="00783511" w:rsidRDefault="00783511" w:rsidP="00076B51">
      <w:pPr>
        <w:rPr>
          <w:lang w:val="en-US"/>
        </w:rPr>
      </w:pPr>
      <w:r>
        <w:rPr>
          <w:lang w:val="en-US"/>
        </w:rPr>
        <w:t xml:space="preserve">In SPS resource reservation mode, for every transmission at resource </w:t>
      </w:r>
      <w:proofErr w:type="spellStart"/>
      <w:proofErr w:type="gramStart"/>
      <w:r>
        <w:rPr>
          <w:lang w:val="en-US"/>
        </w:rPr>
        <w:t>R</w:t>
      </w:r>
      <w:r w:rsidRPr="0025647E">
        <w:rPr>
          <w:vertAlign w:val="subscript"/>
          <w:lang w:val="en-US"/>
        </w:rPr>
        <w:t>x,y</w:t>
      </w:r>
      <w:proofErr w:type="spellEnd"/>
      <w:proofErr w:type="gramEnd"/>
      <w:r>
        <w:rPr>
          <w:lang w:val="en-US"/>
        </w:rPr>
        <w:t xml:space="preserve">, the UE can signal a periodicity of p millisecond, where the resource </w:t>
      </w:r>
      <w:proofErr w:type="spellStart"/>
      <w:r>
        <w:rPr>
          <w:lang w:val="en-US"/>
        </w:rPr>
        <w:t>R</w:t>
      </w:r>
      <w:r w:rsidRPr="0025647E">
        <w:rPr>
          <w:vertAlign w:val="subscript"/>
          <w:lang w:val="en-US"/>
        </w:rPr>
        <w:t>x,y</w:t>
      </w:r>
      <w:proofErr w:type="spellEnd"/>
      <w:r w:rsidRPr="0025647E">
        <w:rPr>
          <w:vertAlign w:val="subscript"/>
          <w:lang w:val="en-US"/>
        </w:rPr>
        <w:t xml:space="preserve"> </w:t>
      </w:r>
      <w:r>
        <w:rPr>
          <w:lang w:val="en-US"/>
        </w:rPr>
        <w:t xml:space="preserve">offset by p millisecond should be also considered as reserved by other UE in the system. As the resource selection procedure is performed on logical slots within the transmission pool, </w:t>
      </w:r>
    </w:p>
    <w:p w14:paraId="555C1182" w14:textId="73B506B6" w:rsidR="00106DD4" w:rsidRDefault="00106DD4" w:rsidP="00106DD4">
      <w:pPr>
        <w:pStyle w:val="ListParagraph"/>
        <w:numPr>
          <w:ilvl w:val="0"/>
          <w:numId w:val="20"/>
        </w:numPr>
        <w:rPr>
          <w:lang w:val="en-US"/>
        </w:rPr>
      </w:pPr>
      <w:r>
        <w:rPr>
          <w:lang w:val="en-US"/>
        </w:rPr>
        <w:t xml:space="preserve">The transmitting UE need to convert from the current resource </w:t>
      </w:r>
      <w:proofErr w:type="spellStart"/>
      <w:proofErr w:type="gramStart"/>
      <w:r>
        <w:rPr>
          <w:lang w:val="en-US"/>
        </w:rPr>
        <w:t>R</w:t>
      </w:r>
      <w:r w:rsidRPr="0025647E">
        <w:rPr>
          <w:vertAlign w:val="subscript"/>
          <w:lang w:val="en-US"/>
        </w:rPr>
        <w:t>x,y</w:t>
      </w:r>
      <w:proofErr w:type="spellEnd"/>
      <w:proofErr w:type="gramEnd"/>
      <w:r>
        <w:rPr>
          <w:lang w:val="en-US"/>
        </w:rPr>
        <w:t xml:space="preserve"> in logical slot and periodicity p to the next SPS period resource </w:t>
      </w:r>
      <w:proofErr w:type="spellStart"/>
      <w:r>
        <w:rPr>
          <w:lang w:val="en-US"/>
        </w:rPr>
        <w:t>R</w:t>
      </w:r>
      <w:r w:rsidRPr="0025647E">
        <w:rPr>
          <w:vertAlign w:val="subscript"/>
          <w:lang w:val="en-US"/>
        </w:rPr>
        <w:t>x’,y</w:t>
      </w:r>
      <w:proofErr w:type="spellEnd"/>
      <w:r>
        <w:rPr>
          <w:lang w:val="en-US"/>
        </w:rPr>
        <w:t xml:space="preserve"> in logical slot</w:t>
      </w:r>
    </w:p>
    <w:p w14:paraId="40431BC5" w14:textId="02CF6DF4" w:rsidR="00106DD4" w:rsidRDefault="00106DD4" w:rsidP="00106DD4">
      <w:pPr>
        <w:pStyle w:val="ListParagraph"/>
        <w:numPr>
          <w:ilvl w:val="0"/>
          <w:numId w:val="20"/>
        </w:numPr>
        <w:rPr>
          <w:lang w:val="en-US"/>
        </w:rPr>
      </w:pPr>
      <w:r>
        <w:rPr>
          <w:lang w:val="en-US"/>
        </w:rPr>
        <w:t>Any other sensing UE also</w:t>
      </w:r>
      <w:r w:rsidRPr="00106DD4">
        <w:rPr>
          <w:lang w:val="en-US"/>
        </w:rPr>
        <w:t xml:space="preserve"> </w:t>
      </w:r>
      <w:r>
        <w:rPr>
          <w:lang w:val="en-US"/>
        </w:rPr>
        <w:t xml:space="preserve">need to convert from the current resource </w:t>
      </w:r>
      <w:proofErr w:type="spellStart"/>
      <w:proofErr w:type="gramStart"/>
      <w:r>
        <w:rPr>
          <w:lang w:val="en-US"/>
        </w:rPr>
        <w:t>R</w:t>
      </w:r>
      <w:r w:rsidRPr="0025647E">
        <w:rPr>
          <w:vertAlign w:val="subscript"/>
          <w:lang w:val="en-US"/>
        </w:rPr>
        <w:t>x,y</w:t>
      </w:r>
      <w:proofErr w:type="spellEnd"/>
      <w:proofErr w:type="gramEnd"/>
      <w:r>
        <w:rPr>
          <w:lang w:val="en-US"/>
        </w:rPr>
        <w:t xml:space="preserve"> in logical slot and periodicity p to the next SPS period resource </w:t>
      </w:r>
      <w:proofErr w:type="spellStart"/>
      <w:r>
        <w:rPr>
          <w:lang w:val="en-US"/>
        </w:rPr>
        <w:t>R</w:t>
      </w:r>
      <w:r w:rsidRPr="0025647E">
        <w:rPr>
          <w:vertAlign w:val="subscript"/>
          <w:lang w:val="en-US"/>
        </w:rPr>
        <w:t>x’,y</w:t>
      </w:r>
      <w:proofErr w:type="spellEnd"/>
      <w:r>
        <w:rPr>
          <w:lang w:val="en-US"/>
        </w:rPr>
        <w:t xml:space="preserve"> in logical slot</w:t>
      </w:r>
    </w:p>
    <w:p w14:paraId="13BF39BC" w14:textId="41126904" w:rsidR="00106DD4" w:rsidRDefault="00106DD4" w:rsidP="00106DD4">
      <w:pPr>
        <w:pStyle w:val="ListParagraph"/>
        <w:numPr>
          <w:ilvl w:val="0"/>
          <w:numId w:val="20"/>
        </w:numPr>
        <w:rPr>
          <w:lang w:val="en-US"/>
        </w:rPr>
      </w:pPr>
      <w:r>
        <w:rPr>
          <w:lang w:val="en-US"/>
        </w:rPr>
        <w:t>The conversion in (i) and (ii) need to be identical.</w:t>
      </w:r>
    </w:p>
    <w:p w14:paraId="7A538E06" w14:textId="796A024A" w:rsidR="00106DD4" w:rsidRDefault="00106DD4" w:rsidP="00106DD4">
      <w:pPr>
        <w:rPr>
          <w:lang w:val="en-US"/>
        </w:rPr>
      </w:pPr>
      <w:r>
        <w:rPr>
          <w:lang w:val="en-US"/>
        </w:rPr>
        <w:t xml:space="preserve">Due to configuration of SLSS slots, reserved slots, unusable downlink slot in TDD licensed spectrum, etc., It is possible that some physical slot may not be within the transmission pool of the UE. In particular, it may happen that the physical slot corresponding to </w:t>
      </w:r>
      <w:proofErr w:type="spellStart"/>
      <w:proofErr w:type="gramStart"/>
      <w:r>
        <w:rPr>
          <w:lang w:val="en-US"/>
        </w:rPr>
        <w:t>R</w:t>
      </w:r>
      <w:r w:rsidRPr="0025647E">
        <w:rPr>
          <w:vertAlign w:val="subscript"/>
          <w:lang w:val="en-US"/>
        </w:rPr>
        <w:t>x,y</w:t>
      </w:r>
      <w:proofErr w:type="spellEnd"/>
      <w:proofErr w:type="gramEnd"/>
      <w:r>
        <w:rPr>
          <w:lang w:val="en-US"/>
        </w:rPr>
        <w:t xml:space="preserve"> shifted by p millisecond is not in the same transmission pool as </w:t>
      </w:r>
      <w:proofErr w:type="spellStart"/>
      <w:r>
        <w:rPr>
          <w:lang w:val="en-US"/>
        </w:rPr>
        <w:t>R</w:t>
      </w:r>
      <w:r w:rsidRPr="0025647E">
        <w:rPr>
          <w:vertAlign w:val="subscript"/>
          <w:lang w:val="en-US"/>
        </w:rPr>
        <w:t>x,y</w:t>
      </w:r>
      <w:proofErr w:type="spellEnd"/>
      <w:r>
        <w:rPr>
          <w:lang w:val="en-US"/>
        </w:rPr>
        <w:t xml:space="preserve">. In such case, an exception handling need to be </w:t>
      </w:r>
      <w:proofErr w:type="gramStart"/>
      <w:r>
        <w:rPr>
          <w:lang w:val="en-US"/>
        </w:rPr>
        <w:t>specify</w:t>
      </w:r>
      <w:proofErr w:type="gramEnd"/>
      <w:r>
        <w:rPr>
          <w:lang w:val="en-US"/>
        </w:rPr>
        <w:t xml:space="preserve">, so that both the transmitter UE and the sensing UE has a common understanding of where the resource for the next SPS would be. </w:t>
      </w:r>
    </w:p>
    <w:p w14:paraId="6BFD1326" w14:textId="1E3F61CD" w:rsidR="00106DD4" w:rsidRDefault="00106DD4" w:rsidP="00106DD4">
      <w:pPr>
        <w:rPr>
          <w:lang w:val="en-US"/>
        </w:rPr>
      </w:pPr>
      <w:r>
        <w:rPr>
          <w:lang w:val="en-US"/>
        </w:rPr>
        <w:t>After extensive debate in RAN1#103e, the following options are on the table:</w:t>
      </w:r>
    </w:p>
    <w:p w14:paraId="03920944" w14:textId="77777777" w:rsidR="00106DD4" w:rsidRPr="00106DD4" w:rsidRDefault="00106DD4" w:rsidP="00106DD4">
      <w:pPr>
        <w:wordWrap w:val="0"/>
        <w:autoSpaceDE w:val="0"/>
        <w:autoSpaceDN w:val="0"/>
        <w:jc w:val="both"/>
        <w:rPr>
          <w:rFonts w:ascii="Calibri" w:eastAsia="Gulim" w:hAnsi="Calibri"/>
          <w:lang w:eastAsia="ko-KR"/>
        </w:rPr>
      </w:pPr>
      <w:r w:rsidRPr="00106DD4">
        <w:rPr>
          <w:rFonts w:ascii="Calibri" w:hAnsi="Calibri"/>
          <w:lang w:eastAsia="ko-KR"/>
        </w:rPr>
        <w:t>Option 1: If a UE transmits a SCI format 1-A in slot n in a resource pool, and if “Resource reservation period” in the SCI format 1-A indicates P’ (following 8.1.7 of 38.214),</w:t>
      </w:r>
    </w:p>
    <w:p w14:paraId="147A1776" w14:textId="77777777" w:rsidR="00106DD4" w:rsidRPr="00106DD4" w:rsidRDefault="00106DD4" w:rsidP="00106DD4">
      <w:pPr>
        <w:numPr>
          <w:ilvl w:val="0"/>
          <w:numId w:val="21"/>
        </w:numPr>
        <w:wordWrap w:val="0"/>
        <w:autoSpaceDE w:val="0"/>
        <w:autoSpaceDN w:val="0"/>
        <w:spacing w:after="0" w:line="264" w:lineRule="auto"/>
        <w:jc w:val="both"/>
        <w:rPr>
          <w:rFonts w:ascii="Calibri" w:hAnsi="Calibri"/>
          <w:lang w:eastAsia="ko-KR"/>
        </w:rPr>
      </w:pPr>
      <w:r w:rsidRPr="00106DD4">
        <w:rPr>
          <w:rFonts w:ascii="Calibri" w:hAnsi="Calibri"/>
          <w:lang w:eastAsia="ko-KR"/>
        </w:rPr>
        <w:t xml:space="preserve">P’ is counted in </w:t>
      </w:r>
      <m:oMath>
        <m:d>
          <m:dPr>
            <m:ctrlPr>
              <w:rPr>
                <w:rFonts w:ascii="Cambria Math" w:eastAsia="Gulim" w:hAnsi="Cambria Math" w:cs="Calibri"/>
                <w:lang w:eastAsia="ko-KR"/>
              </w:rPr>
            </m:ctrlPr>
          </m:dPr>
          <m:e>
            <m:sSubSup>
              <m:sSubSupPr>
                <m:ctrlPr>
                  <w:rPr>
                    <w:rFonts w:ascii="Cambria Math" w:eastAsia="Gulim" w:hAnsi="Cambria Math" w:cs="Calibri"/>
                    <w:i/>
                    <w:iCs/>
                    <w:sz w:val="22"/>
                    <w:szCs w:val="22"/>
                    <w:lang w:eastAsia="ko-KR"/>
                  </w:rPr>
                </m:ctrlPr>
              </m:sSubSupPr>
              <m:e>
                <m:r>
                  <w:rPr>
                    <w:rFonts w:ascii="Cambria Math" w:hAnsi="Cambria Math"/>
                    <w:sz w:val="18"/>
                    <w:szCs w:val="18"/>
                    <w:lang w:eastAsia="ko-KR"/>
                  </w:rPr>
                  <m:t>t'</m:t>
                </m:r>
              </m:e>
              <m:sub>
                <m:r>
                  <w:rPr>
                    <w:rFonts w:ascii="Cambria Math" w:hAnsi="Cambria Math"/>
                    <w:sz w:val="18"/>
                    <w:szCs w:val="18"/>
                    <w:lang w:eastAsia="ko-KR"/>
                  </w:rPr>
                  <m:t>0</m:t>
                </m:r>
              </m:sub>
              <m:sup>
                <m:r>
                  <w:rPr>
                    <w:rFonts w:ascii="Cambria Math" w:hAnsi="Cambria Math"/>
                    <w:sz w:val="18"/>
                    <w:szCs w:val="18"/>
                    <w:lang w:eastAsia="ko-KR"/>
                  </w:rPr>
                  <m:t>SL</m:t>
                </m:r>
              </m:sup>
            </m:sSubSup>
            <m:r>
              <w:rPr>
                <w:rFonts w:ascii="Cambria Math" w:hAnsi="Cambria Math"/>
                <w:sz w:val="18"/>
                <w:szCs w:val="18"/>
                <w:lang w:eastAsia="ko-KR"/>
              </w:rPr>
              <m:t xml:space="preserve">, </m:t>
            </m:r>
            <m:sSubSup>
              <m:sSubSupPr>
                <m:ctrlPr>
                  <w:rPr>
                    <w:rFonts w:ascii="Cambria Math" w:eastAsia="Gulim" w:hAnsi="Cambria Math" w:cs="Calibri"/>
                    <w:i/>
                    <w:iCs/>
                    <w:sz w:val="22"/>
                    <w:szCs w:val="22"/>
                    <w:lang w:eastAsia="ko-KR"/>
                  </w:rPr>
                </m:ctrlPr>
              </m:sSubSupPr>
              <m:e>
                <m:r>
                  <w:rPr>
                    <w:rFonts w:ascii="Cambria Math" w:hAnsi="Cambria Math"/>
                    <w:sz w:val="18"/>
                    <w:szCs w:val="18"/>
                    <w:lang w:eastAsia="ko-KR"/>
                  </w:rPr>
                  <m:t>t'</m:t>
                </m:r>
              </m:e>
              <m:sub>
                <m:r>
                  <w:rPr>
                    <w:rFonts w:ascii="Cambria Math" w:hAnsi="Cambria Math"/>
                    <w:sz w:val="18"/>
                    <w:szCs w:val="18"/>
                    <w:lang w:eastAsia="ko-KR"/>
                  </w:rPr>
                  <m:t>1</m:t>
                </m:r>
              </m:sub>
              <m:sup>
                <m:r>
                  <w:rPr>
                    <w:rFonts w:ascii="Cambria Math" w:hAnsi="Cambria Math"/>
                    <w:sz w:val="18"/>
                    <w:szCs w:val="18"/>
                    <w:lang w:eastAsia="ko-KR"/>
                  </w:rPr>
                  <m:t>SL</m:t>
                </m:r>
              </m:sup>
            </m:sSubSup>
            <m:r>
              <w:rPr>
                <w:rFonts w:ascii="Cambria Math" w:hAnsi="Cambria Math"/>
                <w:sz w:val="18"/>
                <w:szCs w:val="18"/>
                <w:lang w:eastAsia="ko-KR"/>
              </w:rPr>
              <m:t xml:space="preserve">, </m:t>
            </m:r>
            <m:sSubSup>
              <m:sSubSupPr>
                <m:ctrlPr>
                  <w:rPr>
                    <w:rFonts w:ascii="Cambria Math" w:eastAsia="Gulim" w:hAnsi="Cambria Math" w:cs="Calibri"/>
                    <w:i/>
                    <w:iCs/>
                    <w:sz w:val="22"/>
                    <w:szCs w:val="22"/>
                    <w:lang w:eastAsia="ko-KR"/>
                  </w:rPr>
                </m:ctrlPr>
              </m:sSubSupPr>
              <m:e>
                <m:r>
                  <w:rPr>
                    <w:rFonts w:ascii="Cambria Math" w:hAnsi="Cambria Math"/>
                    <w:sz w:val="18"/>
                    <w:szCs w:val="18"/>
                    <w:lang w:eastAsia="ko-KR"/>
                  </w:rPr>
                  <m:t>t'</m:t>
                </m:r>
              </m:e>
              <m:sub>
                <m:r>
                  <w:rPr>
                    <w:rFonts w:ascii="Cambria Math" w:hAnsi="Cambria Math"/>
                    <w:sz w:val="18"/>
                    <w:szCs w:val="18"/>
                    <w:lang w:eastAsia="ko-KR"/>
                  </w:rPr>
                  <m:t>2</m:t>
                </m:r>
              </m:sub>
              <m:sup>
                <m:r>
                  <w:rPr>
                    <w:rFonts w:ascii="Cambria Math" w:hAnsi="Cambria Math"/>
                    <w:sz w:val="18"/>
                    <w:szCs w:val="18"/>
                    <w:lang w:eastAsia="ko-KR"/>
                  </w:rPr>
                  <m:t>SL</m:t>
                </m:r>
              </m:sup>
            </m:sSubSup>
            <m:r>
              <w:rPr>
                <w:rFonts w:ascii="Cambria Math" w:hAnsi="Cambria Math"/>
                <w:sz w:val="18"/>
                <w:szCs w:val="18"/>
                <w:lang w:eastAsia="ko-KR"/>
              </w:rPr>
              <m:t>,…</m:t>
            </m:r>
          </m:e>
        </m:d>
      </m:oMath>
      <w:r w:rsidRPr="00106DD4">
        <w:rPr>
          <w:rFonts w:ascii="Calibri" w:hAnsi="Calibri"/>
          <w:lang w:eastAsia="ko-KR"/>
        </w:rPr>
        <w:t xml:space="preserve"> (</w:t>
      </w:r>
      <w:proofErr w:type="gramStart"/>
      <w:r w:rsidRPr="00106DD4">
        <w:rPr>
          <w:rFonts w:ascii="Calibri" w:hAnsi="Calibri"/>
          <w:lang w:eastAsia="ko-KR"/>
        </w:rPr>
        <w:t>i.e.</w:t>
      </w:r>
      <w:proofErr w:type="gramEnd"/>
      <w:r w:rsidRPr="00106DD4">
        <w:rPr>
          <w:rFonts w:ascii="Calibri" w:hAnsi="Calibri"/>
          <w:lang w:eastAsia="ko-KR"/>
        </w:rPr>
        <w:t xml:space="preserve"> The number of slots in the resource pool between slot n and slot </w:t>
      </w:r>
      <w:proofErr w:type="spellStart"/>
      <w:r w:rsidRPr="00106DD4">
        <w:rPr>
          <w:rFonts w:ascii="Calibri" w:hAnsi="Calibri"/>
          <w:lang w:eastAsia="ko-KR"/>
        </w:rPr>
        <w:t>n+P</w:t>
      </w:r>
      <w:proofErr w:type="spellEnd"/>
      <w:r w:rsidRPr="00106DD4">
        <w:rPr>
          <w:rFonts w:ascii="Calibri" w:hAnsi="Calibri"/>
          <w:lang w:eastAsia="ko-KR"/>
        </w:rPr>
        <w:t xml:space="preserve">’ is always the same as P’ (including slot </w:t>
      </w:r>
      <w:proofErr w:type="spellStart"/>
      <w:r w:rsidRPr="00106DD4">
        <w:rPr>
          <w:rFonts w:ascii="Calibri" w:hAnsi="Calibri"/>
          <w:lang w:eastAsia="ko-KR"/>
        </w:rPr>
        <w:t>n+P</w:t>
      </w:r>
      <w:proofErr w:type="spellEnd"/>
      <w:r w:rsidRPr="00106DD4">
        <w:rPr>
          <w:rFonts w:ascii="Calibri" w:hAnsi="Calibri"/>
          <w:lang w:eastAsia="ko-KR"/>
        </w:rPr>
        <w:t>’ itself)).</w:t>
      </w:r>
    </w:p>
    <w:p w14:paraId="2AE2C9F8" w14:textId="77777777" w:rsidR="00106DD4" w:rsidRPr="00106DD4" w:rsidRDefault="00106DD4" w:rsidP="00106DD4">
      <w:pPr>
        <w:wordWrap w:val="0"/>
        <w:autoSpaceDE w:val="0"/>
        <w:autoSpaceDN w:val="0"/>
        <w:jc w:val="both"/>
        <w:rPr>
          <w:rFonts w:ascii="Calibri" w:hAnsi="Calibri"/>
          <w:lang w:eastAsia="ko-KR"/>
        </w:rPr>
      </w:pPr>
      <w:r w:rsidRPr="00106DD4">
        <w:rPr>
          <w:rFonts w:ascii="Calibri" w:hAnsi="Calibri"/>
          <w:lang w:eastAsia="ko-KR"/>
        </w:rPr>
        <w:t xml:space="preserve">Option 2: If a UE transmits a SCI format 1-A in slot n in a resource pool, and if “Resource reservation period” in the SCI format 1-A indicates P’ (following 8.1.7 of 38.214), P’ is counted in </w:t>
      </w:r>
      <m:oMath>
        <m:d>
          <m:dPr>
            <m:ctrlPr>
              <w:rPr>
                <w:rFonts w:ascii="Cambria Math" w:eastAsia="Gulim" w:hAnsi="Cambria Math" w:cs="Calibri"/>
                <w:i/>
                <w:iCs/>
                <w:lang w:eastAsia="ko-KR"/>
              </w:rPr>
            </m:ctrlPr>
          </m:dPr>
          <m:e>
            <m:sSubSup>
              <m:sSubSupPr>
                <m:ctrlPr>
                  <w:rPr>
                    <w:rFonts w:ascii="Cambria Math" w:eastAsia="Gulim" w:hAnsi="Cambria Math" w:cs="Calibri"/>
                    <w:i/>
                    <w:iCs/>
                    <w:lang w:eastAsia="ko-KR"/>
                  </w:rPr>
                </m:ctrlPr>
              </m:sSubSupPr>
              <m:e>
                <m:r>
                  <w:rPr>
                    <w:rFonts w:ascii="Cambria Math" w:hAnsi="Cambria Math"/>
                    <w:lang w:eastAsia="ko-KR"/>
                  </w:rPr>
                  <m:t>t</m:t>
                </m:r>
              </m:e>
              <m:sub>
                <m:r>
                  <w:rPr>
                    <w:rFonts w:ascii="Cambria Math" w:hAnsi="Cambria Math"/>
                    <w:lang w:eastAsia="ko-KR"/>
                  </w:rPr>
                  <m:t>0</m:t>
                </m:r>
              </m:sub>
              <m:sup>
                <m:r>
                  <w:rPr>
                    <w:rFonts w:ascii="Cambria Math" w:hAnsi="Cambria Math"/>
                    <w:lang w:eastAsia="ko-KR"/>
                  </w:rPr>
                  <m:t>SL</m:t>
                </m:r>
              </m:sup>
            </m:sSubSup>
            <m:r>
              <w:rPr>
                <w:rFonts w:ascii="Cambria Math" w:hAnsi="Cambria Math"/>
                <w:lang w:eastAsia="ko-KR"/>
              </w:rPr>
              <m:t>,</m:t>
            </m:r>
            <m:sSubSup>
              <m:sSubSupPr>
                <m:ctrlPr>
                  <w:rPr>
                    <w:rFonts w:ascii="Cambria Math" w:eastAsia="Gulim" w:hAnsi="Cambria Math" w:cs="Calibri"/>
                    <w:i/>
                    <w:iCs/>
                    <w:lang w:eastAsia="ko-KR"/>
                  </w:rPr>
                </m:ctrlPr>
              </m:sSubSupPr>
              <m:e>
                <m:r>
                  <w:rPr>
                    <w:rFonts w:ascii="Cambria Math" w:hAnsi="Cambria Math"/>
                    <w:lang w:eastAsia="ko-KR"/>
                  </w:rPr>
                  <m:t>t</m:t>
                </m:r>
              </m:e>
              <m:sub>
                <m:r>
                  <w:rPr>
                    <w:rFonts w:ascii="Cambria Math" w:hAnsi="Cambria Math"/>
                    <w:lang w:eastAsia="ko-KR"/>
                  </w:rPr>
                  <m:t>1</m:t>
                </m:r>
              </m:sub>
              <m:sup>
                <m:r>
                  <w:rPr>
                    <w:rFonts w:ascii="Cambria Math" w:hAnsi="Cambria Math"/>
                    <w:lang w:eastAsia="ko-KR"/>
                  </w:rPr>
                  <m:t>SL</m:t>
                </m:r>
              </m:sup>
            </m:sSubSup>
            <m:r>
              <w:rPr>
                <w:rFonts w:ascii="Cambria Math" w:hAnsi="Cambria Math"/>
                <w:lang w:eastAsia="ko-KR"/>
              </w:rPr>
              <m:t>,</m:t>
            </m:r>
            <m:sSubSup>
              <m:sSubSupPr>
                <m:ctrlPr>
                  <w:rPr>
                    <w:rFonts w:ascii="Cambria Math" w:eastAsia="Gulim" w:hAnsi="Cambria Math" w:cs="Calibri"/>
                    <w:i/>
                    <w:iCs/>
                    <w:lang w:eastAsia="ko-KR"/>
                  </w:rPr>
                </m:ctrlPr>
              </m:sSubSupPr>
              <m:e>
                <m:r>
                  <w:rPr>
                    <w:rFonts w:ascii="Cambria Math" w:hAnsi="Cambria Math"/>
                    <w:lang w:eastAsia="ko-KR"/>
                  </w:rPr>
                  <m:t>t</m:t>
                </m:r>
              </m:e>
              <m:sub>
                <m:r>
                  <w:rPr>
                    <w:rFonts w:ascii="Cambria Math" w:hAnsi="Cambria Math"/>
                    <w:lang w:eastAsia="ko-KR"/>
                  </w:rPr>
                  <m:t>2</m:t>
                </m:r>
              </m:sub>
              <m:sup>
                <m:r>
                  <w:rPr>
                    <w:rFonts w:ascii="Cambria Math" w:hAnsi="Cambria Math"/>
                    <w:lang w:eastAsia="ko-KR"/>
                  </w:rPr>
                  <m:t>SL</m:t>
                </m:r>
              </m:sup>
            </m:sSubSup>
            <m:r>
              <w:rPr>
                <w:rFonts w:ascii="Cambria Math" w:hAnsi="Cambria Math"/>
                <w:lang w:eastAsia="ko-KR"/>
              </w:rPr>
              <m:t>,...</m:t>
            </m:r>
          </m:e>
        </m:d>
      </m:oMath>
      <w:r w:rsidRPr="00106DD4">
        <w:rPr>
          <w:rFonts w:ascii="Malgun Gothic" w:eastAsia="Malgun Gothic" w:hAnsi="Malgun Gothic" w:hint="eastAsia"/>
          <w:lang w:eastAsia="ko-KR"/>
        </w:rPr>
        <w:t xml:space="preserve"> (i.e. </w:t>
      </w:r>
      <w:r w:rsidRPr="00106DD4">
        <w:rPr>
          <w:rFonts w:ascii="Calibri" w:hAnsi="Calibri"/>
          <w:lang w:eastAsia="ko-KR"/>
        </w:rPr>
        <w:t xml:space="preserve">The number of slots in the resource pool between slot n and slot </w:t>
      </w:r>
      <w:proofErr w:type="spellStart"/>
      <w:r w:rsidRPr="00106DD4">
        <w:rPr>
          <w:rFonts w:ascii="Calibri" w:hAnsi="Calibri"/>
          <w:lang w:eastAsia="ko-KR"/>
        </w:rPr>
        <w:t>n+P</w:t>
      </w:r>
      <w:proofErr w:type="spellEnd"/>
      <w:r w:rsidRPr="00106DD4">
        <w:rPr>
          <w:rFonts w:ascii="Calibri" w:hAnsi="Calibri"/>
          <w:lang w:eastAsia="ko-KR"/>
        </w:rPr>
        <w:t>’ can be less than P’</w:t>
      </w:r>
      <w:r w:rsidRPr="00106DD4">
        <w:rPr>
          <w:rFonts w:ascii="Malgun Gothic" w:eastAsia="Malgun Gothic" w:hAnsi="Malgun Gothic" w:hint="eastAsia"/>
          <w:lang w:eastAsia="ko-KR"/>
        </w:rPr>
        <w:t>).</w:t>
      </w:r>
    </w:p>
    <w:p w14:paraId="596B04D9" w14:textId="77777777" w:rsidR="00106DD4" w:rsidRPr="00106DD4" w:rsidRDefault="00106DD4" w:rsidP="00106DD4">
      <w:pPr>
        <w:numPr>
          <w:ilvl w:val="1"/>
          <w:numId w:val="21"/>
        </w:numPr>
        <w:wordWrap w:val="0"/>
        <w:autoSpaceDE w:val="0"/>
        <w:autoSpaceDN w:val="0"/>
        <w:spacing w:after="0"/>
        <w:jc w:val="both"/>
        <w:rPr>
          <w:rFonts w:ascii="Calibri" w:hAnsi="Calibri"/>
          <w:lang w:eastAsia="ko-KR"/>
        </w:rPr>
      </w:pPr>
      <w:r w:rsidRPr="00106DD4">
        <w:rPr>
          <w:lang w:eastAsia="ja-JP"/>
        </w:rPr>
        <w:t>Option 2-1: No further change</w:t>
      </w:r>
    </w:p>
    <w:p w14:paraId="79A5E18B" w14:textId="77777777" w:rsidR="00106DD4" w:rsidRPr="00106DD4" w:rsidRDefault="00106DD4" w:rsidP="00106DD4">
      <w:pPr>
        <w:numPr>
          <w:ilvl w:val="1"/>
          <w:numId w:val="21"/>
        </w:numPr>
        <w:wordWrap w:val="0"/>
        <w:autoSpaceDE w:val="0"/>
        <w:autoSpaceDN w:val="0"/>
        <w:spacing w:after="0"/>
        <w:jc w:val="both"/>
        <w:rPr>
          <w:rFonts w:ascii="Calibri" w:hAnsi="Calibri"/>
          <w:lang w:eastAsia="ko-KR"/>
        </w:rPr>
      </w:pPr>
      <w:r w:rsidRPr="00106DD4">
        <w:rPr>
          <w:lang w:eastAsia="ja-JP"/>
        </w:rPr>
        <w:t xml:space="preserve">Option 2-2: Add </w:t>
      </w:r>
      <w:r w:rsidRPr="00106DD4">
        <w:rPr>
          <w:rFonts w:ascii="MS Mincho" w:eastAsia="MS Mincho" w:hAnsi="MS Mincho" w:hint="eastAsia"/>
          <w:lang w:eastAsia="ja-JP"/>
        </w:rPr>
        <w:t>“</w:t>
      </w:r>
      <w:r w:rsidRPr="00106DD4">
        <w:rPr>
          <w:lang w:eastAsia="ja-JP"/>
        </w:rPr>
        <w:t xml:space="preserve">UE expects </w:t>
      </w:r>
      <m:oMath>
        <m:sSubSup>
          <m:sSubSupPr>
            <m:ctrlPr>
              <w:rPr>
                <w:rFonts w:ascii="Cambria Math" w:eastAsia="Gulim" w:hAnsi="Cambria Math" w:cs="Calibri"/>
                <w:lang w:eastAsia="ja-JP"/>
              </w:rPr>
            </m:ctrlPr>
          </m:sSubSupPr>
          <m:e>
            <m:r>
              <w:rPr>
                <w:rFonts w:ascii="Cambria Math" w:hAnsi="Cambria Math"/>
                <w:lang w:eastAsia="ja-JP"/>
              </w:rPr>
              <m:t>t</m:t>
            </m:r>
          </m:e>
          <m:sub>
            <m:func>
              <m:funcPr>
                <m:ctrlPr>
                  <w:rPr>
                    <w:rFonts w:ascii="Cambria Math" w:eastAsia="Gulim" w:hAnsi="Cambria Math" w:cs="Calibri"/>
                    <w:lang w:eastAsia="ja-JP"/>
                  </w:rPr>
                </m:ctrlPr>
              </m:funcPr>
              <m:fName>
                <m:r>
                  <w:rPr>
                    <w:rFonts w:ascii="Cambria Math" w:hAnsi="Cambria Math"/>
                    <w:lang w:eastAsia="ja-JP"/>
                  </w:rPr>
                  <m:t>m</m:t>
                </m:r>
              </m:fName>
              <m:e>
                <m:r>
                  <m:rPr>
                    <m:sty m:val="p"/>
                  </m:rPr>
                  <w:rPr>
                    <w:rFonts w:ascii="Cambria Math" w:hAnsi="Cambria Math"/>
                    <w:lang w:eastAsia="ja-JP"/>
                  </w:rPr>
                  <m:t>+</m:t>
                </m:r>
              </m:e>
            </m:func>
            <m:func>
              <m:funcPr>
                <m:ctrlPr>
                  <w:rPr>
                    <w:rFonts w:ascii="Cambria Math" w:eastAsia="Gulim" w:hAnsi="Cambria Math" w:cs="Calibri"/>
                    <w:lang w:eastAsia="ja-JP"/>
                  </w:rPr>
                </m:ctrlPr>
              </m:funcPr>
              <m:fName>
                <m:r>
                  <w:rPr>
                    <w:rFonts w:ascii="Cambria Math" w:hAnsi="Cambria Math"/>
                    <w:lang w:eastAsia="ja-JP"/>
                  </w:rPr>
                  <m:t>j</m:t>
                </m:r>
              </m:fName>
              <m:e>
                <m:r>
                  <m:rPr>
                    <m:sty m:val="p"/>
                  </m:rPr>
                  <w:rPr>
                    <w:rFonts w:ascii="Cambria Math" w:hAnsi="Cambria Math"/>
                    <w:lang w:eastAsia="ja-JP"/>
                  </w:rPr>
                  <m:t>×</m:t>
                </m:r>
              </m:e>
            </m:func>
            <m:sSubSup>
              <m:sSubSupPr>
                <m:ctrlPr>
                  <w:rPr>
                    <w:rFonts w:ascii="Cambria Math" w:eastAsia="Gulim" w:hAnsi="Cambria Math" w:cs="Calibri"/>
                    <w:lang w:eastAsia="ja-JP"/>
                  </w:rPr>
                </m:ctrlPr>
              </m:sSubSupPr>
              <m:e>
                <m:r>
                  <w:rPr>
                    <w:rFonts w:ascii="Cambria Math" w:hAnsi="Cambria Math"/>
                    <w:lang w:eastAsia="ja-JP"/>
                  </w:rPr>
                  <m:t>P</m:t>
                </m:r>
              </m:e>
              <m:sub>
                <m:r>
                  <w:rPr>
                    <w:rFonts w:ascii="Cambria Math" w:hAnsi="Cambria Math"/>
                    <w:lang w:eastAsia="ja-JP"/>
                  </w:rPr>
                  <m:t>rsvp</m:t>
                </m:r>
                <m:r>
                  <m:rPr>
                    <m:sty m:val="p"/>
                  </m:rPr>
                  <w:rPr>
                    <w:rFonts w:ascii="Cambria Math" w:hAnsi="Cambria Math"/>
                    <w:lang w:eastAsia="ja-JP"/>
                  </w:rPr>
                  <m:t>_</m:t>
                </m:r>
                <m:r>
                  <w:rPr>
                    <w:rFonts w:ascii="Cambria Math" w:hAnsi="Cambria Math"/>
                    <w:lang w:eastAsia="ja-JP"/>
                  </w:rPr>
                  <m:t>TX</m:t>
                </m:r>
              </m:sub>
              <m:sup>
                <m:r>
                  <m:rPr>
                    <m:sty m:val="p"/>
                  </m:rPr>
                  <w:rPr>
                    <w:rFonts w:ascii="Cambria Math" w:hAnsi="Cambria Math"/>
                    <w:lang w:eastAsia="ja-JP"/>
                  </w:rPr>
                  <m:t>'</m:t>
                </m:r>
              </m:sup>
            </m:sSubSup>
          </m:sub>
          <m:sup>
            <m:r>
              <w:rPr>
                <w:rFonts w:ascii="Cambria Math" w:hAnsi="Cambria Math"/>
                <w:lang w:eastAsia="ja-JP"/>
              </w:rPr>
              <m:t>SL</m:t>
            </m:r>
          </m:sup>
        </m:sSubSup>
      </m:oMath>
      <w:r w:rsidRPr="00106DD4">
        <w:rPr>
          <w:lang w:eastAsia="ja-JP"/>
        </w:rPr>
        <w:t xml:space="preserve"> belong to the set of slots assigned to the resource pool.</w:t>
      </w:r>
      <w:r w:rsidRPr="00106DD4">
        <w:rPr>
          <w:rFonts w:ascii="MS Mincho" w:eastAsia="MS Mincho" w:hAnsi="MS Mincho" w:hint="eastAsia"/>
          <w:lang w:eastAsia="ja-JP"/>
        </w:rPr>
        <w:t>”</w:t>
      </w:r>
    </w:p>
    <w:p w14:paraId="6BCA7872" w14:textId="77777777" w:rsidR="00106DD4" w:rsidRPr="00106DD4" w:rsidRDefault="00106DD4" w:rsidP="00106DD4">
      <w:pPr>
        <w:numPr>
          <w:ilvl w:val="1"/>
          <w:numId w:val="21"/>
        </w:numPr>
        <w:wordWrap w:val="0"/>
        <w:autoSpaceDE w:val="0"/>
        <w:autoSpaceDN w:val="0"/>
        <w:spacing w:after="0"/>
        <w:jc w:val="both"/>
        <w:rPr>
          <w:lang w:val="en-US" w:eastAsia="ja-JP"/>
        </w:rPr>
      </w:pPr>
      <w:r w:rsidRPr="00106DD4">
        <w:rPr>
          <w:lang w:eastAsia="ja-JP"/>
        </w:rPr>
        <w:lastRenderedPageBreak/>
        <w:t xml:space="preserve">Option 2-3: Add </w:t>
      </w:r>
      <w:r w:rsidRPr="00106DD4">
        <w:rPr>
          <w:rFonts w:ascii="MS Mincho" w:eastAsia="MS Mincho" w:hAnsi="MS Mincho" w:hint="eastAsia"/>
          <w:lang w:eastAsia="ja-JP"/>
        </w:rPr>
        <w:t>“</w:t>
      </w:r>
      <w:r w:rsidRPr="00106DD4">
        <w:rPr>
          <w:lang w:eastAsia="ja-JP"/>
        </w:rPr>
        <w:t>If slot</w:t>
      </w:r>
      <w:r w:rsidRPr="00106DD4">
        <w:rPr>
          <w:rFonts w:ascii="Malgun Gothic" w:eastAsia="Malgun Gothic" w:hAnsi="Malgun Gothic" w:hint="eastAsia"/>
          <w:lang w:eastAsia="ja-JP"/>
        </w:rPr>
        <w:t> </w:t>
      </w:r>
      <m:oMath>
        <m:sSubSup>
          <m:sSubSupPr>
            <m:ctrlPr>
              <w:rPr>
                <w:rFonts w:ascii="Cambria Math" w:eastAsia="Gulim" w:hAnsi="Cambria Math" w:cs="Calibri"/>
                <w:lang w:eastAsia="ja-JP"/>
              </w:rPr>
            </m:ctrlPr>
          </m:sSubSupPr>
          <m:e>
            <m:r>
              <w:rPr>
                <w:rFonts w:ascii="Cambria Math" w:hAnsi="Cambria Math"/>
                <w:lang w:eastAsia="ja-JP"/>
              </w:rPr>
              <m:t>t</m:t>
            </m:r>
          </m:e>
          <m:sub>
            <m:func>
              <m:funcPr>
                <m:ctrlPr>
                  <w:rPr>
                    <w:rFonts w:ascii="Cambria Math" w:eastAsia="Gulim" w:hAnsi="Cambria Math" w:cs="Calibri"/>
                    <w:lang w:eastAsia="ja-JP"/>
                  </w:rPr>
                </m:ctrlPr>
              </m:funcPr>
              <m:fName>
                <m:r>
                  <w:rPr>
                    <w:rFonts w:ascii="Cambria Math" w:hAnsi="Cambria Math"/>
                    <w:lang w:eastAsia="ja-JP"/>
                  </w:rPr>
                  <m:t>m</m:t>
                </m:r>
              </m:fName>
              <m:e>
                <m:r>
                  <m:rPr>
                    <m:sty m:val="p"/>
                  </m:rPr>
                  <w:rPr>
                    <w:rFonts w:ascii="Cambria Math" w:hAnsi="Cambria Math"/>
                    <w:lang w:eastAsia="ja-JP"/>
                  </w:rPr>
                  <m:t>+</m:t>
                </m:r>
              </m:e>
            </m:func>
            <m:func>
              <m:funcPr>
                <m:ctrlPr>
                  <w:rPr>
                    <w:rFonts w:ascii="Cambria Math" w:eastAsia="Gulim" w:hAnsi="Cambria Math" w:cs="Calibri"/>
                    <w:lang w:eastAsia="ja-JP"/>
                  </w:rPr>
                </m:ctrlPr>
              </m:funcPr>
              <m:fName>
                <m:r>
                  <w:rPr>
                    <w:rFonts w:ascii="Cambria Math" w:hAnsi="Cambria Math"/>
                    <w:lang w:eastAsia="ja-JP"/>
                  </w:rPr>
                  <m:t>j</m:t>
                </m:r>
              </m:fName>
              <m:e>
                <m:r>
                  <m:rPr>
                    <m:sty m:val="p"/>
                  </m:rPr>
                  <w:rPr>
                    <w:rFonts w:ascii="Cambria Math" w:hAnsi="Cambria Math"/>
                    <w:lang w:eastAsia="ja-JP"/>
                  </w:rPr>
                  <m:t>×</m:t>
                </m:r>
              </m:e>
            </m:func>
            <m:sSubSup>
              <m:sSubSupPr>
                <m:ctrlPr>
                  <w:rPr>
                    <w:rFonts w:ascii="Cambria Math" w:eastAsia="Gulim" w:hAnsi="Cambria Math" w:cs="Calibri"/>
                    <w:lang w:eastAsia="ja-JP"/>
                  </w:rPr>
                </m:ctrlPr>
              </m:sSubSupPr>
              <m:e>
                <m:r>
                  <w:rPr>
                    <w:rFonts w:ascii="Cambria Math" w:hAnsi="Cambria Math"/>
                    <w:lang w:eastAsia="ja-JP"/>
                  </w:rPr>
                  <m:t>P</m:t>
                </m:r>
              </m:e>
              <m:sub>
                <m:r>
                  <w:rPr>
                    <w:rFonts w:ascii="Cambria Math" w:hAnsi="Cambria Math"/>
                    <w:lang w:eastAsia="ja-JP"/>
                  </w:rPr>
                  <m:t>rsvp</m:t>
                </m:r>
                <m:r>
                  <m:rPr>
                    <m:sty m:val="p"/>
                  </m:rPr>
                  <w:rPr>
                    <w:rFonts w:ascii="Cambria Math" w:hAnsi="Cambria Math"/>
                    <w:lang w:eastAsia="ja-JP"/>
                  </w:rPr>
                  <m:t>_</m:t>
                </m:r>
                <m:r>
                  <w:rPr>
                    <w:rFonts w:ascii="Cambria Math" w:hAnsi="Cambria Math"/>
                    <w:lang w:eastAsia="ja-JP"/>
                  </w:rPr>
                  <m:t>TX</m:t>
                </m:r>
              </m:sub>
              <m:sup>
                <m:r>
                  <m:rPr>
                    <m:sty m:val="p"/>
                  </m:rPr>
                  <w:rPr>
                    <w:rFonts w:ascii="Cambria Math" w:hAnsi="Cambria Math"/>
                    <w:lang w:eastAsia="ja-JP"/>
                  </w:rPr>
                  <m:t>'</m:t>
                </m:r>
              </m:sup>
            </m:sSubSup>
          </m:sub>
          <m:sup>
            <m:r>
              <w:rPr>
                <w:rFonts w:ascii="Cambria Math" w:hAnsi="Cambria Math"/>
                <w:lang w:eastAsia="ja-JP"/>
              </w:rPr>
              <m:t>SL</m:t>
            </m:r>
          </m:sup>
        </m:sSubSup>
      </m:oMath>
      <w:r w:rsidRPr="00106DD4">
        <w:rPr>
          <w:lang w:eastAsia="ja-JP"/>
        </w:rPr>
        <w:t xml:space="preserve"> is not in the resource pool, the next slot in the resource pool should be used instead.</w:t>
      </w:r>
      <w:r w:rsidRPr="00106DD4">
        <w:rPr>
          <w:rFonts w:ascii="MS Mincho" w:eastAsia="MS Mincho" w:hAnsi="MS Mincho" w:hint="eastAsia"/>
          <w:lang w:eastAsia="ja-JP"/>
        </w:rPr>
        <w:t>”</w:t>
      </w:r>
    </w:p>
    <w:p w14:paraId="517B9D6E" w14:textId="77777777" w:rsidR="00106DD4" w:rsidRPr="00106DD4" w:rsidRDefault="00106DD4" w:rsidP="00106DD4">
      <w:pPr>
        <w:wordWrap w:val="0"/>
        <w:autoSpaceDE w:val="0"/>
        <w:autoSpaceDN w:val="0"/>
        <w:jc w:val="both"/>
        <w:rPr>
          <w:rFonts w:ascii="Calibri" w:hAnsi="Calibri" w:cs="Calibri"/>
          <w:lang w:eastAsia="ko-KR"/>
        </w:rPr>
      </w:pPr>
      <w:r w:rsidRPr="00106DD4">
        <w:rPr>
          <w:rFonts w:ascii="Calibri" w:hAnsi="Calibri"/>
          <w:lang w:eastAsia="ko-KR"/>
        </w:rPr>
        <w:t xml:space="preserve">Option 3: If a UE transmits a SCI format 1-A in slot n in a resource pool, “Resource reservation period” P in the SCI format 1-A indicates the period in terms of </w:t>
      </w:r>
      <w:proofErr w:type="spellStart"/>
      <w:r w:rsidRPr="00106DD4">
        <w:rPr>
          <w:rFonts w:ascii="Calibri" w:hAnsi="Calibri"/>
          <w:lang w:eastAsia="ko-KR"/>
        </w:rPr>
        <w:t>ms</w:t>
      </w:r>
      <w:proofErr w:type="spellEnd"/>
      <w:r w:rsidRPr="00106DD4">
        <w:rPr>
          <w:rFonts w:ascii="Calibri" w:hAnsi="Calibri"/>
          <w:lang w:eastAsia="ko-KR"/>
        </w:rPr>
        <w:t>.</w:t>
      </w:r>
    </w:p>
    <w:p w14:paraId="0E537415" w14:textId="77777777" w:rsidR="00106DD4" w:rsidRPr="00106DD4" w:rsidRDefault="00106DD4" w:rsidP="00106DD4">
      <w:pPr>
        <w:numPr>
          <w:ilvl w:val="1"/>
          <w:numId w:val="21"/>
        </w:numPr>
        <w:wordWrap w:val="0"/>
        <w:autoSpaceDE w:val="0"/>
        <w:autoSpaceDN w:val="0"/>
        <w:spacing w:after="0"/>
        <w:jc w:val="both"/>
        <w:rPr>
          <w:rFonts w:ascii="Calibri" w:hAnsi="Calibri"/>
          <w:lang w:eastAsia="ko-KR"/>
        </w:rPr>
      </w:pPr>
      <w:r w:rsidRPr="00106DD4">
        <w:rPr>
          <w:lang w:eastAsia="ja-JP"/>
        </w:rPr>
        <w:t xml:space="preserve">If the physical slot after P </w:t>
      </w:r>
      <w:proofErr w:type="spellStart"/>
      <w:r w:rsidRPr="00106DD4">
        <w:rPr>
          <w:lang w:eastAsia="ja-JP"/>
        </w:rPr>
        <w:t>ms</w:t>
      </w:r>
      <w:proofErr w:type="spellEnd"/>
      <w:r w:rsidRPr="00106DD4">
        <w:rPr>
          <w:lang w:eastAsia="ja-JP"/>
        </w:rPr>
        <w:t xml:space="preserve"> is not in the resource pool, the next slot in the resource pool should be used instead.</w:t>
      </w:r>
    </w:p>
    <w:p w14:paraId="32990B6B" w14:textId="77777777" w:rsidR="00106DD4" w:rsidRPr="00106DD4" w:rsidRDefault="00106DD4" w:rsidP="00106DD4">
      <w:pPr>
        <w:wordWrap w:val="0"/>
        <w:autoSpaceDE w:val="0"/>
        <w:autoSpaceDN w:val="0"/>
        <w:jc w:val="both"/>
        <w:rPr>
          <w:rFonts w:ascii="Calibri" w:hAnsi="Calibri"/>
          <w:lang w:eastAsia="ko-KR"/>
        </w:rPr>
      </w:pPr>
      <w:r w:rsidRPr="00106DD4">
        <w:rPr>
          <w:rFonts w:ascii="Calibri" w:hAnsi="Calibri"/>
          <w:lang w:eastAsia="ko-KR"/>
        </w:rPr>
        <w:t xml:space="preserve">Option </w:t>
      </w:r>
      <w:r w:rsidRPr="00106DD4">
        <w:rPr>
          <w:rFonts w:ascii="Calibri" w:hAnsi="Calibri"/>
          <w:lang w:eastAsia="zh-CN"/>
        </w:rPr>
        <w:t>4</w:t>
      </w:r>
      <w:r w:rsidRPr="00106DD4">
        <w:rPr>
          <w:rFonts w:ascii="Calibri" w:hAnsi="Calibri"/>
          <w:lang w:eastAsia="ko-KR"/>
        </w:rPr>
        <w:t xml:space="preserve">: If a UE transmits a SCI format 1-A in slot n in a resource pool, and if “Resource reservation period” in the SCI format 1-A indicates P’ (following 8.1.7 of 38.214), P’ is counted in </w:t>
      </w:r>
      <m:oMath>
        <m:r>
          <m:rPr>
            <m:sty m:val="p"/>
          </m:rPr>
          <w:rPr>
            <w:rFonts w:ascii="Cambria Math" w:hAnsi="Cambria Math"/>
            <w:lang w:eastAsia="zh-CN"/>
          </w:rPr>
          <m:t>t</m:t>
        </m:r>
      </m:oMath>
      <w:r w:rsidRPr="00106DD4">
        <w:rPr>
          <w:rFonts w:ascii="Calibri" w:hAnsi="Calibri"/>
          <w:lang w:eastAsia="zh-CN"/>
        </w:rPr>
        <w:t xml:space="preserve">he slots </w:t>
      </w:r>
      <w:r w:rsidRPr="00106DD4">
        <w:rPr>
          <w:rFonts w:ascii="Calibri" w:hAnsi="Calibri"/>
          <w:lang w:eastAsia="ko-KR"/>
        </w:rPr>
        <w:t xml:space="preserve">that can be used for SL transmission </w:t>
      </w:r>
      <w:r w:rsidRPr="00106DD4">
        <w:rPr>
          <w:rFonts w:ascii="Malgun Gothic" w:eastAsia="Malgun Gothic" w:hAnsi="Malgun Gothic" w:hint="eastAsia"/>
          <w:lang w:eastAsia="ko-KR"/>
        </w:rPr>
        <w:t>(</w:t>
      </w:r>
      <w:proofErr w:type="gramStart"/>
      <w:r w:rsidRPr="00106DD4">
        <w:rPr>
          <w:rFonts w:ascii="Malgun Gothic" w:eastAsia="Malgun Gothic" w:hAnsi="Malgun Gothic" w:hint="eastAsia"/>
          <w:lang w:eastAsia="ko-KR"/>
        </w:rPr>
        <w:t>i.e.</w:t>
      </w:r>
      <w:proofErr w:type="gramEnd"/>
      <w:r w:rsidRPr="00106DD4">
        <w:rPr>
          <w:rFonts w:ascii="Malgun Gothic" w:eastAsia="Malgun Gothic" w:hAnsi="Malgun Gothic" w:hint="eastAsia"/>
          <w:lang w:eastAsia="ko-KR"/>
        </w:rPr>
        <w:t xml:space="preserve"> </w:t>
      </w:r>
      <w:r w:rsidRPr="00106DD4">
        <w:rPr>
          <w:rFonts w:ascii="Calibri" w:hAnsi="Calibri"/>
          <w:lang w:eastAsia="zh-CN"/>
        </w:rPr>
        <w:t>the gap between the slots indicated in SCI within two periods is P</w:t>
      </w:r>
      <w:r w:rsidRPr="00106DD4">
        <w:rPr>
          <w:rFonts w:ascii="Malgun Gothic" w:eastAsia="Malgun Gothic" w:hAnsi="Malgun Gothic" w:hint="eastAsia"/>
          <w:lang w:eastAsia="ko-KR"/>
        </w:rPr>
        <w:t>).</w:t>
      </w:r>
    </w:p>
    <w:p w14:paraId="3457CDC8" w14:textId="77777777" w:rsidR="00106DD4" w:rsidRPr="00106DD4" w:rsidRDefault="00106DD4" w:rsidP="00106DD4">
      <w:pPr>
        <w:numPr>
          <w:ilvl w:val="1"/>
          <w:numId w:val="21"/>
        </w:numPr>
        <w:wordWrap w:val="0"/>
        <w:autoSpaceDE w:val="0"/>
        <w:autoSpaceDN w:val="0"/>
        <w:spacing w:after="0"/>
        <w:jc w:val="both"/>
        <w:rPr>
          <w:rFonts w:ascii="Calibri" w:hAnsi="Calibri"/>
          <w:lang w:eastAsia="ko-KR"/>
        </w:rPr>
      </w:pPr>
      <w:r w:rsidRPr="00106DD4">
        <w:rPr>
          <w:lang w:eastAsia="ja-JP"/>
        </w:rPr>
        <w:t xml:space="preserve"> Add </w:t>
      </w:r>
      <w:r w:rsidRPr="00106DD4">
        <w:rPr>
          <w:rFonts w:ascii="MS Mincho" w:eastAsia="MS Mincho" w:hAnsi="MS Mincho" w:hint="eastAsia"/>
          <w:lang w:eastAsia="ja-JP"/>
        </w:rPr>
        <w:t>“</w:t>
      </w:r>
      <w:r w:rsidRPr="00106DD4">
        <w:rPr>
          <w:lang w:eastAsia="ja-JP"/>
        </w:rPr>
        <w:t xml:space="preserve">UE expects </w:t>
      </w:r>
      <m:oMath>
        <m:sSubSup>
          <m:sSubSupPr>
            <m:ctrlPr>
              <w:rPr>
                <w:rFonts w:ascii="Cambria Math" w:eastAsia="Gulim" w:hAnsi="Cambria Math" w:cs="Calibri"/>
                <w:lang w:eastAsia="ja-JP"/>
              </w:rPr>
            </m:ctrlPr>
          </m:sSubSupPr>
          <m:e>
            <m:r>
              <w:rPr>
                <w:rFonts w:ascii="Cambria Math" w:hAnsi="Cambria Math"/>
                <w:lang w:eastAsia="ja-JP"/>
              </w:rPr>
              <m:t>t</m:t>
            </m:r>
          </m:e>
          <m:sub>
            <m:func>
              <m:funcPr>
                <m:ctrlPr>
                  <w:rPr>
                    <w:rFonts w:ascii="Cambria Math" w:eastAsia="Gulim" w:hAnsi="Cambria Math" w:cs="Calibri"/>
                    <w:lang w:eastAsia="ja-JP"/>
                  </w:rPr>
                </m:ctrlPr>
              </m:funcPr>
              <m:fName>
                <m:r>
                  <w:rPr>
                    <w:rFonts w:ascii="Cambria Math" w:hAnsi="Cambria Math"/>
                    <w:lang w:eastAsia="ja-JP"/>
                  </w:rPr>
                  <m:t>m</m:t>
                </m:r>
              </m:fName>
              <m:e>
                <m:r>
                  <m:rPr>
                    <m:sty m:val="p"/>
                  </m:rPr>
                  <w:rPr>
                    <w:rFonts w:ascii="Cambria Math" w:hAnsi="Cambria Math"/>
                    <w:lang w:eastAsia="ja-JP"/>
                  </w:rPr>
                  <m:t>+</m:t>
                </m:r>
              </m:e>
            </m:func>
            <m:func>
              <m:funcPr>
                <m:ctrlPr>
                  <w:rPr>
                    <w:rFonts w:ascii="Cambria Math" w:eastAsia="Gulim" w:hAnsi="Cambria Math" w:cs="Calibri"/>
                    <w:lang w:eastAsia="ja-JP"/>
                  </w:rPr>
                </m:ctrlPr>
              </m:funcPr>
              <m:fName>
                <m:r>
                  <w:rPr>
                    <w:rFonts w:ascii="Cambria Math" w:hAnsi="Cambria Math"/>
                    <w:lang w:eastAsia="ja-JP"/>
                  </w:rPr>
                  <m:t>j</m:t>
                </m:r>
              </m:fName>
              <m:e>
                <m:r>
                  <m:rPr>
                    <m:sty m:val="p"/>
                  </m:rPr>
                  <w:rPr>
                    <w:rFonts w:ascii="Cambria Math" w:hAnsi="Cambria Math"/>
                    <w:lang w:eastAsia="ja-JP"/>
                  </w:rPr>
                  <m:t>×</m:t>
                </m:r>
              </m:e>
            </m:func>
            <m:sSubSup>
              <m:sSubSupPr>
                <m:ctrlPr>
                  <w:rPr>
                    <w:rFonts w:ascii="Cambria Math" w:eastAsia="Gulim" w:hAnsi="Cambria Math" w:cs="Calibri"/>
                    <w:lang w:eastAsia="ja-JP"/>
                  </w:rPr>
                </m:ctrlPr>
              </m:sSubSupPr>
              <m:e>
                <m:r>
                  <w:rPr>
                    <w:rFonts w:ascii="Cambria Math" w:hAnsi="Cambria Math"/>
                    <w:lang w:eastAsia="ja-JP"/>
                  </w:rPr>
                  <m:t>P</m:t>
                </m:r>
              </m:e>
              <m:sub>
                <m:r>
                  <w:rPr>
                    <w:rFonts w:ascii="Cambria Math" w:hAnsi="Cambria Math"/>
                    <w:lang w:eastAsia="ja-JP"/>
                  </w:rPr>
                  <m:t>rsvp</m:t>
                </m:r>
                <m:r>
                  <m:rPr>
                    <m:sty m:val="p"/>
                  </m:rPr>
                  <w:rPr>
                    <w:rFonts w:ascii="Cambria Math" w:hAnsi="Cambria Math"/>
                    <w:lang w:eastAsia="ja-JP"/>
                  </w:rPr>
                  <m:t>_</m:t>
                </m:r>
                <m:r>
                  <w:rPr>
                    <w:rFonts w:ascii="Cambria Math" w:hAnsi="Cambria Math"/>
                    <w:lang w:eastAsia="ja-JP"/>
                  </w:rPr>
                  <m:t>TX</m:t>
                </m:r>
              </m:sub>
              <m:sup>
                <m:r>
                  <m:rPr>
                    <m:sty m:val="p"/>
                  </m:rPr>
                  <w:rPr>
                    <w:rFonts w:ascii="Cambria Math" w:hAnsi="Cambria Math"/>
                    <w:lang w:eastAsia="ja-JP"/>
                  </w:rPr>
                  <m:t>'</m:t>
                </m:r>
              </m:sup>
            </m:sSubSup>
          </m:sub>
          <m:sup>
            <m:r>
              <w:rPr>
                <w:rFonts w:ascii="Cambria Math" w:hAnsi="Cambria Math"/>
                <w:lang w:eastAsia="ja-JP"/>
              </w:rPr>
              <m:t>SL</m:t>
            </m:r>
          </m:sup>
        </m:sSubSup>
      </m:oMath>
      <w:r w:rsidRPr="00106DD4">
        <w:rPr>
          <w:lang w:eastAsia="ja-JP"/>
        </w:rPr>
        <w:t xml:space="preserve"> belong to the set of slots assigned to the resource pool.</w:t>
      </w:r>
      <w:r w:rsidRPr="00106DD4">
        <w:rPr>
          <w:rFonts w:ascii="MS Mincho" w:eastAsia="MS Mincho" w:hAnsi="MS Mincho" w:hint="eastAsia"/>
          <w:lang w:eastAsia="ja-JP"/>
        </w:rPr>
        <w:t>”</w:t>
      </w:r>
    </w:p>
    <w:p w14:paraId="0097C979" w14:textId="474D1EDA" w:rsidR="00106DD4" w:rsidRDefault="00106DD4" w:rsidP="00106DD4">
      <w:pPr>
        <w:rPr>
          <w:lang w:val="en-US"/>
        </w:rPr>
      </w:pPr>
    </w:p>
    <w:p w14:paraId="74A56EED" w14:textId="7C6BC5A6" w:rsidR="00106DD4" w:rsidRDefault="00106DD4" w:rsidP="00106DD4">
      <w:pPr>
        <w:rPr>
          <w:lang w:val="en-US"/>
        </w:rPr>
      </w:pPr>
      <w:r>
        <w:rPr>
          <w:lang w:val="en-US"/>
        </w:rPr>
        <w:t xml:space="preserve">In Option 1, the periodicity P is first converted to a number of logical slots P’. This conversion follows a formula that </w:t>
      </w:r>
      <w:proofErr w:type="gramStart"/>
      <w:r>
        <w:rPr>
          <w:lang w:val="en-US"/>
        </w:rPr>
        <w:t>takes into account</w:t>
      </w:r>
      <w:proofErr w:type="gramEnd"/>
      <w:r>
        <w:rPr>
          <w:lang w:val="en-US"/>
        </w:rPr>
        <w:t xml:space="preserve"> number of reserved slot</w:t>
      </w:r>
      <w:r w:rsidR="003A3D68">
        <w:rPr>
          <w:lang w:val="en-US"/>
        </w:rPr>
        <w:t xml:space="preserve">s, SLSS slots, number of unusable DL slots and pool definition bitmap in a long period of time. P’ can then be view as the average number of logical slots in the pool within any period of P millisecond, as long as the </w:t>
      </w:r>
      <w:proofErr w:type="gramStart"/>
      <w:r w:rsidR="003A3D68">
        <w:rPr>
          <w:lang w:val="en-US"/>
        </w:rPr>
        <w:t>time period</w:t>
      </w:r>
      <w:proofErr w:type="gramEnd"/>
      <w:r w:rsidR="003A3D68">
        <w:rPr>
          <w:lang w:val="en-US"/>
        </w:rPr>
        <w:t xml:space="preserve"> in the P to P’ conversion formula is properly chosen. Due to the irregularity of how the logical slots in the pool are distributed in time, the actually slots in any P millisecond may not be the same as P’. Then, by counting P’ in the logical slots belong to the pool, there may be jittering of the SPS resources compared to the desired periodicity of the resource. In some case, the SPS resource may come too early, before the packet arrives, which will trigger a resource selection. In some other case, the SPS resource may come late, after the PDB expires, which again should trigger resource selection. If the fluctuation in the difference between P’ and the actual logical slots in the pool is large, there will be more undesired resource selection and system performance will be impacted. At the other hand, keeping the fluctuation low put a constraint on how the pool configuration is done.</w:t>
      </w:r>
    </w:p>
    <w:p w14:paraId="376A424F" w14:textId="236A73E4" w:rsidR="003A3D68" w:rsidRDefault="003A3D68" w:rsidP="00106DD4">
      <w:pPr>
        <w:rPr>
          <w:lang w:val="en-US"/>
        </w:rPr>
      </w:pPr>
      <w:r>
        <w:rPr>
          <w:lang w:val="en-US"/>
        </w:rPr>
        <w:t xml:space="preserve">In Option 2, In Option 1, the periodicity P is also first converted to a number of logical slots P’. The difference here is now the conversion formula does not take the pool definition bitmap into account. </w:t>
      </w:r>
      <w:proofErr w:type="gramStart"/>
      <w:r>
        <w:rPr>
          <w:lang w:val="en-US"/>
        </w:rPr>
        <w:t>So</w:t>
      </w:r>
      <w:proofErr w:type="gramEnd"/>
      <w:r>
        <w:rPr>
          <w:lang w:val="en-US"/>
        </w:rPr>
        <w:t xml:space="preserve"> P’ is the average number of logical slots within any period of P millisecond, in and outside of the concerning pool. By doing this, the fluctuation between P’ and the actual total logical slot is significantly lower. The downside is that the determined SPS resource may not fall within the concerned transmission pool. How to handle this exception is the key difference between the 3 sub-options.</w:t>
      </w:r>
    </w:p>
    <w:p w14:paraId="45ECAE98" w14:textId="697A030B" w:rsidR="003A3D68" w:rsidRDefault="003A3D68" w:rsidP="003A3D68">
      <w:pPr>
        <w:ind w:left="360"/>
        <w:rPr>
          <w:lang w:val="en-US"/>
        </w:rPr>
      </w:pPr>
      <w:r>
        <w:rPr>
          <w:lang w:val="en-US"/>
        </w:rPr>
        <w:t xml:space="preserve">For sub-option 2-1: there is no exception handling, </w:t>
      </w:r>
      <w:proofErr w:type="gramStart"/>
      <w:r>
        <w:rPr>
          <w:lang w:val="en-US"/>
        </w:rPr>
        <w:t>e.g.</w:t>
      </w:r>
      <w:proofErr w:type="gramEnd"/>
      <w:r>
        <w:rPr>
          <w:lang w:val="en-US"/>
        </w:rPr>
        <w:t xml:space="preserve"> it’s up to UE implementation. This is clearly undesirable</w:t>
      </w:r>
      <w:r w:rsidR="00447891">
        <w:rPr>
          <w:lang w:val="en-US"/>
        </w:rPr>
        <w:t>.</w:t>
      </w:r>
      <w:r>
        <w:rPr>
          <w:lang w:val="en-US"/>
        </w:rPr>
        <w:t xml:space="preserve"> </w:t>
      </w:r>
    </w:p>
    <w:p w14:paraId="7B36D8AC" w14:textId="00DE33E6" w:rsidR="003A3D68" w:rsidRDefault="00447891" w:rsidP="00447891">
      <w:pPr>
        <w:ind w:left="360"/>
        <w:rPr>
          <w:lang w:val="en-US"/>
        </w:rPr>
      </w:pPr>
      <w:r>
        <w:rPr>
          <w:lang w:val="en-US"/>
        </w:rPr>
        <w:t xml:space="preserve">For sub-option 2-2: the intention is to enforce pool configuration in a way that the determined SPS resources </w:t>
      </w:r>
      <w:proofErr w:type="gramStart"/>
      <w:r>
        <w:rPr>
          <w:lang w:val="en-US"/>
        </w:rPr>
        <w:t>has to</w:t>
      </w:r>
      <w:proofErr w:type="gramEnd"/>
      <w:r>
        <w:rPr>
          <w:lang w:val="en-US"/>
        </w:rPr>
        <w:t xml:space="preserve"> always be within the resource pool. Assuming a certain slot t is in the pool, this constraint means that</w:t>
      </w:r>
      <w:r w:rsidR="001B08E3">
        <w:rPr>
          <w:lang w:val="en-US"/>
        </w:rPr>
        <w:t xml:space="preserve"> t +P’, t+2*P’, …</w:t>
      </w:r>
      <w:proofErr w:type="gramStart"/>
      <w:r w:rsidR="001B08E3">
        <w:rPr>
          <w:lang w:val="en-US"/>
        </w:rPr>
        <w:t>. ,</w:t>
      </w:r>
      <w:proofErr w:type="gramEnd"/>
      <w:r w:rsidR="001B08E3">
        <w:rPr>
          <w:lang w:val="en-US"/>
        </w:rPr>
        <w:t xml:space="preserve"> must also be in the pool for all supported value of periodicity P. Let d be the greatest common divisor between P’ and the pool configuration bitmap length, all logical slots will be partitioned into d different groups, e.g. (d, 2*d, 3*d,….); (d+1, 2*d +1, 3*d + 1); (d+2, 2*d +2, 3*d + 2);….; (d+d-1, 2*d +d-1,3*d + d-1) where each group can either be in the pool or out of the pool. Since the value of P would depend on the traffic condition on the supported application, d can be anything, including 1 or 2. If d is 1, we can only either configure no pool, or all the slots </w:t>
      </w:r>
      <w:proofErr w:type="gramStart"/>
      <w:r w:rsidR="001B08E3">
        <w:rPr>
          <w:lang w:val="en-US"/>
        </w:rPr>
        <w:t>has to</w:t>
      </w:r>
      <w:proofErr w:type="gramEnd"/>
      <w:r w:rsidR="001B08E3">
        <w:rPr>
          <w:lang w:val="en-US"/>
        </w:rPr>
        <w:t xml:space="preserve"> be in the pool. If d is 2, we can either configure no pool, 50% pool, or all slot in the pool. If it is 50% pool, the slots in pool </w:t>
      </w:r>
      <w:proofErr w:type="gramStart"/>
      <w:r w:rsidR="001B08E3">
        <w:rPr>
          <w:lang w:val="en-US"/>
        </w:rPr>
        <w:t>has</w:t>
      </w:r>
      <w:proofErr w:type="gramEnd"/>
      <w:r w:rsidR="001B08E3">
        <w:rPr>
          <w:lang w:val="en-US"/>
        </w:rPr>
        <w:t xml:space="preserve"> to be equally space. Based on this analysis, this is very strict constraint on pool configuration</w:t>
      </w:r>
    </w:p>
    <w:p w14:paraId="6779ACB5" w14:textId="783382D1" w:rsidR="001B08E3" w:rsidRDefault="001B08E3" w:rsidP="00447891">
      <w:pPr>
        <w:ind w:left="360"/>
        <w:rPr>
          <w:lang w:val="en-US"/>
        </w:rPr>
      </w:pPr>
      <w:r>
        <w:rPr>
          <w:lang w:val="en-US"/>
        </w:rPr>
        <w:t xml:space="preserve">Sub-option 2-3: introduce exception handling for the case where </w:t>
      </w:r>
      <w:proofErr w:type="spellStart"/>
      <w:r>
        <w:rPr>
          <w:lang w:val="en-US"/>
        </w:rPr>
        <w:t>t+P</w:t>
      </w:r>
      <w:proofErr w:type="spellEnd"/>
      <w:r>
        <w:rPr>
          <w:lang w:val="en-US"/>
        </w:rPr>
        <w:t xml:space="preserve"> happens to be out of the configured pool. This does not alleviate us from the problem of proper pool configuration. However, the condition for good configuration can be much less stringent, where we only need to minimize the amount of case where </w:t>
      </w:r>
      <w:proofErr w:type="spellStart"/>
      <w:r>
        <w:rPr>
          <w:lang w:val="en-US"/>
        </w:rPr>
        <w:t>t+P</w:t>
      </w:r>
      <w:proofErr w:type="spellEnd"/>
      <w:r>
        <w:rPr>
          <w:lang w:val="en-US"/>
        </w:rPr>
        <w:t xml:space="preserve"> falls out of the pool.</w:t>
      </w:r>
    </w:p>
    <w:p w14:paraId="3FEB0275" w14:textId="77777777" w:rsidR="001B08E3" w:rsidRDefault="001B08E3" w:rsidP="001B08E3">
      <w:pPr>
        <w:rPr>
          <w:lang w:val="en-US"/>
        </w:rPr>
      </w:pPr>
      <w:r>
        <w:rPr>
          <w:lang w:val="en-US"/>
        </w:rPr>
        <w:t xml:space="preserve">Option 3 is the most straight forward option. Since P’ is counted in physical slot, it’s just a matter of applying </w:t>
      </w:r>
    </w:p>
    <w:p w14:paraId="6B2E8B00" w14:textId="35CA2662" w:rsidR="001B08E3" w:rsidRDefault="001B08E3" w:rsidP="001B08E3">
      <w:pPr>
        <w:jc w:val="center"/>
        <w:rPr>
          <w:lang w:val="en-US"/>
        </w:rPr>
      </w:pPr>
      <w:r>
        <w:rPr>
          <w:lang w:val="en-US"/>
        </w:rPr>
        <w:t>P’ = P * mu</w:t>
      </w:r>
    </w:p>
    <w:p w14:paraId="272F5C50" w14:textId="4C492418" w:rsidR="001B08E3" w:rsidRDefault="001B08E3" w:rsidP="001B08E3">
      <w:pPr>
        <w:rPr>
          <w:lang w:val="en-US"/>
        </w:rPr>
      </w:pPr>
      <w:r>
        <w:rPr>
          <w:lang w:val="en-US"/>
        </w:rPr>
        <w:lastRenderedPageBreak/>
        <w:t>Where mu = 1 for 15KHz SCS, 2 for 30kHz SCS, and 4 for 60kHz SCS.</w:t>
      </w:r>
      <w:r w:rsidR="00452453">
        <w:rPr>
          <w:lang w:val="en-US"/>
        </w:rPr>
        <w:t xml:space="preserve"> There will be no fluctuation between P’ and the actual number of slots within any P millisecond. We still need proper pool configuration such that the case where </w:t>
      </w:r>
      <w:proofErr w:type="spellStart"/>
      <w:r w:rsidR="00452453">
        <w:rPr>
          <w:lang w:val="en-US"/>
        </w:rPr>
        <w:t>t+P</w:t>
      </w:r>
      <w:proofErr w:type="spellEnd"/>
      <w:r w:rsidR="00452453">
        <w:rPr>
          <w:lang w:val="en-US"/>
        </w:rPr>
        <w:t>’ is not in pool configuration is minimal. If that case does happen, we apply the exception handling rule.</w:t>
      </w:r>
    </w:p>
    <w:p w14:paraId="1C4C6666" w14:textId="6589D08E" w:rsidR="00452453" w:rsidRDefault="00452453" w:rsidP="001B08E3">
      <w:pPr>
        <w:rPr>
          <w:lang w:val="en-US"/>
        </w:rPr>
      </w:pPr>
      <w:r>
        <w:rPr>
          <w:lang w:val="en-US"/>
        </w:rPr>
        <w:t xml:space="preserve">In Option 4, P’ is counted on all slot available for SL communication. In principle, it works similarly to Option 3 without exception handling rule. There will be fluctuation between P’ and actually number of </w:t>
      </w:r>
      <w:proofErr w:type="gramStart"/>
      <w:r>
        <w:rPr>
          <w:lang w:val="en-US"/>
        </w:rPr>
        <w:t>slot</w:t>
      </w:r>
      <w:proofErr w:type="gramEnd"/>
      <w:r>
        <w:rPr>
          <w:lang w:val="en-US"/>
        </w:rPr>
        <w:t xml:space="preserve"> within each P millisecond. As there is no exception handling rule, the pool configuration problem will be very challenging, to the point of impossible, as shown in the analysis of Option 2-3.</w:t>
      </w:r>
    </w:p>
    <w:p w14:paraId="7312C9B3" w14:textId="600A3EDE" w:rsidR="00452453" w:rsidRDefault="00452453" w:rsidP="001B08E3">
      <w:pPr>
        <w:rPr>
          <w:lang w:val="en-US"/>
        </w:rPr>
      </w:pPr>
      <w:r>
        <w:rPr>
          <w:lang w:val="en-US"/>
        </w:rPr>
        <w:t xml:space="preserve">Based on this analysis, we think the best solution is Option 3. There will be some specification </w:t>
      </w:r>
      <w:proofErr w:type="gramStart"/>
      <w:r>
        <w:rPr>
          <w:lang w:val="en-US"/>
        </w:rPr>
        <w:t>impacts</w:t>
      </w:r>
      <w:proofErr w:type="gramEnd"/>
      <w:r>
        <w:rPr>
          <w:lang w:val="en-US"/>
        </w:rPr>
        <w:t xml:space="preserve"> but the changes will be very small. The logic is straightforward, and hence UE implementation is much simpler.</w:t>
      </w:r>
    </w:p>
    <w:p w14:paraId="10D94A70" w14:textId="255C5E88" w:rsidR="00452453" w:rsidRPr="00607D95" w:rsidRDefault="00452453" w:rsidP="00452453">
      <w:pPr>
        <w:wordWrap w:val="0"/>
        <w:autoSpaceDE w:val="0"/>
        <w:autoSpaceDN w:val="0"/>
        <w:jc w:val="both"/>
        <w:rPr>
          <w:rFonts w:ascii="Calibri" w:hAnsi="Calibri" w:cs="Calibri"/>
          <w:b/>
          <w:bCs/>
          <w:lang w:eastAsia="ko-KR"/>
        </w:rPr>
      </w:pPr>
      <w:bookmarkStart w:id="3" w:name="_Ref61885131"/>
      <w:bookmarkStart w:id="4" w:name="_Ref61885171"/>
      <w:r>
        <w:t xml:space="preserve">Proposal </w:t>
      </w:r>
      <w:r>
        <w:fldChar w:fldCharType="begin"/>
      </w:r>
      <w:r>
        <w:instrText xml:space="preserve"> SEQ Proposal \* ARABIC </w:instrText>
      </w:r>
      <w:r>
        <w:fldChar w:fldCharType="separate"/>
      </w:r>
      <w:r>
        <w:rPr>
          <w:noProof/>
        </w:rPr>
        <w:t>1</w:t>
      </w:r>
      <w:r>
        <w:fldChar w:fldCharType="end"/>
      </w:r>
      <w:r>
        <w:t>: Adopt Option 3</w:t>
      </w:r>
      <w:bookmarkEnd w:id="3"/>
      <w:r>
        <w:t>:</w:t>
      </w:r>
      <w:r w:rsidRPr="00452453">
        <w:rPr>
          <w:rFonts w:ascii="Calibri" w:hAnsi="Calibri"/>
          <w:b/>
          <w:bCs/>
          <w:lang w:eastAsia="ko-KR"/>
        </w:rPr>
        <w:t xml:space="preserve"> </w:t>
      </w:r>
      <w:r w:rsidRPr="00607D95">
        <w:rPr>
          <w:rFonts w:ascii="Calibri" w:hAnsi="Calibri"/>
          <w:b/>
          <w:bCs/>
          <w:lang w:eastAsia="ko-KR"/>
        </w:rPr>
        <w:t xml:space="preserve">If a UE transmits a SCI format 1-A in slot n in a resource pool, “Resource reservation period” P in the SCI format 1-A indicates the period in terms of </w:t>
      </w:r>
      <w:proofErr w:type="spellStart"/>
      <w:r w:rsidRPr="00607D95">
        <w:rPr>
          <w:rFonts w:ascii="Calibri" w:hAnsi="Calibri"/>
          <w:b/>
          <w:bCs/>
          <w:lang w:eastAsia="ko-KR"/>
        </w:rPr>
        <w:t>ms</w:t>
      </w:r>
      <w:proofErr w:type="spellEnd"/>
      <w:r w:rsidRPr="00607D95">
        <w:rPr>
          <w:rFonts w:ascii="Calibri" w:hAnsi="Calibri"/>
          <w:b/>
          <w:bCs/>
          <w:lang w:eastAsia="ko-KR"/>
        </w:rPr>
        <w:t>.</w:t>
      </w:r>
      <w:bookmarkEnd w:id="4"/>
    </w:p>
    <w:p w14:paraId="7B0956E4" w14:textId="77777777" w:rsidR="00452453" w:rsidRPr="00607D95" w:rsidRDefault="00452453" w:rsidP="00452453">
      <w:pPr>
        <w:numPr>
          <w:ilvl w:val="1"/>
          <w:numId w:val="21"/>
        </w:numPr>
        <w:wordWrap w:val="0"/>
        <w:autoSpaceDE w:val="0"/>
        <w:autoSpaceDN w:val="0"/>
        <w:spacing w:after="0"/>
        <w:jc w:val="both"/>
        <w:rPr>
          <w:rFonts w:ascii="Calibri" w:hAnsi="Calibri"/>
          <w:b/>
          <w:bCs/>
          <w:lang w:eastAsia="ko-KR"/>
        </w:rPr>
      </w:pPr>
      <w:r w:rsidRPr="00607D95">
        <w:rPr>
          <w:b/>
          <w:bCs/>
          <w:lang w:eastAsia="ja-JP"/>
        </w:rPr>
        <w:t xml:space="preserve">If the physical slot after P </w:t>
      </w:r>
      <w:proofErr w:type="spellStart"/>
      <w:r w:rsidRPr="00607D95">
        <w:rPr>
          <w:b/>
          <w:bCs/>
          <w:lang w:eastAsia="ja-JP"/>
        </w:rPr>
        <w:t>ms</w:t>
      </w:r>
      <w:proofErr w:type="spellEnd"/>
      <w:r w:rsidRPr="00607D95">
        <w:rPr>
          <w:b/>
          <w:bCs/>
          <w:lang w:eastAsia="ja-JP"/>
        </w:rPr>
        <w:t xml:space="preserve"> is not in the resource pool, the next slot in the resource pool should be used instead.</w:t>
      </w:r>
    </w:p>
    <w:p w14:paraId="50C6331D" w14:textId="30576F7A" w:rsidR="00452453" w:rsidRPr="00452453" w:rsidRDefault="00452453" w:rsidP="00452453">
      <w:pPr>
        <w:pStyle w:val="Caption"/>
      </w:pPr>
    </w:p>
    <w:bookmarkEnd w:id="1"/>
    <w:p w14:paraId="36013703" w14:textId="58432E1F" w:rsidR="00452453" w:rsidRDefault="008234EA" w:rsidP="00452453">
      <w:pPr>
        <w:pStyle w:val="Heading1"/>
      </w:pPr>
      <w:r>
        <w:t>Conclusion</w:t>
      </w:r>
    </w:p>
    <w:p w14:paraId="244D5326" w14:textId="45123F49" w:rsidR="00452453" w:rsidRDefault="00452453" w:rsidP="00452453">
      <w:r>
        <w:fldChar w:fldCharType="begin"/>
      </w:r>
      <w:r>
        <w:instrText xml:space="preserve"> REF _Ref61885171  \* MERGEFORMAT </w:instrText>
      </w:r>
      <w:r>
        <w:fldChar w:fldCharType="separate"/>
      </w:r>
      <w:r>
        <w:t xml:space="preserve">Proposal </w:t>
      </w:r>
      <w:r>
        <w:rPr>
          <w:noProof/>
        </w:rPr>
        <w:t>1</w:t>
      </w:r>
      <w:r>
        <w:t>: Adopt Option 3:</w:t>
      </w:r>
      <w:r w:rsidRPr="00452453">
        <w:rPr>
          <w:lang w:eastAsia="ko-KR"/>
        </w:rPr>
        <w:t xml:space="preserve"> </w:t>
      </w:r>
      <w:r w:rsidRPr="00607D95">
        <w:rPr>
          <w:lang w:eastAsia="ko-KR"/>
        </w:rPr>
        <w:t xml:space="preserve">If a UE transmits a SCI format 1-A in slot n in a resource pool, “Resource reservation period” P in the SCI format 1-A indicates the period in terms of </w:t>
      </w:r>
      <w:proofErr w:type="spellStart"/>
      <w:r w:rsidRPr="00607D95">
        <w:rPr>
          <w:lang w:eastAsia="ko-KR"/>
        </w:rPr>
        <w:t>ms</w:t>
      </w:r>
      <w:proofErr w:type="spellEnd"/>
      <w:r w:rsidRPr="00607D95">
        <w:rPr>
          <w:lang w:eastAsia="ko-KR"/>
        </w:rPr>
        <w:t>.</w:t>
      </w:r>
      <w:r>
        <w:fldChar w:fldCharType="end"/>
      </w:r>
    </w:p>
    <w:p w14:paraId="3099E832" w14:textId="77777777" w:rsidR="00452453" w:rsidRPr="00452453" w:rsidRDefault="00452453" w:rsidP="00452453">
      <w:pPr>
        <w:numPr>
          <w:ilvl w:val="1"/>
          <w:numId w:val="21"/>
        </w:numPr>
        <w:wordWrap w:val="0"/>
        <w:autoSpaceDE w:val="0"/>
        <w:autoSpaceDN w:val="0"/>
        <w:spacing w:after="0"/>
        <w:jc w:val="both"/>
        <w:rPr>
          <w:rFonts w:ascii="Calibri" w:hAnsi="Calibri"/>
          <w:lang w:eastAsia="ko-KR"/>
        </w:rPr>
      </w:pPr>
      <w:r w:rsidRPr="00452453">
        <w:rPr>
          <w:lang w:eastAsia="ja-JP"/>
        </w:rPr>
        <w:t xml:space="preserve">If the physical slot after P </w:t>
      </w:r>
      <w:proofErr w:type="spellStart"/>
      <w:r w:rsidRPr="00452453">
        <w:rPr>
          <w:lang w:eastAsia="ja-JP"/>
        </w:rPr>
        <w:t>ms</w:t>
      </w:r>
      <w:proofErr w:type="spellEnd"/>
      <w:r w:rsidRPr="00452453">
        <w:rPr>
          <w:lang w:eastAsia="ja-JP"/>
        </w:rPr>
        <w:t xml:space="preserve"> is not in the resource pool, the next slot in the resource pool should be used instead.</w:t>
      </w:r>
    </w:p>
    <w:p w14:paraId="6812B440" w14:textId="77777777" w:rsidR="00452453" w:rsidRPr="00452453" w:rsidRDefault="00452453" w:rsidP="00452453">
      <w:pPr>
        <w:rPr>
          <w:lang w:eastAsia="zh-CN"/>
        </w:rPr>
      </w:pPr>
    </w:p>
    <w:p w14:paraId="68E19F63" w14:textId="401ABB73" w:rsidR="002429D9" w:rsidRPr="00BE5B8C" w:rsidRDefault="002429D9" w:rsidP="00F756EC">
      <w:pPr>
        <w:pStyle w:val="Heading1"/>
      </w:pPr>
      <w:r>
        <w:t>References</w:t>
      </w:r>
      <w:bookmarkStart w:id="5" w:name="_Hlk4777878"/>
    </w:p>
    <w:bookmarkEnd w:id="5"/>
    <w:p w14:paraId="40D3CB11" w14:textId="73D43373" w:rsidR="002429D9" w:rsidRDefault="0098759D" w:rsidP="008968A0">
      <w:pPr>
        <w:pStyle w:val="Reference"/>
        <w:numPr>
          <w:ilvl w:val="0"/>
          <w:numId w:val="3"/>
        </w:numPr>
        <w:overflowPunct/>
        <w:autoSpaceDE/>
        <w:autoSpaceDN/>
        <w:adjustRightInd/>
        <w:spacing w:before="120" w:after="0" w:line="280" w:lineRule="atLeast"/>
        <w:textAlignment w:val="auto"/>
        <w:rPr>
          <w:bCs/>
          <w:kern w:val="2"/>
          <w:sz w:val="20"/>
        </w:rPr>
      </w:pPr>
      <w:r>
        <w:rPr>
          <w:bCs/>
          <w:kern w:val="2"/>
          <w:sz w:val="20"/>
        </w:rPr>
        <w:t xml:space="preserve">3GPP TS </w:t>
      </w:r>
      <w:r w:rsidR="001774E3">
        <w:rPr>
          <w:bCs/>
          <w:kern w:val="2"/>
          <w:sz w:val="20"/>
        </w:rPr>
        <w:t>38.21</w:t>
      </w:r>
      <w:r w:rsidR="00492443">
        <w:rPr>
          <w:bCs/>
          <w:kern w:val="2"/>
          <w:sz w:val="20"/>
        </w:rPr>
        <w:t>4</w:t>
      </w:r>
      <w:r>
        <w:rPr>
          <w:bCs/>
          <w:kern w:val="2"/>
          <w:sz w:val="20"/>
        </w:rPr>
        <w:t xml:space="preserve"> V16.</w:t>
      </w:r>
      <w:r w:rsidR="00812DB7">
        <w:rPr>
          <w:bCs/>
          <w:kern w:val="2"/>
          <w:sz w:val="20"/>
        </w:rPr>
        <w:t>3</w:t>
      </w:r>
      <w:r>
        <w:rPr>
          <w:bCs/>
          <w:kern w:val="2"/>
          <w:sz w:val="20"/>
        </w:rPr>
        <w:t>.0, NR, Physical Channels and Modulation (Release 16).</w:t>
      </w:r>
    </w:p>
    <w:p w14:paraId="3207DD27" w14:textId="2EC95352" w:rsidR="001774E3" w:rsidRPr="001774E3" w:rsidRDefault="0098759D" w:rsidP="008968A0">
      <w:pPr>
        <w:pStyle w:val="Reference"/>
        <w:numPr>
          <w:ilvl w:val="0"/>
          <w:numId w:val="3"/>
        </w:numPr>
        <w:overflowPunct/>
        <w:autoSpaceDE/>
        <w:autoSpaceDN/>
        <w:adjustRightInd/>
        <w:spacing w:before="120" w:after="0" w:line="280" w:lineRule="atLeast"/>
        <w:textAlignment w:val="auto"/>
        <w:rPr>
          <w:bCs/>
          <w:kern w:val="2"/>
          <w:sz w:val="20"/>
        </w:rPr>
      </w:pPr>
      <w:bookmarkStart w:id="6" w:name="_Hlk32587763"/>
      <w:r>
        <w:rPr>
          <w:bCs/>
          <w:kern w:val="2"/>
          <w:sz w:val="20"/>
        </w:rPr>
        <w:t xml:space="preserve">3GPP </w:t>
      </w:r>
      <w:r w:rsidR="001774E3">
        <w:rPr>
          <w:bCs/>
          <w:kern w:val="2"/>
          <w:sz w:val="20"/>
        </w:rPr>
        <w:t>TS 38.212</w:t>
      </w:r>
      <w:r>
        <w:rPr>
          <w:bCs/>
          <w:kern w:val="2"/>
          <w:sz w:val="20"/>
        </w:rPr>
        <w:t xml:space="preserve"> V16.</w:t>
      </w:r>
      <w:r w:rsidR="00812DB7">
        <w:rPr>
          <w:bCs/>
          <w:kern w:val="2"/>
          <w:sz w:val="20"/>
        </w:rPr>
        <w:t>3</w:t>
      </w:r>
      <w:r>
        <w:rPr>
          <w:bCs/>
          <w:kern w:val="2"/>
          <w:sz w:val="20"/>
        </w:rPr>
        <w:t>.0, NR, Multiplexing and Channel Coding (Release 16).</w:t>
      </w:r>
      <w:bookmarkEnd w:id="6"/>
    </w:p>
    <w:p w14:paraId="5BE594B6" w14:textId="79AF55B5" w:rsidR="001774E3" w:rsidRPr="001774E3" w:rsidRDefault="00EC3496" w:rsidP="008968A0">
      <w:pPr>
        <w:pStyle w:val="Reference"/>
        <w:numPr>
          <w:ilvl w:val="0"/>
          <w:numId w:val="3"/>
        </w:numPr>
        <w:overflowPunct/>
        <w:autoSpaceDE/>
        <w:autoSpaceDN/>
        <w:adjustRightInd/>
        <w:spacing w:before="120" w:after="0" w:line="280" w:lineRule="atLeast"/>
        <w:textAlignment w:val="auto"/>
        <w:rPr>
          <w:bCs/>
          <w:kern w:val="2"/>
          <w:sz w:val="20"/>
        </w:rPr>
      </w:pPr>
      <w:bookmarkStart w:id="7" w:name="_Hlk32587768"/>
      <w:r>
        <w:rPr>
          <w:bCs/>
          <w:kern w:val="2"/>
          <w:sz w:val="20"/>
        </w:rPr>
        <w:t xml:space="preserve">3GPP </w:t>
      </w:r>
      <w:r w:rsidR="001774E3">
        <w:rPr>
          <w:bCs/>
          <w:kern w:val="2"/>
          <w:sz w:val="20"/>
        </w:rPr>
        <w:t>TS 38.213</w:t>
      </w:r>
      <w:r>
        <w:rPr>
          <w:bCs/>
          <w:kern w:val="2"/>
          <w:sz w:val="20"/>
        </w:rPr>
        <w:t xml:space="preserve"> V16.</w:t>
      </w:r>
      <w:r w:rsidR="00812DB7">
        <w:rPr>
          <w:bCs/>
          <w:kern w:val="2"/>
          <w:sz w:val="20"/>
        </w:rPr>
        <w:t>3</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7"/>
    </w:p>
    <w:p w14:paraId="2B605E81" w14:textId="08DA88B0" w:rsidR="00304883" w:rsidRPr="00812DB7" w:rsidRDefault="00EC3496" w:rsidP="00812DB7">
      <w:pPr>
        <w:pStyle w:val="Reference"/>
        <w:numPr>
          <w:ilvl w:val="0"/>
          <w:numId w:val="3"/>
        </w:numPr>
        <w:overflowPunct/>
        <w:autoSpaceDE/>
        <w:autoSpaceDN/>
        <w:adjustRightInd/>
        <w:spacing w:before="120" w:after="0" w:line="280" w:lineRule="atLeast"/>
        <w:textAlignment w:val="auto"/>
        <w:rPr>
          <w:bCs/>
          <w:kern w:val="2"/>
          <w:sz w:val="20"/>
        </w:rPr>
      </w:pPr>
      <w:bookmarkStart w:id="8" w:name="_Hlk32587775"/>
      <w:r>
        <w:rPr>
          <w:bCs/>
          <w:kern w:val="2"/>
          <w:sz w:val="20"/>
        </w:rPr>
        <w:t xml:space="preserve">3GPP </w:t>
      </w:r>
      <w:r w:rsidR="001774E3">
        <w:rPr>
          <w:bCs/>
          <w:kern w:val="2"/>
          <w:sz w:val="20"/>
        </w:rPr>
        <w:t>TS 38.214</w:t>
      </w:r>
      <w:r>
        <w:rPr>
          <w:bCs/>
          <w:kern w:val="2"/>
          <w:sz w:val="20"/>
        </w:rPr>
        <w:t xml:space="preserve"> V16.</w:t>
      </w:r>
      <w:r w:rsidR="00812DB7">
        <w:rPr>
          <w:bCs/>
          <w:kern w:val="2"/>
          <w:sz w:val="20"/>
        </w:rPr>
        <w:t>3</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bookmarkEnd w:id="8"/>
    </w:p>
    <w:sectPr w:rsidR="00304883" w:rsidRPr="00812D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BBF42" w14:textId="77777777" w:rsidR="00106DD4" w:rsidRDefault="00106DD4" w:rsidP="005D6179">
      <w:pPr>
        <w:spacing w:after="0"/>
      </w:pPr>
      <w:r>
        <w:separator/>
      </w:r>
    </w:p>
  </w:endnote>
  <w:endnote w:type="continuationSeparator" w:id="0">
    <w:p w14:paraId="7C56CC14" w14:textId="77777777" w:rsidR="00106DD4" w:rsidRDefault="00106DD4" w:rsidP="005D6179">
      <w:pPr>
        <w:spacing w:after="0"/>
      </w:pPr>
      <w:r>
        <w:continuationSeparator/>
      </w:r>
    </w:p>
  </w:endnote>
  <w:endnote w:type="continuationNotice" w:id="1">
    <w:p w14:paraId="36C750B8" w14:textId="77777777" w:rsidR="00106DD4" w:rsidRDefault="00106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9D504" w14:textId="77777777" w:rsidR="00106DD4" w:rsidRDefault="00106DD4" w:rsidP="005D6179">
      <w:pPr>
        <w:spacing w:after="0"/>
      </w:pPr>
      <w:r>
        <w:separator/>
      </w:r>
    </w:p>
  </w:footnote>
  <w:footnote w:type="continuationSeparator" w:id="0">
    <w:p w14:paraId="26312CBA" w14:textId="77777777" w:rsidR="00106DD4" w:rsidRDefault="00106DD4" w:rsidP="005D6179">
      <w:pPr>
        <w:spacing w:after="0"/>
      </w:pPr>
      <w:r>
        <w:continuationSeparator/>
      </w:r>
    </w:p>
  </w:footnote>
  <w:footnote w:type="continuationNotice" w:id="1">
    <w:p w14:paraId="227DEE6E" w14:textId="77777777" w:rsidR="00106DD4" w:rsidRDefault="00106D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D47A56"/>
    <w:multiLevelType w:val="hybridMultilevel"/>
    <w:tmpl w:val="B6E03C6C"/>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F52339"/>
    <w:multiLevelType w:val="hybridMultilevel"/>
    <w:tmpl w:val="992A8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C30BF5"/>
    <w:multiLevelType w:val="hybridMultilevel"/>
    <w:tmpl w:val="EEA491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D854891"/>
    <w:multiLevelType w:val="hybridMultilevel"/>
    <w:tmpl w:val="694C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A73148A"/>
    <w:multiLevelType w:val="hybridMultilevel"/>
    <w:tmpl w:val="9EEAF6B8"/>
    <w:lvl w:ilvl="0" w:tplc="1BB2E0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6"/>
  </w:num>
  <w:num w:numId="2">
    <w:abstractNumId w:val="13"/>
  </w:num>
  <w:num w:numId="3">
    <w:abstractNumId w:val="19"/>
  </w:num>
  <w:num w:numId="4">
    <w:abstractNumId w:val="1"/>
  </w:num>
  <w:num w:numId="5">
    <w:abstractNumId w:val="14"/>
  </w:num>
  <w:num w:numId="6">
    <w:abstractNumId w:val="18"/>
  </w:num>
  <w:num w:numId="7">
    <w:abstractNumId w:val="12"/>
  </w:num>
  <w:num w:numId="8">
    <w:abstractNumId w:val="3"/>
  </w:num>
  <w:num w:numId="9">
    <w:abstractNumId w:val="5"/>
  </w:num>
  <w:num w:numId="10">
    <w:abstractNumId w:val="14"/>
  </w:num>
  <w:num w:numId="11">
    <w:abstractNumId w:val="2"/>
  </w:num>
  <w:num w:numId="12">
    <w:abstractNumId w:val="0"/>
  </w:num>
  <w:num w:numId="13">
    <w:abstractNumId w:val="10"/>
  </w:num>
  <w:num w:numId="14">
    <w:abstractNumId w:val="7"/>
  </w:num>
  <w:num w:numId="15">
    <w:abstractNumId w:val="4"/>
  </w:num>
  <w:num w:numId="16">
    <w:abstractNumId w:val="15"/>
  </w:num>
  <w:num w:numId="17">
    <w:abstractNumId w:val="11"/>
  </w:num>
  <w:num w:numId="18">
    <w:abstractNumId w:val="6"/>
  </w:num>
  <w:num w:numId="19">
    <w:abstractNumId w:val="9"/>
  </w:num>
  <w:num w:numId="20">
    <w:abstractNumId w:val="17"/>
  </w:num>
  <w:num w:numId="2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hdrShapeDefaults>
    <o:shapedefaults v:ext="edit" spidmax="1556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61"/>
    <w:rsid w:val="00013EA1"/>
    <w:rsid w:val="00032F62"/>
    <w:rsid w:val="00034B4B"/>
    <w:rsid w:val="000351C4"/>
    <w:rsid w:val="00042EE1"/>
    <w:rsid w:val="000445C4"/>
    <w:rsid w:val="000459EC"/>
    <w:rsid w:val="00060691"/>
    <w:rsid w:val="00061E3D"/>
    <w:rsid w:val="00063E2C"/>
    <w:rsid w:val="00070301"/>
    <w:rsid w:val="00074067"/>
    <w:rsid w:val="000741B3"/>
    <w:rsid w:val="00075484"/>
    <w:rsid w:val="00076AE6"/>
    <w:rsid w:val="00076B51"/>
    <w:rsid w:val="000811E3"/>
    <w:rsid w:val="00082FC0"/>
    <w:rsid w:val="0008301C"/>
    <w:rsid w:val="00087421"/>
    <w:rsid w:val="000910D9"/>
    <w:rsid w:val="00091E4D"/>
    <w:rsid w:val="00097310"/>
    <w:rsid w:val="00097693"/>
    <w:rsid w:val="000A00F2"/>
    <w:rsid w:val="000A5AF4"/>
    <w:rsid w:val="000C1A38"/>
    <w:rsid w:val="000C2896"/>
    <w:rsid w:val="000D0276"/>
    <w:rsid w:val="000E200B"/>
    <w:rsid w:val="000E5B87"/>
    <w:rsid w:val="000F3971"/>
    <w:rsid w:val="000F4597"/>
    <w:rsid w:val="000F544F"/>
    <w:rsid w:val="000F7931"/>
    <w:rsid w:val="000F7D75"/>
    <w:rsid w:val="00101C56"/>
    <w:rsid w:val="00101F23"/>
    <w:rsid w:val="00101F72"/>
    <w:rsid w:val="001041DD"/>
    <w:rsid w:val="0010435F"/>
    <w:rsid w:val="001065CB"/>
    <w:rsid w:val="00106DD4"/>
    <w:rsid w:val="0010764D"/>
    <w:rsid w:val="00114DD2"/>
    <w:rsid w:val="00120E5A"/>
    <w:rsid w:val="0012265E"/>
    <w:rsid w:val="001229F1"/>
    <w:rsid w:val="00123B25"/>
    <w:rsid w:val="00123B8B"/>
    <w:rsid w:val="00124225"/>
    <w:rsid w:val="001276B0"/>
    <w:rsid w:val="00130DA8"/>
    <w:rsid w:val="00131A68"/>
    <w:rsid w:val="00133D29"/>
    <w:rsid w:val="001375FC"/>
    <w:rsid w:val="00142BC1"/>
    <w:rsid w:val="00146F71"/>
    <w:rsid w:val="00147B7A"/>
    <w:rsid w:val="001504D7"/>
    <w:rsid w:val="00152746"/>
    <w:rsid w:val="001531DF"/>
    <w:rsid w:val="00157E82"/>
    <w:rsid w:val="001647C8"/>
    <w:rsid w:val="0016558A"/>
    <w:rsid w:val="0016566C"/>
    <w:rsid w:val="001774E3"/>
    <w:rsid w:val="00181B7C"/>
    <w:rsid w:val="00182A83"/>
    <w:rsid w:val="0018572B"/>
    <w:rsid w:val="0019693E"/>
    <w:rsid w:val="00196D40"/>
    <w:rsid w:val="001A11A7"/>
    <w:rsid w:val="001A49B0"/>
    <w:rsid w:val="001A750B"/>
    <w:rsid w:val="001B08E3"/>
    <w:rsid w:val="001B225B"/>
    <w:rsid w:val="001B3D8E"/>
    <w:rsid w:val="001B5270"/>
    <w:rsid w:val="001B6821"/>
    <w:rsid w:val="001B735A"/>
    <w:rsid w:val="001C12ED"/>
    <w:rsid w:val="001C5006"/>
    <w:rsid w:val="001C6058"/>
    <w:rsid w:val="001D24B2"/>
    <w:rsid w:val="001D328F"/>
    <w:rsid w:val="001D5864"/>
    <w:rsid w:val="001D7DB2"/>
    <w:rsid w:val="001E0363"/>
    <w:rsid w:val="001E21CA"/>
    <w:rsid w:val="001E4F81"/>
    <w:rsid w:val="001E5F34"/>
    <w:rsid w:val="001F1875"/>
    <w:rsid w:val="001F4726"/>
    <w:rsid w:val="001F5357"/>
    <w:rsid w:val="002056E5"/>
    <w:rsid w:val="00212155"/>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15F6"/>
    <w:rsid w:val="0025519C"/>
    <w:rsid w:val="0025647E"/>
    <w:rsid w:val="00257366"/>
    <w:rsid w:val="00262708"/>
    <w:rsid w:val="002668FA"/>
    <w:rsid w:val="00274FEF"/>
    <w:rsid w:val="002817D4"/>
    <w:rsid w:val="00286170"/>
    <w:rsid w:val="00291075"/>
    <w:rsid w:val="00293067"/>
    <w:rsid w:val="00294FC1"/>
    <w:rsid w:val="002977F7"/>
    <w:rsid w:val="002A029C"/>
    <w:rsid w:val="002A70E5"/>
    <w:rsid w:val="002B262E"/>
    <w:rsid w:val="002B34A3"/>
    <w:rsid w:val="002B5C25"/>
    <w:rsid w:val="002C19D8"/>
    <w:rsid w:val="002C2A98"/>
    <w:rsid w:val="002D22F1"/>
    <w:rsid w:val="002D23BA"/>
    <w:rsid w:val="002D593F"/>
    <w:rsid w:val="002D7CAA"/>
    <w:rsid w:val="002E7A25"/>
    <w:rsid w:val="002F38E9"/>
    <w:rsid w:val="002F4FE5"/>
    <w:rsid w:val="00304883"/>
    <w:rsid w:val="00310594"/>
    <w:rsid w:val="003144D0"/>
    <w:rsid w:val="00314C9B"/>
    <w:rsid w:val="003161F5"/>
    <w:rsid w:val="00321616"/>
    <w:rsid w:val="00327B82"/>
    <w:rsid w:val="00330351"/>
    <w:rsid w:val="00332F80"/>
    <w:rsid w:val="00334580"/>
    <w:rsid w:val="003379DF"/>
    <w:rsid w:val="0034007A"/>
    <w:rsid w:val="00343F77"/>
    <w:rsid w:val="00346832"/>
    <w:rsid w:val="003471CA"/>
    <w:rsid w:val="003541A4"/>
    <w:rsid w:val="00355DF2"/>
    <w:rsid w:val="00364658"/>
    <w:rsid w:val="00366F9D"/>
    <w:rsid w:val="00375FC7"/>
    <w:rsid w:val="003825E8"/>
    <w:rsid w:val="0038433C"/>
    <w:rsid w:val="003848AB"/>
    <w:rsid w:val="00386CB7"/>
    <w:rsid w:val="003935B6"/>
    <w:rsid w:val="00393948"/>
    <w:rsid w:val="00395DAA"/>
    <w:rsid w:val="003963BE"/>
    <w:rsid w:val="003A116A"/>
    <w:rsid w:val="003A2A38"/>
    <w:rsid w:val="003A329B"/>
    <w:rsid w:val="003A32D1"/>
    <w:rsid w:val="003A3D68"/>
    <w:rsid w:val="003A5AAE"/>
    <w:rsid w:val="003B1834"/>
    <w:rsid w:val="003C207D"/>
    <w:rsid w:val="003C479D"/>
    <w:rsid w:val="003C5290"/>
    <w:rsid w:val="003E2653"/>
    <w:rsid w:val="003E455B"/>
    <w:rsid w:val="003E5300"/>
    <w:rsid w:val="003F00F6"/>
    <w:rsid w:val="003F2360"/>
    <w:rsid w:val="003F3607"/>
    <w:rsid w:val="003F5EFC"/>
    <w:rsid w:val="00400189"/>
    <w:rsid w:val="00402CD6"/>
    <w:rsid w:val="00404C92"/>
    <w:rsid w:val="004054AC"/>
    <w:rsid w:val="00405546"/>
    <w:rsid w:val="00406B18"/>
    <w:rsid w:val="004077AE"/>
    <w:rsid w:val="00413FFE"/>
    <w:rsid w:val="00417C8F"/>
    <w:rsid w:val="00437BFB"/>
    <w:rsid w:val="00440FA6"/>
    <w:rsid w:val="0044163A"/>
    <w:rsid w:val="0044626D"/>
    <w:rsid w:val="004464BF"/>
    <w:rsid w:val="00447891"/>
    <w:rsid w:val="00451682"/>
    <w:rsid w:val="00452453"/>
    <w:rsid w:val="0045368E"/>
    <w:rsid w:val="00457587"/>
    <w:rsid w:val="00460B85"/>
    <w:rsid w:val="00463688"/>
    <w:rsid w:val="00472C51"/>
    <w:rsid w:val="00476466"/>
    <w:rsid w:val="0047783E"/>
    <w:rsid w:val="00482D82"/>
    <w:rsid w:val="00484F44"/>
    <w:rsid w:val="00485FE2"/>
    <w:rsid w:val="00491D0A"/>
    <w:rsid w:val="00492443"/>
    <w:rsid w:val="004928E4"/>
    <w:rsid w:val="00496227"/>
    <w:rsid w:val="004A37BD"/>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D1F58"/>
    <w:rsid w:val="004D4C6B"/>
    <w:rsid w:val="004D5575"/>
    <w:rsid w:val="004D7478"/>
    <w:rsid w:val="004E058D"/>
    <w:rsid w:val="004E1178"/>
    <w:rsid w:val="004E1F2B"/>
    <w:rsid w:val="004F00A0"/>
    <w:rsid w:val="004F0985"/>
    <w:rsid w:val="004F36A6"/>
    <w:rsid w:val="0050693D"/>
    <w:rsid w:val="0051093A"/>
    <w:rsid w:val="00520133"/>
    <w:rsid w:val="00522B14"/>
    <w:rsid w:val="00524D68"/>
    <w:rsid w:val="00535FAC"/>
    <w:rsid w:val="0053640D"/>
    <w:rsid w:val="0055285E"/>
    <w:rsid w:val="00552BC5"/>
    <w:rsid w:val="00554731"/>
    <w:rsid w:val="00561296"/>
    <w:rsid w:val="0056725F"/>
    <w:rsid w:val="00572752"/>
    <w:rsid w:val="005808F4"/>
    <w:rsid w:val="0058313C"/>
    <w:rsid w:val="00583A45"/>
    <w:rsid w:val="00583EA4"/>
    <w:rsid w:val="005851C6"/>
    <w:rsid w:val="005852A6"/>
    <w:rsid w:val="005859EF"/>
    <w:rsid w:val="00587217"/>
    <w:rsid w:val="005A2656"/>
    <w:rsid w:val="005A3FE0"/>
    <w:rsid w:val="005A465D"/>
    <w:rsid w:val="005A5519"/>
    <w:rsid w:val="005A5EF0"/>
    <w:rsid w:val="005A756C"/>
    <w:rsid w:val="005B29BC"/>
    <w:rsid w:val="005B3686"/>
    <w:rsid w:val="005B460E"/>
    <w:rsid w:val="005B5A53"/>
    <w:rsid w:val="005C0AE2"/>
    <w:rsid w:val="005C5006"/>
    <w:rsid w:val="005C6D35"/>
    <w:rsid w:val="005C71F4"/>
    <w:rsid w:val="005D1B80"/>
    <w:rsid w:val="005D32D6"/>
    <w:rsid w:val="005D4777"/>
    <w:rsid w:val="005D5800"/>
    <w:rsid w:val="005D6179"/>
    <w:rsid w:val="005D7ADD"/>
    <w:rsid w:val="005E086F"/>
    <w:rsid w:val="005E0E8C"/>
    <w:rsid w:val="005E460B"/>
    <w:rsid w:val="005E4A11"/>
    <w:rsid w:val="005E5DE3"/>
    <w:rsid w:val="005E68C3"/>
    <w:rsid w:val="005F3607"/>
    <w:rsid w:val="005F53D0"/>
    <w:rsid w:val="00601B17"/>
    <w:rsid w:val="00601E30"/>
    <w:rsid w:val="00603711"/>
    <w:rsid w:val="0060430F"/>
    <w:rsid w:val="00605C85"/>
    <w:rsid w:val="0060642A"/>
    <w:rsid w:val="006137E7"/>
    <w:rsid w:val="00613B99"/>
    <w:rsid w:val="00622DD5"/>
    <w:rsid w:val="00631724"/>
    <w:rsid w:val="0063618B"/>
    <w:rsid w:val="00640A6C"/>
    <w:rsid w:val="00645ED6"/>
    <w:rsid w:val="00646577"/>
    <w:rsid w:val="00657531"/>
    <w:rsid w:val="006612C0"/>
    <w:rsid w:val="00663360"/>
    <w:rsid w:val="006703B1"/>
    <w:rsid w:val="00670777"/>
    <w:rsid w:val="0067317A"/>
    <w:rsid w:val="006771AE"/>
    <w:rsid w:val="0068082C"/>
    <w:rsid w:val="0068085E"/>
    <w:rsid w:val="0068381C"/>
    <w:rsid w:val="00686AF3"/>
    <w:rsid w:val="00690D33"/>
    <w:rsid w:val="006A019A"/>
    <w:rsid w:val="006A1974"/>
    <w:rsid w:val="006A3FFB"/>
    <w:rsid w:val="006A45AF"/>
    <w:rsid w:val="006A52D6"/>
    <w:rsid w:val="006B0AD8"/>
    <w:rsid w:val="006C3E70"/>
    <w:rsid w:val="006C3F28"/>
    <w:rsid w:val="006C5DC8"/>
    <w:rsid w:val="006C5FAB"/>
    <w:rsid w:val="006C6F56"/>
    <w:rsid w:val="006D0F28"/>
    <w:rsid w:val="006D3A2C"/>
    <w:rsid w:val="006E097F"/>
    <w:rsid w:val="006E1856"/>
    <w:rsid w:val="006E18D9"/>
    <w:rsid w:val="006E1D5F"/>
    <w:rsid w:val="006E44D4"/>
    <w:rsid w:val="006F05E6"/>
    <w:rsid w:val="006F433C"/>
    <w:rsid w:val="006F6F46"/>
    <w:rsid w:val="006F7928"/>
    <w:rsid w:val="007052AA"/>
    <w:rsid w:val="0071061D"/>
    <w:rsid w:val="00712BFC"/>
    <w:rsid w:val="00714E47"/>
    <w:rsid w:val="007231CE"/>
    <w:rsid w:val="00723AAB"/>
    <w:rsid w:val="007243EE"/>
    <w:rsid w:val="007270D2"/>
    <w:rsid w:val="00732282"/>
    <w:rsid w:val="00732E9E"/>
    <w:rsid w:val="00734745"/>
    <w:rsid w:val="0073637E"/>
    <w:rsid w:val="00737618"/>
    <w:rsid w:val="00742FD9"/>
    <w:rsid w:val="00744434"/>
    <w:rsid w:val="00745B9C"/>
    <w:rsid w:val="00745E27"/>
    <w:rsid w:val="007473C0"/>
    <w:rsid w:val="007523E4"/>
    <w:rsid w:val="00753035"/>
    <w:rsid w:val="00767E9B"/>
    <w:rsid w:val="00771450"/>
    <w:rsid w:val="007736C4"/>
    <w:rsid w:val="0077516F"/>
    <w:rsid w:val="00776347"/>
    <w:rsid w:val="007824EC"/>
    <w:rsid w:val="00783511"/>
    <w:rsid w:val="00785A29"/>
    <w:rsid w:val="00786847"/>
    <w:rsid w:val="007876BD"/>
    <w:rsid w:val="007904E2"/>
    <w:rsid w:val="007A5914"/>
    <w:rsid w:val="007A5983"/>
    <w:rsid w:val="007A5DCD"/>
    <w:rsid w:val="007A6A95"/>
    <w:rsid w:val="007B0BA3"/>
    <w:rsid w:val="007B6185"/>
    <w:rsid w:val="007B70EC"/>
    <w:rsid w:val="007D033D"/>
    <w:rsid w:val="007D2B43"/>
    <w:rsid w:val="007E0229"/>
    <w:rsid w:val="007E41B1"/>
    <w:rsid w:val="007E41FC"/>
    <w:rsid w:val="007E62A0"/>
    <w:rsid w:val="007E68AF"/>
    <w:rsid w:val="007E7AEE"/>
    <w:rsid w:val="007F1B98"/>
    <w:rsid w:val="007F5020"/>
    <w:rsid w:val="007F5FAB"/>
    <w:rsid w:val="007F6880"/>
    <w:rsid w:val="008006AD"/>
    <w:rsid w:val="00803094"/>
    <w:rsid w:val="0080419D"/>
    <w:rsid w:val="0080424D"/>
    <w:rsid w:val="00805264"/>
    <w:rsid w:val="008113EE"/>
    <w:rsid w:val="00812DB7"/>
    <w:rsid w:val="008139F0"/>
    <w:rsid w:val="00814FDF"/>
    <w:rsid w:val="00817968"/>
    <w:rsid w:val="0082229E"/>
    <w:rsid w:val="008226B8"/>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43F4"/>
    <w:rsid w:val="00885C46"/>
    <w:rsid w:val="00887A25"/>
    <w:rsid w:val="008918D8"/>
    <w:rsid w:val="00894963"/>
    <w:rsid w:val="008968A0"/>
    <w:rsid w:val="00897933"/>
    <w:rsid w:val="00897A2A"/>
    <w:rsid w:val="008A76F9"/>
    <w:rsid w:val="008B5E75"/>
    <w:rsid w:val="008B7143"/>
    <w:rsid w:val="008C3FC6"/>
    <w:rsid w:val="008C416E"/>
    <w:rsid w:val="008C4CC6"/>
    <w:rsid w:val="008C7516"/>
    <w:rsid w:val="008D0A78"/>
    <w:rsid w:val="008D5C44"/>
    <w:rsid w:val="008E2962"/>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36100"/>
    <w:rsid w:val="00940B57"/>
    <w:rsid w:val="00940BE4"/>
    <w:rsid w:val="00943B27"/>
    <w:rsid w:val="009459BA"/>
    <w:rsid w:val="0094769F"/>
    <w:rsid w:val="00951379"/>
    <w:rsid w:val="009516E4"/>
    <w:rsid w:val="009542C5"/>
    <w:rsid w:val="009548A3"/>
    <w:rsid w:val="0095685F"/>
    <w:rsid w:val="009634EA"/>
    <w:rsid w:val="0096488C"/>
    <w:rsid w:val="00966AC4"/>
    <w:rsid w:val="00980576"/>
    <w:rsid w:val="0098057F"/>
    <w:rsid w:val="00982967"/>
    <w:rsid w:val="00985039"/>
    <w:rsid w:val="0098759D"/>
    <w:rsid w:val="00991A57"/>
    <w:rsid w:val="00994315"/>
    <w:rsid w:val="0099440E"/>
    <w:rsid w:val="00994592"/>
    <w:rsid w:val="00995389"/>
    <w:rsid w:val="009A3E8D"/>
    <w:rsid w:val="009A4131"/>
    <w:rsid w:val="009A5220"/>
    <w:rsid w:val="009A7DFC"/>
    <w:rsid w:val="009B5287"/>
    <w:rsid w:val="009C1ED5"/>
    <w:rsid w:val="009C1FD0"/>
    <w:rsid w:val="009C2E2C"/>
    <w:rsid w:val="009C37DF"/>
    <w:rsid w:val="009C7085"/>
    <w:rsid w:val="009D12AB"/>
    <w:rsid w:val="009E6FAA"/>
    <w:rsid w:val="009F1B72"/>
    <w:rsid w:val="009F4261"/>
    <w:rsid w:val="00A04953"/>
    <w:rsid w:val="00A06AD1"/>
    <w:rsid w:val="00A12B16"/>
    <w:rsid w:val="00A164C7"/>
    <w:rsid w:val="00A24104"/>
    <w:rsid w:val="00A266CC"/>
    <w:rsid w:val="00A27DF6"/>
    <w:rsid w:val="00A33D47"/>
    <w:rsid w:val="00A359DB"/>
    <w:rsid w:val="00A43243"/>
    <w:rsid w:val="00A43321"/>
    <w:rsid w:val="00A551DB"/>
    <w:rsid w:val="00A555BD"/>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C014E"/>
    <w:rsid w:val="00AC24DD"/>
    <w:rsid w:val="00AC3635"/>
    <w:rsid w:val="00AC721D"/>
    <w:rsid w:val="00AD52F9"/>
    <w:rsid w:val="00AE27BD"/>
    <w:rsid w:val="00AE46B2"/>
    <w:rsid w:val="00AE7F93"/>
    <w:rsid w:val="00AF028B"/>
    <w:rsid w:val="00AF192E"/>
    <w:rsid w:val="00AF78E1"/>
    <w:rsid w:val="00B065B6"/>
    <w:rsid w:val="00B14344"/>
    <w:rsid w:val="00B15ADF"/>
    <w:rsid w:val="00B222B7"/>
    <w:rsid w:val="00B22E14"/>
    <w:rsid w:val="00B234B4"/>
    <w:rsid w:val="00B272A3"/>
    <w:rsid w:val="00B411D2"/>
    <w:rsid w:val="00B42135"/>
    <w:rsid w:val="00B4671E"/>
    <w:rsid w:val="00B50CB7"/>
    <w:rsid w:val="00B63C6F"/>
    <w:rsid w:val="00B64E8B"/>
    <w:rsid w:val="00B71388"/>
    <w:rsid w:val="00B7413F"/>
    <w:rsid w:val="00B757AB"/>
    <w:rsid w:val="00B77552"/>
    <w:rsid w:val="00B80D92"/>
    <w:rsid w:val="00B87D4A"/>
    <w:rsid w:val="00B96765"/>
    <w:rsid w:val="00B96BD5"/>
    <w:rsid w:val="00B97469"/>
    <w:rsid w:val="00BA00FF"/>
    <w:rsid w:val="00BA459D"/>
    <w:rsid w:val="00BA66CB"/>
    <w:rsid w:val="00BA7B39"/>
    <w:rsid w:val="00BB0BF1"/>
    <w:rsid w:val="00BB1C95"/>
    <w:rsid w:val="00BC0830"/>
    <w:rsid w:val="00BC2269"/>
    <w:rsid w:val="00BC4135"/>
    <w:rsid w:val="00BC5610"/>
    <w:rsid w:val="00BC5EEA"/>
    <w:rsid w:val="00BC7A0D"/>
    <w:rsid w:val="00BD0178"/>
    <w:rsid w:val="00BD28E3"/>
    <w:rsid w:val="00BD5FF8"/>
    <w:rsid w:val="00BD7AAF"/>
    <w:rsid w:val="00BE19F1"/>
    <w:rsid w:val="00BE1C8E"/>
    <w:rsid w:val="00BF1E66"/>
    <w:rsid w:val="00BF6174"/>
    <w:rsid w:val="00C00091"/>
    <w:rsid w:val="00C01C1D"/>
    <w:rsid w:val="00C04D50"/>
    <w:rsid w:val="00C11214"/>
    <w:rsid w:val="00C11D1D"/>
    <w:rsid w:val="00C12FC6"/>
    <w:rsid w:val="00C13368"/>
    <w:rsid w:val="00C16EF1"/>
    <w:rsid w:val="00C171BC"/>
    <w:rsid w:val="00C20256"/>
    <w:rsid w:val="00C221BC"/>
    <w:rsid w:val="00C2457F"/>
    <w:rsid w:val="00C2520D"/>
    <w:rsid w:val="00C30F3F"/>
    <w:rsid w:val="00C36896"/>
    <w:rsid w:val="00C36EB1"/>
    <w:rsid w:val="00C43C0B"/>
    <w:rsid w:val="00C4713D"/>
    <w:rsid w:val="00C51F72"/>
    <w:rsid w:val="00C570C5"/>
    <w:rsid w:val="00C63C96"/>
    <w:rsid w:val="00C70BC0"/>
    <w:rsid w:val="00C73B62"/>
    <w:rsid w:val="00C740A1"/>
    <w:rsid w:val="00C740EE"/>
    <w:rsid w:val="00C75AC6"/>
    <w:rsid w:val="00C828D3"/>
    <w:rsid w:val="00C86665"/>
    <w:rsid w:val="00C920BE"/>
    <w:rsid w:val="00CB2193"/>
    <w:rsid w:val="00CB45C1"/>
    <w:rsid w:val="00CB5090"/>
    <w:rsid w:val="00CB5DCD"/>
    <w:rsid w:val="00CC3F29"/>
    <w:rsid w:val="00CC7714"/>
    <w:rsid w:val="00CC794F"/>
    <w:rsid w:val="00CD0E58"/>
    <w:rsid w:val="00CD1E15"/>
    <w:rsid w:val="00CE2E9A"/>
    <w:rsid w:val="00CE4576"/>
    <w:rsid w:val="00CE7493"/>
    <w:rsid w:val="00CF092D"/>
    <w:rsid w:val="00CF319D"/>
    <w:rsid w:val="00CF492E"/>
    <w:rsid w:val="00D00134"/>
    <w:rsid w:val="00D00177"/>
    <w:rsid w:val="00D0042D"/>
    <w:rsid w:val="00D00B78"/>
    <w:rsid w:val="00D0231E"/>
    <w:rsid w:val="00D024DE"/>
    <w:rsid w:val="00D02B14"/>
    <w:rsid w:val="00D041E0"/>
    <w:rsid w:val="00D10CA3"/>
    <w:rsid w:val="00D14270"/>
    <w:rsid w:val="00D1579E"/>
    <w:rsid w:val="00D166D1"/>
    <w:rsid w:val="00D20B0D"/>
    <w:rsid w:val="00D21A8F"/>
    <w:rsid w:val="00D30523"/>
    <w:rsid w:val="00D32FAC"/>
    <w:rsid w:val="00D335C6"/>
    <w:rsid w:val="00D36CF2"/>
    <w:rsid w:val="00D40257"/>
    <w:rsid w:val="00D40CDD"/>
    <w:rsid w:val="00D42F56"/>
    <w:rsid w:val="00D43509"/>
    <w:rsid w:val="00D46F35"/>
    <w:rsid w:val="00D46F3E"/>
    <w:rsid w:val="00D50817"/>
    <w:rsid w:val="00D516BD"/>
    <w:rsid w:val="00D51A46"/>
    <w:rsid w:val="00D53B4D"/>
    <w:rsid w:val="00D6114A"/>
    <w:rsid w:val="00D627EC"/>
    <w:rsid w:val="00D666F9"/>
    <w:rsid w:val="00D7071C"/>
    <w:rsid w:val="00D72CA4"/>
    <w:rsid w:val="00D75B4C"/>
    <w:rsid w:val="00D77F1E"/>
    <w:rsid w:val="00D834B3"/>
    <w:rsid w:val="00D84234"/>
    <w:rsid w:val="00D84D6B"/>
    <w:rsid w:val="00D90606"/>
    <w:rsid w:val="00D92BEB"/>
    <w:rsid w:val="00D951B7"/>
    <w:rsid w:val="00DA0893"/>
    <w:rsid w:val="00DB2C0E"/>
    <w:rsid w:val="00DB3551"/>
    <w:rsid w:val="00DC17C6"/>
    <w:rsid w:val="00DC3A62"/>
    <w:rsid w:val="00DC636E"/>
    <w:rsid w:val="00DC6893"/>
    <w:rsid w:val="00DC7197"/>
    <w:rsid w:val="00DC79AE"/>
    <w:rsid w:val="00DD1F95"/>
    <w:rsid w:val="00DD6A81"/>
    <w:rsid w:val="00DE069C"/>
    <w:rsid w:val="00DE1C42"/>
    <w:rsid w:val="00DE4299"/>
    <w:rsid w:val="00DE633E"/>
    <w:rsid w:val="00DE74ED"/>
    <w:rsid w:val="00DF1236"/>
    <w:rsid w:val="00E041F5"/>
    <w:rsid w:val="00E0497C"/>
    <w:rsid w:val="00E130BD"/>
    <w:rsid w:val="00E1324E"/>
    <w:rsid w:val="00E14434"/>
    <w:rsid w:val="00E144AE"/>
    <w:rsid w:val="00E17830"/>
    <w:rsid w:val="00E20DB2"/>
    <w:rsid w:val="00E22AAC"/>
    <w:rsid w:val="00E232C2"/>
    <w:rsid w:val="00E23B3D"/>
    <w:rsid w:val="00E26288"/>
    <w:rsid w:val="00E30442"/>
    <w:rsid w:val="00E41EDB"/>
    <w:rsid w:val="00E42049"/>
    <w:rsid w:val="00E42975"/>
    <w:rsid w:val="00E4357C"/>
    <w:rsid w:val="00E5219D"/>
    <w:rsid w:val="00E56262"/>
    <w:rsid w:val="00E578E6"/>
    <w:rsid w:val="00E604C6"/>
    <w:rsid w:val="00E60EBF"/>
    <w:rsid w:val="00E62317"/>
    <w:rsid w:val="00E63275"/>
    <w:rsid w:val="00E677F3"/>
    <w:rsid w:val="00E70CB8"/>
    <w:rsid w:val="00E730E3"/>
    <w:rsid w:val="00E74DD6"/>
    <w:rsid w:val="00E7656B"/>
    <w:rsid w:val="00E81EA0"/>
    <w:rsid w:val="00E84BE8"/>
    <w:rsid w:val="00E851DF"/>
    <w:rsid w:val="00E9357A"/>
    <w:rsid w:val="00E95261"/>
    <w:rsid w:val="00EA1FB2"/>
    <w:rsid w:val="00EA60D8"/>
    <w:rsid w:val="00EB2BC3"/>
    <w:rsid w:val="00EB5511"/>
    <w:rsid w:val="00EB7207"/>
    <w:rsid w:val="00EC3496"/>
    <w:rsid w:val="00EC4186"/>
    <w:rsid w:val="00EC503E"/>
    <w:rsid w:val="00ED16E9"/>
    <w:rsid w:val="00ED3C6A"/>
    <w:rsid w:val="00ED669E"/>
    <w:rsid w:val="00ED6BAF"/>
    <w:rsid w:val="00EE02C6"/>
    <w:rsid w:val="00EE0D25"/>
    <w:rsid w:val="00EE24A1"/>
    <w:rsid w:val="00EE2644"/>
    <w:rsid w:val="00EE54BA"/>
    <w:rsid w:val="00EF0AC6"/>
    <w:rsid w:val="00EF49E2"/>
    <w:rsid w:val="00EF4D7B"/>
    <w:rsid w:val="00EF63C0"/>
    <w:rsid w:val="00F00059"/>
    <w:rsid w:val="00F04F13"/>
    <w:rsid w:val="00F05C53"/>
    <w:rsid w:val="00F123BA"/>
    <w:rsid w:val="00F1261E"/>
    <w:rsid w:val="00F15034"/>
    <w:rsid w:val="00F238ED"/>
    <w:rsid w:val="00F2433B"/>
    <w:rsid w:val="00F2458D"/>
    <w:rsid w:val="00F34FCB"/>
    <w:rsid w:val="00F4073F"/>
    <w:rsid w:val="00F43E25"/>
    <w:rsid w:val="00F47028"/>
    <w:rsid w:val="00F47CCE"/>
    <w:rsid w:val="00F47DC7"/>
    <w:rsid w:val="00F52202"/>
    <w:rsid w:val="00F523F6"/>
    <w:rsid w:val="00F539C7"/>
    <w:rsid w:val="00F62851"/>
    <w:rsid w:val="00F6426B"/>
    <w:rsid w:val="00F73A1A"/>
    <w:rsid w:val="00F73E13"/>
    <w:rsid w:val="00F74AA4"/>
    <w:rsid w:val="00F756EC"/>
    <w:rsid w:val="00F761AD"/>
    <w:rsid w:val="00F8713E"/>
    <w:rsid w:val="00F90435"/>
    <w:rsid w:val="00F91CE7"/>
    <w:rsid w:val="00F95AF7"/>
    <w:rsid w:val="00FA0C10"/>
    <w:rsid w:val="00FA458E"/>
    <w:rsid w:val="00FA7B0A"/>
    <w:rsid w:val="00FB0302"/>
    <w:rsid w:val="00FB36AF"/>
    <w:rsid w:val="00FB53E3"/>
    <w:rsid w:val="00FC0A96"/>
    <w:rsid w:val="00FC316B"/>
    <w:rsid w:val="00FC7E14"/>
    <w:rsid w:val="00FD4CDC"/>
    <w:rsid w:val="00FE0EE6"/>
    <w:rsid w:val="00FE29B8"/>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453"/>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uiPriority w:val="9"/>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qFormat/>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qFormat/>
    <w:rsid w:val="007052AA"/>
    <w:rPr>
      <w:lang w:eastAsia="en-US"/>
    </w:rPr>
  </w:style>
  <w:style w:type="paragraph" w:customStyle="1" w:styleId="CRCoverPage">
    <w:name w:val="CR Cover Page"/>
    <w:qFormat/>
    <w:rsid w:val="00982967"/>
    <w:pPr>
      <w:spacing w:after="120" w:line="240" w:lineRule="auto"/>
    </w:pPr>
    <w:rPr>
      <w:rFonts w:ascii="Arial" w:eastAsia="Malgun Gothic"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40266">
      <w:bodyDiv w:val="1"/>
      <w:marLeft w:val="0"/>
      <w:marRight w:val="0"/>
      <w:marTop w:val="0"/>
      <w:marBottom w:val="0"/>
      <w:divBdr>
        <w:top w:val="none" w:sz="0" w:space="0" w:color="auto"/>
        <w:left w:val="none" w:sz="0" w:space="0" w:color="auto"/>
        <w:bottom w:val="none" w:sz="0" w:space="0" w:color="auto"/>
        <w:right w:val="none" w:sz="0" w:space="0" w:color="auto"/>
      </w:divBdr>
    </w:div>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16018827">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02024452">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SRVZ567275SS-924214940-2845</_dlc_DocId>
    <_dlc_DocIdUrl xmlns="932dab1a-f806-440a-b546-5f112cb4e652">
      <Url>https://projects.qualcomm.com/sites/libra/_layouts/15/DocIdRedir.aspx?ID=SRVZ567275SS-924214940-2845</Url>
      <Description>SRVZ567275SS-924214940-2845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2.xml><?xml version="1.0" encoding="utf-8"?>
<ds:datastoreItem xmlns:ds="http://schemas.openxmlformats.org/officeDocument/2006/customXml" ds:itemID="{BEB708F0-4B12-4238-AF2C-D39154F9D1B0}">
  <ds:schemaRefs>
    <ds:schemaRef ds:uri="http://schemas.openxmlformats.org/officeDocument/2006/bibliography"/>
  </ds:schemaRefs>
</ds:datastoreItem>
</file>

<file path=customXml/itemProps3.xml><?xml version="1.0" encoding="utf-8"?>
<ds:datastoreItem xmlns:ds="http://schemas.openxmlformats.org/officeDocument/2006/customXml" ds:itemID="{40DA0F7D-AB77-4356-9210-1134A56C027F}">
  <ds:schemaRefs>
    <ds:schemaRef ds:uri="http://purl.org/dc/term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E2C1AD-ED0B-4267-BBB9-6B98C34CD9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11707</TotalTime>
  <Pages>3</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Peter Gaal</cp:lastModifiedBy>
  <cp:revision>631</cp:revision>
  <dcterms:created xsi:type="dcterms:W3CDTF">2019-03-30T01:53:00Z</dcterms:created>
  <dcterms:modified xsi:type="dcterms:W3CDTF">2021-01-19T06:21:00Z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524300e3-8d77-4dac-b1a9-9266fed599db</vt:lpwstr>
  </property>
</Properties>
</file>