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AA10D" w14:textId="552202DD"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AC70DF">
        <w:rPr>
          <w:rFonts w:ascii="Arial" w:hAnsi="Arial" w:cs="Arial"/>
          <w:b/>
          <w:bCs/>
          <w:sz w:val="24"/>
        </w:rPr>
        <w:t>4</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AC1095" w:rsidRPr="00AC1095">
        <w:rPr>
          <w:rFonts w:ascii="Arial" w:hAnsi="Arial" w:cs="Arial"/>
          <w:b/>
          <w:bCs/>
          <w:sz w:val="24"/>
        </w:rPr>
        <w:t>2101414</w:t>
      </w:r>
    </w:p>
    <w:p w14:paraId="56A15566" w14:textId="51C442E6"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AC70DF">
        <w:rPr>
          <w:rFonts w:ascii="Arial" w:hAnsi="Arial" w:cs="Arial"/>
          <w:b/>
          <w:bCs/>
          <w:sz w:val="24"/>
        </w:rPr>
        <w:t>January</w:t>
      </w:r>
      <w:r w:rsidR="009E43C5">
        <w:rPr>
          <w:rFonts w:ascii="Arial" w:hAnsi="Arial" w:cs="Arial"/>
          <w:b/>
          <w:bCs/>
          <w:sz w:val="24"/>
        </w:rPr>
        <w:t xml:space="preserve"> </w:t>
      </w:r>
      <w:r w:rsidR="00B75AEE">
        <w:rPr>
          <w:rFonts w:ascii="Arial" w:hAnsi="Arial" w:cs="Arial"/>
          <w:b/>
          <w:bCs/>
          <w:sz w:val="24"/>
        </w:rPr>
        <w:t>2</w:t>
      </w:r>
      <w:r w:rsidR="00AC70DF">
        <w:rPr>
          <w:rFonts w:ascii="Arial" w:hAnsi="Arial" w:cs="Arial"/>
          <w:b/>
          <w:bCs/>
          <w:sz w:val="24"/>
        </w:rPr>
        <w:t>5</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AC70DF">
        <w:rPr>
          <w:rFonts w:ascii="Arial" w:hAnsi="Arial" w:cs="Arial"/>
          <w:b/>
          <w:bCs/>
          <w:sz w:val="24"/>
        </w:rPr>
        <w:t>February</w:t>
      </w:r>
      <w:r w:rsidR="00B75AEE">
        <w:rPr>
          <w:rFonts w:ascii="Arial" w:hAnsi="Arial" w:cs="Arial"/>
          <w:b/>
          <w:bCs/>
          <w:sz w:val="24"/>
        </w:rPr>
        <w:t xml:space="preserve"> </w:t>
      </w:r>
      <w:r w:rsidR="00AC70DF">
        <w:rPr>
          <w:rFonts w:ascii="Arial" w:hAnsi="Arial" w:cs="Arial"/>
          <w:b/>
          <w:bCs/>
          <w:sz w:val="24"/>
        </w:rPr>
        <w:t>5</w:t>
      </w:r>
      <w:r w:rsidR="009E43C5" w:rsidRPr="009E43C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w:t>
      </w:r>
      <w:r w:rsidR="00AC70DF">
        <w:rPr>
          <w:rFonts w:ascii="Arial" w:hAnsi="Arial" w:cs="Arial"/>
          <w:b/>
          <w:bCs/>
          <w:sz w:val="24"/>
        </w:rPr>
        <w:t>1</w:t>
      </w:r>
    </w:p>
    <w:p w14:paraId="0656168E" w14:textId="77777777" w:rsidR="004607C3" w:rsidRPr="00A2299C" w:rsidRDefault="004607C3" w:rsidP="00A23578">
      <w:pPr>
        <w:rPr>
          <w:rFonts w:ascii="Arial" w:hAnsi="Arial" w:cs="Arial"/>
          <w:sz w:val="22"/>
        </w:rPr>
      </w:pPr>
    </w:p>
    <w:p w14:paraId="2FABF9AA" w14:textId="6129993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8.1.1</w:t>
      </w:r>
    </w:p>
    <w:p w14:paraId="7395AB72" w14:textId="69D8ED39"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AD041A">
        <w:rPr>
          <w:rFonts w:ascii="Arial" w:hAnsi="Arial" w:cs="Arial"/>
          <w:b/>
          <w:sz w:val="22"/>
        </w:rPr>
        <w:t>Multi-</w:t>
      </w:r>
      <w:r w:rsidR="009828DD">
        <w:rPr>
          <w:rFonts w:ascii="Arial" w:hAnsi="Arial" w:cs="Arial"/>
          <w:b/>
          <w:sz w:val="22"/>
        </w:rPr>
        <w:t>beam</w:t>
      </w:r>
      <w:r w:rsidR="00AD041A">
        <w:rPr>
          <w:rFonts w:ascii="Arial" w:hAnsi="Arial" w:cs="Arial"/>
          <w:b/>
          <w:sz w:val="22"/>
        </w:rPr>
        <w:t xml:space="preserve"> Enhancements</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62CDEE22" w:rsidR="00C00997" w:rsidRDefault="00273ABF" w:rsidP="00705C2B">
      <w:pPr>
        <w:rPr>
          <w:rFonts w:eastAsia="Batang"/>
          <w:lang w:eastAsia="ko-KR"/>
        </w:rPr>
      </w:pPr>
      <w:r>
        <w:rPr>
          <w:rFonts w:eastAsia="Batang"/>
          <w:lang w:eastAsia="ko-KR"/>
        </w:rPr>
        <w:t xml:space="preserve">Rel-16 eMIMO introduced </w:t>
      </w:r>
      <w:r w:rsidR="003840BD">
        <w:rPr>
          <w:rFonts w:eastAsia="Batang"/>
          <w:lang w:eastAsia="ko-KR"/>
        </w:rPr>
        <w:t xml:space="preserve">various </w:t>
      </w:r>
      <w:r>
        <w:rPr>
          <w:rFonts w:eastAsia="Batang"/>
          <w:lang w:eastAsia="ko-KR"/>
        </w:rPr>
        <w:t>enhancements for multi-</w:t>
      </w:r>
      <w:r w:rsidR="003840BD">
        <w:rPr>
          <w:rFonts w:eastAsia="Batang"/>
          <w:lang w:eastAsia="ko-KR"/>
        </w:rPr>
        <w:t>beam operation</w:t>
      </w:r>
      <w:r>
        <w:rPr>
          <w:rFonts w:eastAsia="Batang"/>
          <w:lang w:eastAsia="ko-KR"/>
        </w:rPr>
        <w:t xml:space="preserve">. Rel-17 FeMIMO WI will </w:t>
      </w:r>
      <w:r w:rsidR="003840BD">
        <w:rPr>
          <w:rFonts w:eastAsia="Batang"/>
          <w:lang w:eastAsia="ko-KR"/>
        </w:rPr>
        <w:t>further enhance</w:t>
      </w:r>
      <w:r>
        <w:rPr>
          <w:rFonts w:eastAsia="Batang"/>
          <w:lang w:eastAsia="ko-KR"/>
        </w:rPr>
        <w:t xml:space="preserve"> </w:t>
      </w:r>
      <w:r w:rsidR="003840BD">
        <w:rPr>
          <w:rFonts w:eastAsia="Batang"/>
          <w:lang w:eastAsia="ko-KR"/>
        </w:rPr>
        <w:t xml:space="preserve">the multi-beam operation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r w:rsidR="00BE70BC">
        <w:rPr>
          <w:rFonts w:eastAsia="Batang"/>
          <w:lang w:eastAsia="ko-KR"/>
        </w:rPr>
        <w:t xml:space="preserve"> This document mainly discusses issue 1.a below.</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73D08E79" w14:textId="77777777" w:rsidR="00D736EC" w:rsidRPr="0051690F" w:rsidRDefault="00D736EC" w:rsidP="00D736EC">
            <w:pPr>
              <w:pStyle w:val="ListParagraph"/>
              <w:numPr>
                <w:ilvl w:val="0"/>
                <w:numId w:val="12"/>
              </w:numPr>
              <w:spacing w:before="0" w:line="240" w:lineRule="auto"/>
            </w:pPr>
            <w:r w:rsidRPr="0051690F">
              <w:t xml:space="preserve">Enhancement on multi-beam operation, mainly targeting FR2 while also applicable to FR1: </w:t>
            </w:r>
          </w:p>
          <w:p w14:paraId="22F6BCF5" w14:textId="77777777" w:rsidR="00D736EC" w:rsidRPr="0051690F" w:rsidRDefault="00D736EC" w:rsidP="00D736EC">
            <w:pPr>
              <w:pStyle w:val="ListParagraph"/>
              <w:numPr>
                <w:ilvl w:val="1"/>
                <w:numId w:val="12"/>
              </w:numPr>
              <w:spacing w:before="0" w:line="240" w:lineRule="auto"/>
            </w:pPr>
            <w:r w:rsidRPr="0051690F">
              <w:t>Identify and specify features to facilitate more efficient (lower latency and overhead) DL/UL beam management to support higher intra- and L1/L2-centric inter-cell mobility and/or a larger number of configured TCI states:</w:t>
            </w:r>
          </w:p>
          <w:p w14:paraId="6EBBC65D" w14:textId="77777777" w:rsidR="00D736EC" w:rsidRPr="0051690F" w:rsidRDefault="00D736EC" w:rsidP="00D736EC">
            <w:pPr>
              <w:pStyle w:val="ListParagraph"/>
              <w:numPr>
                <w:ilvl w:val="2"/>
                <w:numId w:val="12"/>
              </w:numPr>
              <w:spacing w:before="0" w:line="240" w:lineRule="auto"/>
            </w:pPr>
            <w:r>
              <w:t>C</w:t>
            </w:r>
            <w:r w:rsidRPr="0051690F">
              <w:t>ommon beam for data and control transmission/reception for DL and UL, especially for intra-band CA</w:t>
            </w:r>
          </w:p>
          <w:p w14:paraId="34B5C2F0" w14:textId="77777777" w:rsidR="00D736EC" w:rsidRPr="0051690F" w:rsidRDefault="00D736EC" w:rsidP="00D736EC">
            <w:pPr>
              <w:pStyle w:val="ListParagraph"/>
              <w:numPr>
                <w:ilvl w:val="2"/>
                <w:numId w:val="12"/>
              </w:numPr>
              <w:spacing w:before="0" w:line="240" w:lineRule="auto"/>
            </w:pPr>
            <w:r w:rsidRPr="0051690F">
              <w:t>Unified TCI framework for DL</w:t>
            </w:r>
            <w:r>
              <w:t xml:space="preserve"> and </w:t>
            </w:r>
            <w:r w:rsidRPr="0051690F">
              <w:t>UL beam indication</w:t>
            </w:r>
          </w:p>
          <w:p w14:paraId="3C04536B" w14:textId="77777777" w:rsidR="00D736EC" w:rsidRPr="0051690F" w:rsidRDefault="00D736EC" w:rsidP="00D736EC">
            <w:pPr>
              <w:pStyle w:val="ListParagraph"/>
              <w:numPr>
                <w:ilvl w:val="2"/>
                <w:numId w:val="12"/>
              </w:numPr>
              <w:spacing w:before="0" w:line="240" w:lineRule="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C4CB763" w14:textId="4803C794" w:rsidR="00E654BD" w:rsidRPr="00712B4E" w:rsidRDefault="00D736EC" w:rsidP="00D736EC">
            <w:pPr>
              <w:pStyle w:val="ListParagraph"/>
              <w:numPr>
                <w:ilvl w:val="1"/>
                <w:numId w:val="12"/>
              </w:numPr>
              <w:spacing w:before="0" w:line="240" w:lineRule="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76C70D2E" w14:textId="67CC1B8D" w:rsidR="00C70E00" w:rsidRDefault="00B65E0E" w:rsidP="00C70E00">
      <w:pPr>
        <w:pStyle w:val="Heading1"/>
      </w:pPr>
      <w:r>
        <w:t>Discussion</w:t>
      </w:r>
    </w:p>
    <w:p w14:paraId="60D255E5" w14:textId="02EA21FC" w:rsidR="00313AC7" w:rsidRDefault="002D3345" w:rsidP="00313AC7">
      <w:pPr>
        <w:pStyle w:val="Heading2"/>
        <w:spacing w:before="0"/>
      </w:pPr>
      <w:r>
        <w:t xml:space="preserve">2.1 </w:t>
      </w:r>
      <w:r w:rsidR="0016320C">
        <w:t>Unified TCI and Common Beam Operation</w:t>
      </w:r>
    </w:p>
    <w:p w14:paraId="76625106" w14:textId="0AD3A591" w:rsidR="00A96B4B" w:rsidRDefault="00342F9F" w:rsidP="00313AC7">
      <w:pPr>
        <w:rPr>
          <w:rFonts w:eastAsia="Batang"/>
          <w:lang w:val="en-US" w:eastAsia="ko-KR"/>
        </w:rPr>
      </w:pPr>
      <w:r>
        <w:rPr>
          <w:rFonts w:eastAsia="Batang"/>
          <w:lang w:val="en-US" w:eastAsia="ko-KR"/>
        </w:rPr>
        <w:t>The following was agreed in RAN1#102-e:</w:t>
      </w:r>
    </w:p>
    <w:tbl>
      <w:tblPr>
        <w:tblStyle w:val="TableGrid"/>
        <w:tblW w:w="0" w:type="auto"/>
        <w:tblLook w:val="04A0" w:firstRow="1" w:lastRow="0" w:firstColumn="1" w:lastColumn="0" w:noHBand="0" w:noVBand="1"/>
      </w:tblPr>
      <w:tblGrid>
        <w:gridCol w:w="9855"/>
      </w:tblGrid>
      <w:tr w:rsidR="00342F9F" w14:paraId="07B5D4CA" w14:textId="77777777" w:rsidTr="00342F9F">
        <w:tc>
          <w:tcPr>
            <w:tcW w:w="9855" w:type="dxa"/>
          </w:tcPr>
          <w:p w14:paraId="0893F0D3" w14:textId="77777777" w:rsidR="00342F9F" w:rsidRPr="00342F9F" w:rsidRDefault="00342F9F" w:rsidP="00342F9F">
            <w:pPr>
              <w:jc w:val="left"/>
              <w:rPr>
                <w:rFonts w:ascii="Calibri" w:eastAsia="SimSun" w:hAnsi="Calibri" w:cs="Times"/>
                <w:b/>
                <w:bCs/>
                <w:highlight w:val="green"/>
                <w:lang w:val="en-US" w:eastAsia="x-none"/>
              </w:rPr>
            </w:pPr>
            <w:r w:rsidRPr="00342F9F">
              <w:rPr>
                <w:rFonts w:ascii="Calibri" w:eastAsia="SimSun" w:hAnsi="Calibri" w:cs="Times"/>
                <w:b/>
                <w:bCs/>
                <w:highlight w:val="green"/>
                <w:lang w:val="en-US" w:eastAsia="x-none"/>
              </w:rPr>
              <w:t xml:space="preserve">Agreement </w:t>
            </w:r>
          </w:p>
          <w:p w14:paraId="2E8A9037" w14:textId="77777777" w:rsidR="00342F9F" w:rsidRPr="00342F9F" w:rsidRDefault="00342F9F" w:rsidP="00342F9F">
            <w:pPr>
              <w:snapToGrid w:val="0"/>
              <w:jc w:val="left"/>
              <w:rPr>
                <w:rFonts w:eastAsia="SimSun"/>
                <w:szCs w:val="18"/>
                <w:lang w:val="en-US"/>
              </w:rPr>
            </w:pPr>
            <w:r w:rsidRPr="00342F9F">
              <w:rPr>
                <w:rFonts w:eastAsia="SimSun" w:cs="Calibri"/>
                <w:b/>
                <w:szCs w:val="18"/>
                <w:lang w:val="en-US" w:eastAsia="zh-CN"/>
              </w:rPr>
              <w:t>Note</w:t>
            </w:r>
            <w:r w:rsidRPr="00342F9F">
              <w:rPr>
                <w:rFonts w:eastAsia="SimSun" w:cs="Calibri"/>
                <w:szCs w:val="18"/>
                <w:lang w:val="en-US" w:eastAsia="zh-CN"/>
              </w:rPr>
              <w:t>: the enumeration for issues (such as “issue 1a), 1b), 6) in the proposal below refers to the enumeration within the proposals, not Table 1 in the FL summary.</w:t>
            </w:r>
          </w:p>
          <w:p w14:paraId="14CB655A" w14:textId="77777777" w:rsidR="00342F9F" w:rsidRPr="00342F9F" w:rsidRDefault="00342F9F" w:rsidP="00342F9F">
            <w:pPr>
              <w:numPr>
                <w:ilvl w:val="0"/>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 [Issue 1] For Rel.17 NR FeMIMO, on the unified TCI framework</w:t>
            </w:r>
          </w:p>
          <w:p w14:paraId="59FBD93A"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Support joint TCI for DL and UL based on and analogous to Rel.15/16 DL TCI framework</w:t>
            </w:r>
          </w:p>
          <w:p w14:paraId="2DC9745E"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The term “TCI” at least comprises a TCI state that </w:t>
            </w:r>
            <w:r w:rsidRPr="00342F9F">
              <w:rPr>
                <w:rFonts w:eastAsia="SimSun" w:cs="Calibri"/>
                <w:szCs w:val="18"/>
                <w:u w:val="single"/>
                <w:lang w:val="en-US" w:eastAsia="x-none"/>
              </w:rPr>
              <w:t>includes</w:t>
            </w:r>
            <w:r w:rsidRPr="00342F9F">
              <w:rPr>
                <w:rFonts w:eastAsia="SimSun" w:cs="Calibri"/>
                <w:szCs w:val="18"/>
                <w:lang w:val="en-US" w:eastAsia="x-none"/>
              </w:rPr>
              <w:t xml:space="preserve"> at least one source RS to provide a reference (UE assumption) for determining QCL and/or spatial filter </w:t>
            </w:r>
          </w:p>
          <w:p w14:paraId="2481FC03"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The source reference signal(s) in M TCIs provide common QCL information at least for UE-dedicated reception on PDSCH and all or subset of CORESETs in a CC</w:t>
            </w:r>
          </w:p>
          <w:p w14:paraId="29ADCBF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Optionally this common QCL information can also apply to CSI-RS resource for CSI, CSI-RS resource for BM, and CSI-RS for tracking</w:t>
            </w:r>
          </w:p>
          <w:p w14:paraId="0B76AA82"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Applicability on PD</w:t>
            </w:r>
            <w:r w:rsidRPr="00342F9F">
              <w:rPr>
                <w:rFonts w:eastAsia="SimSun" w:cs="Calibri"/>
                <w:szCs w:val="18"/>
                <w:lang w:val="en-US" w:eastAsia="ko-KR"/>
              </w:rPr>
              <w:t>S</w:t>
            </w:r>
            <w:r w:rsidRPr="00342F9F">
              <w:rPr>
                <w:rFonts w:eastAsia="SimSun" w:cs="Calibri"/>
                <w:szCs w:val="18"/>
                <w:lang w:val="en-US" w:eastAsia="x-none"/>
              </w:rPr>
              <w:t>CH includes PDSCH default beam</w:t>
            </w:r>
          </w:p>
          <w:p w14:paraId="627806A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highlight w:val="darkYellow"/>
                <w:lang w:val="en-US" w:eastAsia="x-none"/>
              </w:rPr>
              <w:t>Working Assumption</w:t>
            </w:r>
            <w:r w:rsidRPr="00342F9F">
              <w:rPr>
                <w:rFonts w:eastAsia="SimSun" w:cs="Calibri"/>
                <w:szCs w:val="18"/>
                <w:lang w:val="en-US" w:eastAsia="x-none"/>
              </w:rPr>
              <w:t>: Select between M=1 and M&gt;=1</w:t>
            </w:r>
          </w:p>
          <w:p w14:paraId="31A4352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The source reference signal(s) in N TCIs provide a reference for determining common UL TX spatial filter(s) at least for dynamic-grant/configured-grant based PUSCH, all or subset of dedicated PUCCH resources in a CC, </w:t>
            </w:r>
          </w:p>
          <w:p w14:paraId="0398A02C"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Optionally, this UL TX spatial filter can also apply to all SRS resources in resource set(s) configured for antenna switching/codebook-based/non-codebook-based UL transmissions</w:t>
            </w:r>
          </w:p>
          <w:p w14:paraId="11455A8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applicability of this UL TX spatial filter to SRS configured for beam management (BM)</w:t>
            </w:r>
          </w:p>
          <w:p w14:paraId="2CAEBCC5"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PUSCH port determination based on the TCI, e.g., to be mapped with SRS ports analogous to Rel.15/16</w:t>
            </w:r>
          </w:p>
          <w:p w14:paraId="468C8F3B"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highlight w:val="darkYellow"/>
                <w:lang w:val="en-US" w:eastAsia="x-none"/>
              </w:rPr>
              <w:lastRenderedPageBreak/>
              <w:t>Working Assumption</w:t>
            </w:r>
            <w:r w:rsidRPr="00342F9F">
              <w:rPr>
                <w:rFonts w:eastAsia="SimSun" w:cs="Calibri"/>
                <w:szCs w:val="18"/>
                <w:lang w:val="en-US" w:eastAsia="x-none"/>
              </w:rPr>
              <w:t>: Select between N=1 and N&gt;=1</w:t>
            </w:r>
          </w:p>
          <w:p w14:paraId="195FB715"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lang w:val="en-US" w:eastAsia="x-none"/>
              </w:rPr>
              <w:t xml:space="preserve">FFS: extension to common QCL information applied to only some of the CORESETs or PUCCH resources in a CC, e.g. for mTRP </w:t>
            </w:r>
          </w:p>
          <w:p w14:paraId="07FF62A5"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6B780864"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Note: The resulting beam indication directly refers to the associated source RS(s)</w:t>
            </w:r>
          </w:p>
          <w:p w14:paraId="76E6C3D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Details on extension to intra- and inter-band CA</w:t>
            </w:r>
          </w:p>
          <w:p w14:paraId="0DF4BF8B"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FFS (RAN1#103-e): The supported number of active TCI states considering factors such as multi-TRP and issue 6 </w:t>
            </w:r>
          </w:p>
          <w:p w14:paraId="0164EB47"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Applicable QCL types, and co-existence with DL TCI and spatial relation indication in Rel.15/16</w:t>
            </w:r>
          </w:p>
          <w:p w14:paraId="17A2A39D"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investigate, for the purpose of down selection, the following alternatives for accommodating the case of separate beam indication for UL and DL</w:t>
            </w:r>
          </w:p>
          <w:p w14:paraId="556B86F1"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Alt1. Utilize the joint TCI </w:t>
            </w:r>
            <w:r w:rsidRPr="00342F9F">
              <w:rPr>
                <w:rFonts w:cs="Calibri"/>
                <w:szCs w:val="18"/>
                <w:lang w:val="en-US" w:eastAsia="zh-CN"/>
              </w:rPr>
              <w:t>to include references for both DL and UL beams</w:t>
            </w:r>
          </w:p>
          <w:p w14:paraId="1924A6C7"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Alt2. Utilize two separate TCI states, one for DL and one for UL. The TCI state for the DL is the same as agreed in 1a. The TCI state for the UL can be newly introduced.</w:t>
            </w:r>
          </w:p>
          <w:p w14:paraId="2E1EEC92"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Alt 2-1: The UL TCI state is taken from the same pool of TCI states as the DL TCI state</w:t>
            </w:r>
          </w:p>
          <w:p w14:paraId="7366736E"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Alt 2-2: The UL TCI state is taken from another pool of TCI states than the DL TCI state</w:t>
            </w:r>
          </w:p>
          <w:p w14:paraId="3C672D5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Note: The resulting beam indication directly refers to the associated source RS(s)</w:t>
            </w:r>
          </w:p>
          <w:p w14:paraId="5D43F990"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Details on extension to intra- and inter-band CA</w:t>
            </w:r>
          </w:p>
          <w:p w14:paraId="13C9ECA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Note: This may be related to issue 5 as well as </w:t>
            </w:r>
            <w:r w:rsidRPr="00342F9F">
              <w:rPr>
                <w:rFonts w:eastAsia="SimSun" w:cs="Calibri"/>
                <w:szCs w:val="18"/>
                <w:lang w:val="en-US" w:eastAsia="zh-CN"/>
              </w:rPr>
              <w:t>other reasons for different TCIs such as network flexibility/scheduling</w:t>
            </w:r>
          </w:p>
          <w:p w14:paraId="4489306A"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Support the use of SSB/CSI-RS for BM and/or SRS for BM as source RS to determine a UL TX spatial filter in the unified TCI framework</w:t>
            </w:r>
          </w:p>
          <w:p w14:paraId="5E13399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Whether the UL TX spatial filter corresponds to UL TCI (separate from DL TCI) depends on the outcome of 1b) above</w:t>
            </w:r>
          </w:p>
          <w:p w14:paraId="2295ED1E"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Support the use of non-BM CSI-RS and/or non-BM SRS in addition</w:t>
            </w:r>
          </w:p>
          <w:p w14:paraId="6CB64A66"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decide if SRS for BM can be configured as a source RS to represent a DL RX spatial filter in the unified TCI framework</w:t>
            </w:r>
          </w:p>
          <w:p w14:paraId="2851153B"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In RAN1#103-e, decide/finalize all other parameters included in or concurrent with (but not included in) the TCI, e.g. UL-PC-related parameters (involving P0/alpha, PL RS, and/or closed loop index), UL-timing-related parameters  </w:t>
            </w:r>
          </w:p>
          <w:p w14:paraId="49A83ABF"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identify issues pertaining to alignment between DL and UL default beam assumptions using the unified TCI framework</w:t>
            </w:r>
          </w:p>
          <w:p w14:paraId="27D73FC3" w14:textId="77777777" w:rsidR="00342F9F" w:rsidRDefault="00342F9F" w:rsidP="00313AC7">
            <w:pPr>
              <w:rPr>
                <w:rFonts w:eastAsia="Batang"/>
                <w:lang w:val="en-US" w:eastAsia="ko-KR"/>
              </w:rPr>
            </w:pPr>
          </w:p>
        </w:tc>
      </w:tr>
    </w:tbl>
    <w:p w14:paraId="15E23567" w14:textId="2B810ADB" w:rsidR="00145D40" w:rsidRDefault="00B50D27" w:rsidP="00313AC7">
      <w:pPr>
        <w:rPr>
          <w:rFonts w:eastAsia="Batang"/>
          <w:lang w:val="en-US" w:eastAsia="ko-KR"/>
        </w:rPr>
      </w:pPr>
      <w:r>
        <w:rPr>
          <w:rFonts w:eastAsia="Batang"/>
          <w:lang w:val="en-US" w:eastAsia="ko-KR"/>
        </w:rPr>
        <w:lastRenderedPageBreak/>
        <w:t xml:space="preserve">The main use case for common beam operation is when the same beam is used for UE-specific </w:t>
      </w:r>
      <w:r w:rsidR="00EA0F49">
        <w:rPr>
          <w:rFonts w:eastAsia="Batang"/>
          <w:lang w:val="en-US" w:eastAsia="ko-KR"/>
        </w:rPr>
        <w:t>control</w:t>
      </w:r>
      <w:r>
        <w:rPr>
          <w:rFonts w:eastAsia="Batang"/>
          <w:lang w:val="en-US" w:eastAsia="ko-KR"/>
        </w:rPr>
        <w:t xml:space="preserve"> and </w:t>
      </w:r>
      <w:r w:rsidR="00EA0F49">
        <w:rPr>
          <w:rFonts w:eastAsia="Batang"/>
          <w:lang w:val="en-US" w:eastAsia="ko-KR"/>
        </w:rPr>
        <w:t>data channels</w:t>
      </w:r>
      <w:r>
        <w:rPr>
          <w:rFonts w:eastAsia="Batang"/>
          <w:lang w:val="en-US" w:eastAsia="ko-KR"/>
        </w:rPr>
        <w:t xml:space="preserve">. Overhead and latency can be reduced if a single TCI state activation command can be </w:t>
      </w:r>
      <w:r w:rsidR="00907EBD">
        <w:rPr>
          <w:rFonts w:eastAsia="Batang"/>
          <w:lang w:val="en-US" w:eastAsia="ko-KR"/>
        </w:rPr>
        <w:t xml:space="preserve">used to </w:t>
      </w:r>
      <w:r>
        <w:rPr>
          <w:rFonts w:eastAsia="Batang"/>
          <w:lang w:val="en-US" w:eastAsia="ko-KR"/>
        </w:rPr>
        <w:t xml:space="preserve">update the beam for the channels/signals using the common beam, instead of one TCI state activation per CORESET and PDSCH. </w:t>
      </w:r>
    </w:p>
    <w:p w14:paraId="696A93D0" w14:textId="2FB5ED25" w:rsidR="00145D40" w:rsidRDefault="00145D40" w:rsidP="00313AC7">
      <w:pPr>
        <w:rPr>
          <w:rFonts w:eastAsia="Batang"/>
          <w:lang w:val="en-US" w:eastAsia="ko-KR"/>
        </w:rPr>
      </w:pPr>
      <w:r>
        <w:rPr>
          <w:rFonts w:eastAsia="Batang"/>
          <w:lang w:val="en-US" w:eastAsia="ko-KR"/>
        </w:rPr>
        <w:t xml:space="preserve">In typical operation, the CSI-RS resource for CSI should use the same beam that would subsequently be used for PDSCH, in order to guarantee accurate CSI reports. Therefore, as the TCI state for PDSCH is updated based on common beam, it is natural to also update the CSI-RS resource for CSI. </w:t>
      </w:r>
      <w:r w:rsidR="00DB4180">
        <w:rPr>
          <w:rFonts w:eastAsia="Batang"/>
          <w:lang w:val="en-US" w:eastAsia="ko-KR"/>
        </w:rPr>
        <w:t>It can be noted that (UL) common beam operation is supported for SRS for antenna switching, which is also used for DL CSI.</w:t>
      </w:r>
    </w:p>
    <w:p w14:paraId="6731A7AC" w14:textId="7AD95F10" w:rsidR="000D496B" w:rsidRDefault="000D496B" w:rsidP="00313AC7">
      <w:pPr>
        <w:rPr>
          <w:rFonts w:eastAsia="Batang"/>
          <w:lang w:val="en-US" w:eastAsia="ko-KR"/>
        </w:rPr>
      </w:pPr>
      <w:r>
        <w:rPr>
          <w:rFonts w:eastAsia="Batang"/>
          <w:lang w:val="en-US" w:eastAsia="ko-KR"/>
        </w:rPr>
        <w:t>CSI-RS resources for BM are typically transmitted on different beams than the beam used for PDCCH/PDSCH, perhaps except the CSI-RS resource for BM that is currently used as a serving beam, i.e. used for PDCCH/PDSCH and as a BFD RS. Therefore, it is in general not suitable to apply common QCL information to CSI-RS resources for BM.</w:t>
      </w:r>
    </w:p>
    <w:p w14:paraId="0888F22F" w14:textId="74214E49"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13405D">
        <w:rPr>
          <w:rFonts w:eastAsia="Batang"/>
          <w:b/>
          <w:szCs w:val="22"/>
          <w:lang w:val="en-US" w:eastAsia="ko-KR"/>
        </w:rPr>
        <w:t xml:space="preserve">Common QCL information can also apply to </w:t>
      </w:r>
      <w:r w:rsidR="0013405D" w:rsidRPr="0013405D">
        <w:rPr>
          <w:rFonts w:eastAsia="Batang"/>
          <w:b/>
          <w:szCs w:val="22"/>
          <w:lang w:val="en-US" w:eastAsia="ko-KR"/>
        </w:rPr>
        <w:t>CSI-RS resource for CSI</w:t>
      </w:r>
      <w:r w:rsidR="0013405D">
        <w:rPr>
          <w:rFonts w:eastAsia="Batang"/>
          <w:b/>
          <w:szCs w:val="22"/>
          <w:lang w:val="en-US" w:eastAsia="ko-KR"/>
        </w:rPr>
        <w:t>.</w:t>
      </w:r>
    </w:p>
    <w:p w14:paraId="43495838" w14:textId="04350E9B" w:rsidR="00D215D2" w:rsidRDefault="00D215D2" w:rsidP="008832BB">
      <w:pPr>
        <w:rPr>
          <w:rFonts w:eastAsia="Batang"/>
          <w:lang w:val="en-US" w:eastAsia="ko-KR"/>
        </w:rPr>
      </w:pPr>
      <w:r>
        <w:rPr>
          <w:rFonts w:eastAsia="Batang"/>
          <w:lang w:val="en-US" w:eastAsia="ko-KR"/>
        </w:rPr>
        <w:t>Common beam operation is meant to support very efficient operation when all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channels as well as</w:t>
      </w:r>
      <w:r>
        <w:rPr>
          <w:rFonts w:eastAsia="Batang"/>
          <w:lang w:val="en-US" w:eastAsia="ko-KR"/>
        </w:rPr>
        <w:t xml:space="preserve">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beam, i.e. M=1. </w:t>
      </w:r>
    </w:p>
    <w:p w14:paraId="27EBF338" w14:textId="3CC5454C" w:rsidR="008832BB" w:rsidRDefault="00D215D2" w:rsidP="008832BB">
      <w:pPr>
        <w:rPr>
          <w:rFonts w:eastAsia="Batang"/>
          <w:lang w:val="en-US" w:eastAsia="ko-KR"/>
        </w:rPr>
      </w:pPr>
      <w:r>
        <w:rPr>
          <w:rFonts w:eastAsia="Batang"/>
          <w:lang w:val="en-US" w:eastAsia="ko-KR"/>
        </w:rPr>
        <w:t>If M&gt;1</w:t>
      </w:r>
      <w:r>
        <w:rPr>
          <w:rFonts w:eastAsia="Batang"/>
          <w:lang w:val="sv-SE" w:eastAsia="ko-KR"/>
        </w:rPr>
        <w:t>, multiple TCI states, e.g. multiple common beams, are activated, which is already supported by Rel-15/16 operation. For multi-TRP operation, it might be motivated to support M=2, for example to maintain a TCI state per CORESET pool.</w:t>
      </w:r>
      <w:r>
        <w:rPr>
          <w:rFonts w:eastAsia="Batang"/>
          <w:lang w:val="en-US" w:eastAsia="ko-KR"/>
        </w:rPr>
        <w:t xml:space="preserve"> However, we propose to support at least M=1 initially, and further discuss the support for M=2 at a later stage</w:t>
      </w:r>
      <w:r w:rsidR="00EA0F49">
        <w:rPr>
          <w:rFonts w:eastAsia="Batang"/>
          <w:lang w:val="en-US" w:eastAsia="ko-KR"/>
        </w:rPr>
        <w:t xml:space="preserve"> in Rel-17</w:t>
      </w:r>
      <w:r>
        <w:rPr>
          <w:rFonts w:eastAsia="Batang"/>
          <w:lang w:val="en-US" w:eastAsia="ko-KR"/>
        </w:rPr>
        <w:t xml:space="preserve"> if time permit</w:t>
      </w:r>
      <w:r w:rsidR="00EA0F49">
        <w:rPr>
          <w:rFonts w:eastAsia="Batang"/>
          <w:lang w:val="en-US" w:eastAsia="ko-KR"/>
        </w:rPr>
        <w:t>s, or in a later release</w:t>
      </w:r>
      <w:r>
        <w:rPr>
          <w:rFonts w:eastAsia="Batang"/>
          <w:lang w:val="en-US" w:eastAsia="ko-KR"/>
        </w:rPr>
        <w:t>.</w:t>
      </w:r>
    </w:p>
    <w:p w14:paraId="76970221" w14:textId="542A83B3" w:rsidR="008832BB" w:rsidRDefault="008832BB" w:rsidP="008832BB">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w:t>
      </w:r>
      <w:r w:rsidR="00D215D2">
        <w:rPr>
          <w:rFonts w:eastAsia="Batang"/>
          <w:b/>
          <w:szCs w:val="22"/>
          <w:lang w:val="en-US" w:eastAsia="ko-KR"/>
        </w:rPr>
        <w:t>=2</w:t>
      </w:r>
      <w:r>
        <w:rPr>
          <w:rFonts w:eastAsia="Batang"/>
          <w:b/>
          <w:szCs w:val="22"/>
          <w:lang w:val="en-US" w:eastAsia="ko-KR"/>
        </w:rPr>
        <w:t>.</w:t>
      </w:r>
    </w:p>
    <w:p w14:paraId="78514171" w14:textId="3EFDA057" w:rsidR="00BE628F" w:rsidRPr="0002575E" w:rsidRDefault="00E35011">
      <w:pPr>
        <w:rPr>
          <w:rFonts w:eastAsia="Batang"/>
          <w:lang w:val="sv-SE" w:eastAsia="ko-KR"/>
        </w:rPr>
      </w:pPr>
      <w:r w:rsidRPr="0002575E">
        <w:rPr>
          <w:rFonts w:eastAsia="Batang"/>
          <w:lang w:val="sv-SE" w:eastAsia="ko-KR"/>
        </w:rPr>
        <w:t>Similarly as for the downlink, the most important case is single common beam operation, i.e. N=1. We propose to proceed with N=1 and come back to N=2 later</w:t>
      </w:r>
      <w:r w:rsidR="00EA0F49" w:rsidRPr="0002575E">
        <w:rPr>
          <w:rFonts w:eastAsia="Batang"/>
          <w:lang w:val="sv-SE" w:eastAsia="ko-KR"/>
        </w:rPr>
        <w:t xml:space="preserve"> in Rel-17</w:t>
      </w:r>
      <w:r w:rsidRPr="0002575E">
        <w:rPr>
          <w:rFonts w:eastAsia="Batang"/>
          <w:lang w:val="sv-SE" w:eastAsia="ko-KR"/>
        </w:rPr>
        <w:t xml:space="preserve"> if time permits</w:t>
      </w:r>
      <w:r w:rsidR="00EA0F49" w:rsidRPr="0002575E">
        <w:rPr>
          <w:rFonts w:eastAsia="Batang"/>
          <w:lang w:val="sv-SE" w:eastAsia="ko-KR"/>
        </w:rPr>
        <w:t>, or in a later release</w:t>
      </w:r>
      <w:r w:rsidRPr="0002575E">
        <w:rPr>
          <w:rFonts w:eastAsia="Batang"/>
          <w:lang w:val="sv-SE" w:eastAsia="ko-KR"/>
        </w:rPr>
        <w:t xml:space="preserve">. </w:t>
      </w:r>
    </w:p>
    <w:p w14:paraId="5FC8DD97" w14:textId="22FD028C" w:rsidR="005F216B" w:rsidRDefault="005F216B" w:rsidP="005F216B">
      <w:pPr>
        <w:ind w:left="990" w:hanging="990"/>
        <w:rPr>
          <w:rFonts w:eastAsia="Batang"/>
          <w:b/>
          <w:szCs w:val="22"/>
          <w:lang w:val="en-US" w:eastAsia="ko-KR"/>
        </w:rPr>
      </w:pPr>
      <w:r w:rsidRPr="00C826B7">
        <w:rPr>
          <w:rFonts w:eastAsia="Batang"/>
          <w:b/>
          <w:i/>
          <w:szCs w:val="22"/>
          <w:lang w:val="en-US" w:eastAsia="ko-KR"/>
        </w:rPr>
        <w:lastRenderedPageBreak/>
        <w:t xml:space="preserve">Proposal </w:t>
      </w:r>
      <w:r w:rsidR="0064198D">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at least N=1. Further discuss N</w:t>
      </w:r>
      <w:r w:rsidR="00E35011">
        <w:rPr>
          <w:rFonts w:eastAsia="Batang"/>
          <w:b/>
          <w:szCs w:val="22"/>
          <w:lang w:val="en-US" w:eastAsia="ko-KR"/>
        </w:rPr>
        <w:t>=2</w:t>
      </w:r>
      <w:r>
        <w:rPr>
          <w:rFonts w:eastAsia="Batang"/>
          <w:b/>
          <w:szCs w:val="22"/>
          <w:lang w:val="en-US" w:eastAsia="ko-KR"/>
        </w:rPr>
        <w:t>.</w:t>
      </w:r>
    </w:p>
    <w:p w14:paraId="69F1D6BE" w14:textId="3E2B7B5F" w:rsidR="00864599" w:rsidRDefault="00864599" w:rsidP="008832BB">
      <w:pPr>
        <w:rPr>
          <w:rFonts w:eastAsia="Batang"/>
          <w:lang w:val="en-US" w:eastAsia="ko-KR"/>
        </w:rPr>
      </w:pPr>
      <w:r>
        <w:rPr>
          <w:rFonts w:eastAsia="Batang"/>
          <w:lang w:val="en-US" w:eastAsia="ko-KR"/>
        </w:rPr>
        <w:t>In RAN1#10</w:t>
      </w:r>
      <w:r w:rsidR="005F5D81">
        <w:rPr>
          <w:rFonts w:eastAsia="Batang"/>
          <w:lang w:val="en-US" w:eastAsia="ko-KR"/>
        </w:rPr>
        <w:t>3</w:t>
      </w:r>
      <w:r>
        <w:rPr>
          <w:rFonts w:eastAsia="Batang"/>
          <w:lang w:val="en-US" w:eastAsia="ko-KR"/>
        </w:rPr>
        <w:t>-e, the following was agreed.</w:t>
      </w:r>
    </w:p>
    <w:tbl>
      <w:tblPr>
        <w:tblStyle w:val="TableGrid"/>
        <w:tblW w:w="0" w:type="auto"/>
        <w:tblLook w:val="04A0" w:firstRow="1" w:lastRow="0" w:firstColumn="1" w:lastColumn="0" w:noHBand="0" w:noVBand="1"/>
      </w:tblPr>
      <w:tblGrid>
        <w:gridCol w:w="9855"/>
      </w:tblGrid>
      <w:tr w:rsidR="00864599" w14:paraId="1EBB8853" w14:textId="77777777" w:rsidTr="00864599">
        <w:tc>
          <w:tcPr>
            <w:tcW w:w="9855" w:type="dxa"/>
          </w:tcPr>
          <w:p w14:paraId="0FE6E314" w14:textId="77777777" w:rsidR="00864599" w:rsidRDefault="00864599" w:rsidP="00864599">
            <w:pPr>
              <w:snapToGrid w:val="0"/>
              <w:rPr>
                <w:rFonts w:cs="Times"/>
                <w:lang w:eastAsia="ko-KR"/>
              </w:rPr>
            </w:pPr>
            <w:r>
              <w:rPr>
                <w:rFonts w:cs="Times"/>
                <w:b/>
                <w:bCs/>
                <w:highlight w:val="green"/>
              </w:rPr>
              <w:t>Agreement</w:t>
            </w:r>
          </w:p>
          <w:p w14:paraId="27A239ED" w14:textId="77777777" w:rsidR="00864599" w:rsidRDefault="00864599" w:rsidP="00864599">
            <w:pPr>
              <w:snapToGrid w:val="0"/>
              <w:rPr>
                <w:rFonts w:cs="Times"/>
                <w:lang w:eastAsia="zh-CN"/>
              </w:rPr>
            </w:pPr>
            <w:r>
              <w:rPr>
                <w:rFonts w:cs="Times"/>
                <w:lang w:eastAsia="zh-CN"/>
              </w:rPr>
              <w:t>On Rel-17 unified TCI framework, to accommodate the case of separate beam indication for UL and DL:</w:t>
            </w:r>
          </w:p>
          <w:p w14:paraId="159513C4" w14:textId="77777777" w:rsidR="00864599" w:rsidRDefault="00864599" w:rsidP="00864599">
            <w:pPr>
              <w:pStyle w:val="ListParagraph"/>
              <w:numPr>
                <w:ilvl w:val="0"/>
                <w:numId w:val="15"/>
              </w:numPr>
              <w:snapToGrid w:val="0"/>
              <w:spacing w:before="0" w:line="240" w:lineRule="auto"/>
              <w:rPr>
                <w:rFonts w:cs="Times"/>
                <w:lang w:eastAsia="zh-CN"/>
              </w:rPr>
            </w:pPr>
            <w:r>
              <w:rPr>
                <w:rFonts w:cs="Times"/>
                <w:lang w:eastAsia="zh-CN"/>
              </w:rPr>
              <w:t xml:space="preserve">Utilize two separate TCI states, one for DL and one for UL. </w:t>
            </w:r>
          </w:p>
          <w:p w14:paraId="1323F171" w14:textId="77777777" w:rsidR="00864599" w:rsidRDefault="00864599" w:rsidP="00864599">
            <w:pPr>
              <w:pStyle w:val="ListParagraph"/>
              <w:numPr>
                <w:ilvl w:val="1"/>
                <w:numId w:val="15"/>
              </w:numPr>
              <w:snapToGrid w:val="0"/>
              <w:spacing w:before="0" w:line="240" w:lineRule="auto"/>
              <w:contextualSpacing/>
              <w:rPr>
                <w:rFonts w:cs="Times"/>
                <w:lang w:eastAsia="zh-CN"/>
              </w:rPr>
            </w:pPr>
            <w:r>
              <w:rPr>
                <w:rFonts w:cs="Times"/>
                <w:lang w:eastAsia="zh-CN"/>
              </w:rPr>
              <w:t>FFS: Contents of separate UL TCI state</w:t>
            </w:r>
          </w:p>
          <w:p w14:paraId="64F2281B" w14:textId="77777777" w:rsidR="00864599" w:rsidRDefault="00864599" w:rsidP="00864599">
            <w:pPr>
              <w:pStyle w:val="ListParagraph"/>
              <w:numPr>
                <w:ilvl w:val="1"/>
                <w:numId w:val="15"/>
              </w:numPr>
              <w:snapToGrid w:val="0"/>
              <w:spacing w:before="0" w:line="240" w:lineRule="auto"/>
              <w:contextualSpacing/>
              <w:rPr>
                <w:rFonts w:cs="Times"/>
                <w:lang w:eastAsia="zh-CN"/>
              </w:rPr>
            </w:pPr>
            <w:r>
              <w:rPr>
                <w:rFonts w:cs="Times"/>
                <w:lang w:eastAsia="zh-CN"/>
              </w:rPr>
              <w:t xml:space="preserve">Note: For FR1, UE does not expect UL TCI to provide a reference for determining common UL TX spatial filter(s), if UL TCI is supported for FR1 </w:t>
            </w:r>
          </w:p>
          <w:p w14:paraId="38F98C85" w14:textId="77777777" w:rsidR="00864599" w:rsidRDefault="00864599" w:rsidP="00864599">
            <w:pPr>
              <w:pStyle w:val="ListParagraph"/>
              <w:numPr>
                <w:ilvl w:val="0"/>
                <w:numId w:val="15"/>
              </w:numPr>
              <w:snapToGrid w:val="0"/>
              <w:spacing w:before="0" w:line="240" w:lineRule="auto"/>
              <w:rPr>
                <w:rFonts w:cs="Times"/>
                <w:lang w:eastAsia="zh-CN"/>
              </w:rPr>
            </w:pPr>
            <w:r>
              <w:rPr>
                <w:rFonts w:cs="Times"/>
                <w:lang w:eastAsia="zh-CN"/>
              </w:rPr>
              <w:t xml:space="preserve">For the separate DL TCI: </w:t>
            </w:r>
          </w:p>
          <w:p w14:paraId="589095B1" w14:textId="77777777" w:rsidR="00864599" w:rsidRDefault="00864599" w:rsidP="00864599">
            <w:pPr>
              <w:pStyle w:val="ListParagraph"/>
              <w:numPr>
                <w:ilvl w:val="1"/>
                <w:numId w:val="15"/>
              </w:numPr>
              <w:snapToGrid w:val="0"/>
              <w:spacing w:before="0" w:line="240" w:lineRule="auto"/>
              <w:contextualSpacing/>
              <w:rPr>
                <w:rFonts w:cs="Times"/>
                <w:sz w:val="22"/>
                <w:szCs w:val="22"/>
                <w:lang w:eastAsia="zh-CN"/>
              </w:rPr>
            </w:pPr>
            <w:r>
              <w:rPr>
                <w:rFonts w:cs="Times"/>
                <w:lang w:eastAsia="zh-CN"/>
              </w:rPr>
              <w:t>The source reference signal(s) in M TCIs provide QCL information at least for UE-dedicated reception on PDSCH and for UE-dedicated reception on all or subset of CORESETs in a CC</w:t>
            </w:r>
          </w:p>
          <w:p w14:paraId="3DCB9D2A" w14:textId="77777777" w:rsidR="00864599" w:rsidRDefault="00864599" w:rsidP="00864599">
            <w:pPr>
              <w:pStyle w:val="ListParagraph"/>
              <w:numPr>
                <w:ilvl w:val="0"/>
                <w:numId w:val="15"/>
              </w:numPr>
              <w:snapToGrid w:val="0"/>
              <w:spacing w:before="0" w:line="240" w:lineRule="auto"/>
              <w:rPr>
                <w:rFonts w:cs="Times"/>
                <w:lang w:eastAsia="zh-CN"/>
              </w:rPr>
            </w:pPr>
            <w:r>
              <w:rPr>
                <w:rFonts w:cs="Times"/>
                <w:lang w:eastAsia="zh-CN"/>
              </w:rPr>
              <w:t>For the separate UL TCI:</w:t>
            </w:r>
          </w:p>
          <w:p w14:paraId="47592362" w14:textId="77777777" w:rsidR="00864599" w:rsidRDefault="00864599" w:rsidP="00864599">
            <w:pPr>
              <w:pStyle w:val="ListParagraph"/>
              <w:numPr>
                <w:ilvl w:val="1"/>
                <w:numId w:val="15"/>
              </w:numPr>
              <w:snapToGrid w:val="0"/>
              <w:spacing w:before="0" w:line="240" w:lineRule="auto"/>
              <w:contextualSpacing/>
              <w:rPr>
                <w:rFonts w:cs="Times"/>
                <w:lang w:eastAsia="zh-CN"/>
              </w:rPr>
            </w:pPr>
            <w:r>
              <w:rPr>
                <w:rFonts w:cs="Times"/>
                <w:lang w:eastAsia="zh-CN"/>
              </w:rPr>
              <w:t xml:space="preserve">The source reference signal(s) in N TCIs provide a reference for determining common UL TX spatial filter(s) at least for dynamic-grant/configured-grant based PUSCH, all or subset of dedicated PUCCH resources in a CC </w:t>
            </w:r>
          </w:p>
          <w:p w14:paraId="41AF393F" w14:textId="77777777" w:rsidR="00864599" w:rsidRDefault="00864599" w:rsidP="00864599">
            <w:pPr>
              <w:pStyle w:val="ListParagraph"/>
              <w:numPr>
                <w:ilvl w:val="1"/>
                <w:numId w:val="15"/>
              </w:numPr>
              <w:snapToGrid w:val="0"/>
              <w:spacing w:before="0" w:line="240" w:lineRule="auto"/>
              <w:contextualSpacing/>
              <w:rPr>
                <w:rFonts w:cs="Times"/>
                <w:lang w:eastAsia="zh-CN"/>
              </w:rPr>
            </w:pPr>
            <w:r>
              <w:rPr>
                <w:rFonts w:cs="Times"/>
                <w:lang w:eastAsia="zh-CN"/>
              </w:rPr>
              <w:t>Optionally, this UL TX spatial filter can also apply to all SRS resources in resource set(s) configured for antenna switching/codebook-based/non-codebook-based UL transmissions</w:t>
            </w:r>
          </w:p>
          <w:p w14:paraId="7A340D22" w14:textId="77777777" w:rsidR="00864599" w:rsidRDefault="00864599" w:rsidP="00864599">
            <w:pPr>
              <w:pStyle w:val="ListParagraph"/>
              <w:numPr>
                <w:ilvl w:val="0"/>
                <w:numId w:val="15"/>
              </w:numPr>
              <w:snapToGrid w:val="0"/>
              <w:spacing w:before="0" w:line="240" w:lineRule="auto"/>
              <w:rPr>
                <w:rFonts w:cs="Times"/>
                <w:lang w:eastAsia="zh-CN"/>
              </w:rPr>
            </w:pPr>
            <w:r>
              <w:rPr>
                <w:rFonts w:cs="Times"/>
                <w:lang w:eastAsia="zh-CN"/>
              </w:rPr>
              <w:t xml:space="preserve">FFS: Whether </w:t>
            </w:r>
            <w:bookmarkStart w:id="0" w:name="_Hlk61355408"/>
            <w:r>
              <w:rPr>
                <w:rFonts w:cs="Times"/>
                <w:lang w:eastAsia="zh-CN"/>
              </w:rPr>
              <w:t>the UL TCI state is taken from a common/same or separate TCI state pool from DL TCI state</w:t>
            </w:r>
            <w:bookmarkEnd w:id="0"/>
          </w:p>
          <w:p w14:paraId="39E8DD18" w14:textId="77777777" w:rsidR="00864599" w:rsidRDefault="00864599" w:rsidP="00864599">
            <w:pPr>
              <w:pStyle w:val="ListParagraph"/>
              <w:numPr>
                <w:ilvl w:val="1"/>
                <w:numId w:val="15"/>
              </w:numPr>
              <w:snapToGrid w:val="0"/>
              <w:spacing w:before="0" w:line="240" w:lineRule="auto"/>
              <w:contextualSpacing/>
              <w:rPr>
                <w:rFonts w:cs="Times"/>
                <w:lang w:eastAsia="zh-CN"/>
              </w:rPr>
            </w:pPr>
            <w:r>
              <w:rPr>
                <w:rFonts w:cs="Times"/>
                <w:lang w:eastAsia="zh-CN"/>
              </w:rPr>
              <w:t>Note that TCI state pool for joint DL and UL beam indication is still FFS</w:t>
            </w:r>
          </w:p>
          <w:p w14:paraId="3576B26B" w14:textId="77777777" w:rsidR="00864599" w:rsidRDefault="00864599" w:rsidP="00864599">
            <w:pPr>
              <w:pStyle w:val="ListParagraph"/>
              <w:numPr>
                <w:ilvl w:val="0"/>
                <w:numId w:val="15"/>
              </w:numPr>
              <w:snapToGrid w:val="0"/>
              <w:spacing w:before="0" w:line="240" w:lineRule="auto"/>
              <w:rPr>
                <w:rFonts w:cs="Times"/>
                <w:sz w:val="22"/>
                <w:szCs w:val="22"/>
                <w:lang w:eastAsia="zh-CN"/>
              </w:rPr>
            </w:pPr>
            <w:r>
              <w:rPr>
                <w:rFonts w:cs="Times"/>
                <w:lang w:eastAsia="zh-CN"/>
              </w:rPr>
              <w:t xml:space="preserve">FFS: Whether Rel.17 supports TCI configured for single channel (e.g. PDSCH only, single CORESET) </w:t>
            </w:r>
          </w:p>
          <w:p w14:paraId="25A77E67" w14:textId="77777777" w:rsidR="00864599" w:rsidRDefault="00864599" w:rsidP="00864599">
            <w:pPr>
              <w:pStyle w:val="ListParagraph"/>
              <w:numPr>
                <w:ilvl w:val="0"/>
                <w:numId w:val="15"/>
              </w:numPr>
              <w:snapToGrid w:val="0"/>
              <w:spacing w:before="0" w:line="240" w:lineRule="auto"/>
              <w:rPr>
                <w:rFonts w:cs="Times"/>
                <w:lang w:eastAsia="zh-CN"/>
              </w:rPr>
            </w:pPr>
            <w:r>
              <w:rPr>
                <w:rFonts w:cs="Times"/>
                <w:lang w:eastAsia="zh-CN"/>
              </w:rPr>
              <w:t>Note: This does not preclude the type of UE supporting only 1 beam tracking loop, i.e. UE reports value of 1 in UE FG 2-62.</w:t>
            </w:r>
          </w:p>
          <w:p w14:paraId="5E2B166E" w14:textId="77777777" w:rsidR="00864599" w:rsidRDefault="00864599" w:rsidP="008832BB">
            <w:pPr>
              <w:rPr>
                <w:rFonts w:eastAsia="Batang"/>
                <w:lang w:val="en-US" w:eastAsia="ko-KR"/>
              </w:rPr>
            </w:pPr>
          </w:p>
          <w:p w14:paraId="65CE8ABD" w14:textId="77777777" w:rsidR="00864599" w:rsidRDefault="00864599" w:rsidP="00864599">
            <w:pPr>
              <w:snapToGrid w:val="0"/>
              <w:rPr>
                <w:rFonts w:cs="Times"/>
                <w:lang w:eastAsia="ko-KR"/>
              </w:rPr>
            </w:pPr>
            <w:r>
              <w:rPr>
                <w:rFonts w:cs="Times"/>
                <w:b/>
                <w:bCs/>
                <w:highlight w:val="green"/>
              </w:rPr>
              <w:t>Agreement</w:t>
            </w:r>
          </w:p>
          <w:p w14:paraId="3FAD5B50" w14:textId="77777777" w:rsidR="00864599" w:rsidRDefault="00864599" w:rsidP="00864599">
            <w:pPr>
              <w:snapToGrid w:val="0"/>
              <w:rPr>
                <w:rFonts w:cs="Times"/>
              </w:rPr>
            </w:pPr>
            <w:r>
              <w:rPr>
                <w:rFonts w:cs="Times"/>
              </w:rPr>
              <w:t>On Rel-17 unified TCI framework:</w:t>
            </w:r>
          </w:p>
          <w:p w14:paraId="7894E00E" w14:textId="77777777" w:rsidR="00864599" w:rsidRDefault="00864599" w:rsidP="00864599">
            <w:pPr>
              <w:pStyle w:val="ListParagraph"/>
              <w:numPr>
                <w:ilvl w:val="0"/>
                <w:numId w:val="16"/>
              </w:numPr>
              <w:snapToGrid w:val="0"/>
              <w:spacing w:before="0" w:line="240" w:lineRule="auto"/>
              <w:contextualSpacing/>
              <w:rPr>
                <w:rFonts w:cs="Times"/>
              </w:rPr>
            </w:pPr>
            <w:r>
              <w:rPr>
                <w:rFonts w:cs="Times"/>
              </w:rPr>
              <w:t>A pool of joint DL/UL TCI state is used for joint DL/UL TCI state update (beam indication).</w:t>
            </w:r>
          </w:p>
          <w:p w14:paraId="02646AAE" w14:textId="77777777" w:rsidR="00864599" w:rsidRDefault="00864599" w:rsidP="00864599">
            <w:pPr>
              <w:pStyle w:val="ListParagraph"/>
              <w:numPr>
                <w:ilvl w:val="0"/>
                <w:numId w:val="16"/>
              </w:numPr>
              <w:snapToGrid w:val="0"/>
              <w:spacing w:before="0" w:line="240" w:lineRule="auto"/>
              <w:contextualSpacing/>
              <w:rPr>
                <w:rFonts w:cs="Times"/>
              </w:rPr>
            </w:pPr>
            <w:r>
              <w:rPr>
                <w:rFonts w:cs="Times"/>
              </w:rPr>
              <w:t>FFS: The pool for separate DL and UL TCI state update (beam indication)</w:t>
            </w:r>
          </w:p>
          <w:p w14:paraId="615D56C6" w14:textId="77777777" w:rsidR="00864599" w:rsidRDefault="00864599" w:rsidP="00864599">
            <w:pPr>
              <w:pStyle w:val="ListParagraph"/>
              <w:numPr>
                <w:ilvl w:val="0"/>
                <w:numId w:val="16"/>
              </w:numPr>
              <w:snapToGrid w:val="0"/>
              <w:spacing w:before="0" w:line="240" w:lineRule="auto"/>
              <w:contextualSpacing/>
              <w:rPr>
                <w:rFonts w:cs="Times"/>
              </w:rPr>
            </w:pPr>
            <w:r>
              <w:rPr>
                <w:rFonts w:cs="Times"/>
              </w:rPr>
              <w:t>Note: Here, TCI state pool refers to a pool configured via higher-layer (RRC) signaling</w:t>
            </w:r>
          </w:p>
          <w:p w14:paraId="54D6C14C" w14:textId="77777777" w:rsidR="00864599" w:rsidRDefault="00864599" w:rsidP="00864599">
            <w:pPr>
              <w:pStyle w:val="ListParagraph"/>
              <w:numPr>
                <w:ilvl w:val="0"/>
                <w:numId w:val="16"/>
              </w:numPr>
              <w:snapToGrid w:val="0"/>
              <w:spacing w:before="0" w:line="240" w:lineRule="auto"/>
              <w:contextualSpacing/>
              <w:jc w:val="left"/>
              <w:rPr>
                <w:rFonts w:cs="Times"/>
              </w:rPr>
            </w:pPr>
            <w:r>
              <w:rPr>
                <w:rFonts w:cs="Times"/>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774EA276" w14:textId="1895C475" w:rsidR="00864599" w:rsidRDefault="00864599" w:rsidP="008832BB">
            <w:pPr>
              <w:rPr>
                <w:rFonts w:eastAsia="Batang"/>
                <w:lang w:val="en-US" w:eastAsia="ko-KR"/>
              </w:rPr>
            </w:pPr>
          </w:p>
        </w:tc>
      </w:tr>
    </w:tbl>
    <w:p w14:paraId="57420C9E" w14:textId="0695FC87" w:rsidR="005F216B" w:rsidRDefault="009E0CF4" w:rsidP="008832BB">
      <w:pPr>
        <w:rPr>
          <w:rFonts w:eastAsia="Batang"/>
          <w:lang w:val="en-US" w:eastAsia="ko-KR"/>
        </w:rPr>
      </w:pPr>
      <w:r>
        <w:rPr>
          <w:rFonts w:eastAsia="Batang"/>
          <w:lang w:val="en-US" w:eastAsia="ko-KR"/>
        </w:rPr>
        <w:t>The most attractive</w:t>
      </w:r>
      <w:r w:rsidR="00466EF0">
        <w:rPr>
          <w:rFonts w:eastAsia="Batang"/>
          <w:lang w:val="en-US" w:eastAsia="ko-KR"/>
        </w:rPr>
        <w:t xml:space="preserve"> (efficient)</w:t>
      </w:r>
      <w:r>
        <w:rPr>
          <w:rFonts w:eastAsia="Batang"/>
          <w:lang w:val="en-US" w:eastAsia="ko-KR"/>
        </w:rPr>
        <w:t xml:space="preserve"> mode of common beam operation is the </w:t>
      </w:r>
      <w:r w:rsidR="00994C8F">
        <w:rPr>
          <w:rFonts w:eastAsia="Batang"/>
          <w:lang w:val="en-US" w:eastAsia="ko-KR"/>
        </w:rPr>
        <w:t xml:space="preserve">use of the same </w:t>
      </w:r>
      <w:r w:rsidR="008265BA">
        <w:rPr>
          <w:rFonts w:eastAsia="Batang"/>
          <w:lang w:val="en-US" w:eastAsia="ko-KR"/>
        </w:rPr>
        <w:t>common</w:t>
      </w:r>
      <w:r>
        <w:rPr>
          <w:rFonts w:eastAsia="Batang"/>
          <w:lang w:val="en-US" w:eastAsia="ko-KR"/>
        </w:rPr>
        <w:t xml:space="preserve"> beam for </w:t>
      </w:r>
      <w:r w:rsidR="008265BA">
        <w:rPr>
          <w:rFonts w:eastAsia="Batang"/>
          <w:lang w:val="en-US" w:eastAsia="ko-KR"/>
        </w:rPr>
        <w:t xml:space="preserve">both </w:t>
      </w:r>
      <w:r>
        <w:rPr>
          <w:rFonts w:eastAsia="Batang"/>
          <w:lang w:val="en-US" w:eastAsia="ko-KR"/>
        </w:rPr>
        <w:t>DL and UL. For example, DL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as well as UL control and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CSI-RS resource for BM as spatial source/reference. A beam switch of all those DL/UL channels/signals could potentially be achieved with a single TCI state </w:t>
      </w:r>
      <w:r w:rsidR="002C554E">
        <w:rPr>
          <w:rFonts w:eastAsia="Batang"/>
          <w:lang w:val="en-US" w:eastAsia="ko-KR"/>
        </w:rPr>
        <w:t>update</w:t>
      </w:r>
      <w:r w:rsidR="008265BA">
        <w:rPr>
          <w:rFonts w:eastAsia="Batang"/>
          <w:lang w:val="en-US" w:eastAsia="ko-KR"/>
        </w:rPr>
        <w:t>, with low latency and overhead.</w:t>
      </w:r>
    </w:p>
    <w:p w14:paraId="0F848D3F" w14:textId="77777777" w:rsidR="002C554E" w:rsidRDefault="00994C8F" w:rsidP="008832BB">
      <w:pPr>
        <w:rPr>
          <w:rFonts w:eastAsia="Batang"/>
          <w:lang w:val="en-US" w:eastAsia="ko-KR"/>
        </w:rPr>
      </w:pPr>
      <w:r>
        <w:rPr>
          <w:rFonts w:eastAsia="Batang"/>
          <w:lang w:val="en-US" w:eastAsia="ko-KR"/>
        </w:rPr>
        <w:t>On the other hand, i</w:t>
      </w:r>
      <w:r w:rsidR="00004BBC">
        <w:rPr>
          <w:rFonts w:eastAsia="Batang"/>
          <w:lang w:val="en-US" w:eastAsia="ko-KR"/>
        </w:rPr>
        <w:t xml:space="preserve">t should also be possible to activate different TCI states for UL and DL, which </w:t>
      </w:r>
      <w:r>
        <w:rPr>
          <w:rFonts w:eastAsia="Batang"/>
          <w:lang w:val="en-US" w:eastAsia="ko-KR"/>
        </w:rPr>
        <w:t xml:space="preserve">for instance </w:t>
      </w:r>
      <w:r w:rsidR="00004BBC">
        <w:rPr>
          <w:rFonts w:eastAsia="Batang"/>
          <w:lang w:val="en-US" w:eastAsia="ko-KR"/>
        </w:rPr>
        <w:t xml:space="preserve">may be useful in heterogeneous networks and during MPE events. </w:t>
      </w:r>
      <w:r w:rsidR="002C554E">
        <w:rPr>
          <w:rFonts w:eastAsia="Batang"/>
          <w:lang w:val="en-US" w:eastAsia="ko-KR"/>
        </w:rPr>
        <w:t xml:space="preserve">However, such operation with different TCI states for UL and DL is the exception, while common beam operation for UL and DL is the more common situation. Enhancements should therefore be optimized for joint UL/DL beam indication, while still supporting separate indications. </w:t>
      </w:r>
    </w:p>
    <w:p w14:paraId="0993280E" w14:textId="5B138786" w:rsidR="0064198D" w:rsidRDefault="002C554E" w:rsidP="008832BB">
      <w:pPr>
        <w:rPr>
          <w:rFonts w:eastAsia="Batang"/>
          <w:lang w:val="en-US" w:eastAsia="ko-KR"/>
        </w:rPr>
      </w:pPr>
      <w:r>
        <w:rPr>
          <w:rFonts w:eastAsia="Batang"/>
          <w:lang w:val="en-US" w:eastAsia="ko-KR"/>
        </w:rPr>
        <w:t>Note that separate UL/DL beam indication could be used by the network during a time period, e.g. during an MPE event, and joint UL/DL beam indication could be used during other periods. RRC reconfiguration to switch between those modes of operation should be avoided. F</w:t>
      </w:r>
      <w:r w:rsidR="00004BBC">
        <w:rPr>
          <w:rFonts w:eastAsia="Batang"/>
          <w:lang w:val="en-US" w:eastAsia="ko-KR"/>
        </w:rPr>
        <w:t>rom a configuration overhead perspective</w:t>
      </w:r>
      <w:r>
        <w:rPr>
          <w:rFonts w:eastAsia="Batang"/>
          <w:lang w:val="en-US" w:eastAsia="ko-KR"/>
        </w:rPr>
        <w:t>, it is most efficient</w:t>
      </w:r>
      <w:r w:rsidR="00004BBC">
        <w:rPr>
          <w:rFonts w:eastAsia="Batang"/>
          <w:lang w:val="en-US" w:eastAsia="ko-KR"/>
        </w:rPr>
        <w:t xml:space="preserve"> to use the same TCI </w:t>
      </w:r>
      <w:r w:rsidR="00703E09">
        <w:rPr>
          <w:rFonts w:eastAsia="Batang"/>
          <w:lang w:val="en-US" w:eastAsia="ko-KR"/>
        </w:rPr>
        <w:t xml:space="preserve">state </w:t>
      </w:r>
      <w:r w:rsidR="00004BBC">
        <w:rPr>
          <w:rFonts w:eastAsia="Batang"/>
          <w:lang w:val="en-US" w:eastAsia="ko-KR"/>
        </w:rPr>
        <w:t xml:space="preserve">pool for joint and separate UL/DL beam indication. </w:t>
      </w:r>
    </w:p>
    <w:p w14:paraId="3F7175C8" w14:textId="4D861802" w:rsidR="00D7655F" w:rsidRDefault="002360E3" w:rsidP="008832BB">
      <w:pPr>
        <w:rPr>
          <w:rFonts w:eastAsia="Batang"/>
          <w:lang w:val="en-US" w:eastAsia="ko-KR"/>
        </w:rPr>
      </w:pPr>
      <w:r>
        <w:rPr>
          <w:rFonts w:eastAsia="Batang"/>
          <w:lang w:val="en-US" w:eastAsia="ko-KR"/>
        </w:rPr>
        <w:t xml:space="preserve">The UL </w:t>
      </w:r>
      <w:r w:rsidR="00F92BF4">
        <w:rPr>
          <w:rFonts w:eastAsia="Batang"/>
          <w:lang w:val="en-US" w:eastAsia="ko-KR"/>
        </w:rPr>
        <w:t xml:space="preserve">TX </w:t>
      </w:r>
      <w:r>
        <w:rPr>
          <w:rFonts w:eastAsia="Batang"/>
          <w:lang w:val="en-US" w:eastAsia="ko-KR"/>
        </w:rPr>
        <w:t>beam c</w:t>
      </w:r>
      <w:r w:rsidR="00703E09">
        <w:rPr>
          <w:rFonts w:eastAsia="Batang"/>
          <w:lang w:val="en-US" w:eastAsia="ko-KR"/>
        </w:rPr>
        <w:t>ould</w:t>
      </w:r>
      <w:r>
        <w:rPr>
          <w:rFonts w:eastAsia="Batang"/>
          <w:lang w:val="en-US" w:eastAsia="ko-KR"/>
        </w:rPr>
        <w:t xml:space="preserve"> be determined from the source RS with QCL-TypeD in the TCI state, both in joint and separate DL/UL indication.</w:t>
      </w:r>
      <w:r w:rsidR="0064198D">
        <w:rPr>
          <w:rFonts w:eastAsia="Batang"/>
          <w:lang w:val="en-US" w:eastAsia="ko-KR"/>
        </w:rPr>
        <w:t xml:space="preserve"> The PL RS doesn’t need to be explicitly included in the TCI state</w:t>
      </w:r>
      <w:r w:rsidR="003666FB">
        <w:rPr>
          <w:rFonts w:eastAsia="Batang"/>
          <w:lang w:val="en-US" w:eastAsia="ko-KR"/>
        </w:rPr>
        <w:t xml:space="preserve"> since the PL RS may be</w:t>
      </w:r>
      <w:r w:rsidR="00974811">
        <w:rPr>
          <w:rFonts w:eastAsia="Batang"/>
          <w:lang w:val="en-US" w:eastAsia="ko-KR"/>
        </w:rPr>
        <w:t xml:space="preserve"> </w:t>
      </w:r>
      <w:r w:rsidR="003666FB">
        <w:rPr>
          <w:rFonts w:eastAsia="Batang"/>
          <w:lang w:val="en-US" w:eastAsia="ko-KR"/>
        </w:rPr>
        <w:t xml:space="preserve">indicated </w:t>
      </w:r>
      <w:r w:rsidR="004F7DF7">
        <w:rPr>
          <w:rFonts w:eastAsia="Batang"/>
          <w:lang w:val="en-US" w:eastAsia="ko-KR"/>
        </w:rPr>
        <w:t xml:space="preserve">for example </w:t>
      </w:r>
      <w:r w:rsidR="003666FB">
        <w:rPr>
          <w:rFonts w:eastAsia="Batang"/>
          <w:lang w:val="en-US" w:eastAsia="ko-KR"/>
        </w:rPr>
        <w:t>by the SRI field in the UL grant</w:t>
      </w:r>
      <w:r w:rsidR="00191E2D">
        <w:rPr>
          <w:rFonts w:eastAsia="Batang"/>
          <w:lang w:val="en-US" w:eastAsia="ko-KR"/>
        </w:rPr>
        <w:t>, as in Rel-15/16.</w:t>
      </w:r>
    </w:p>
    <w:p w14:paraId="05B47CDD" w14:textId="0F167E6D" w:rsidR="00213E51" w:rsidRPr="00004BBC" w:rsidRDefault="005F55FE" w:rsidP="00004BBC">
      <w:pPr>
        <w:ind w:left="990" w:hanging="990"/>
        <w:rPr>
          <w:rFonts w:eastAsia="Batang"/>
          <w:b/>
          <w:szCs w:val="22"/>
          <w:lang w:val="en-US" w:eastAsia="ko-KR"/>
        </w:rPr>
      </w:pPr>
      <w:r w:rsidRPr="00C826B7">
        <w:rPr>
          <w:rFonts w:eastAsia="Batang"/>
          <w:b/>
          <w:i/>
          <w:szCs w:val="22"/>
          <w:lang w:val="en-US" w:eastAsia="ko-KR"/>
        </w:rPr>
        <w:t xml:space="preserve">Proposal </w:t>
      </w:r>
      <w:r w:rsidR="0064198D">
        <w:rPr>
          <w:rFonts w:eastAsia="Batang"/>
          <w:b/>
          <w:i/>
          <w:szCs w:val="22"/>
          <w:lang w:val="en-US" w:eastAsia="ko-KR"/>
        </w:rPr>
        <w:t>4</w:t>
      </w:r>
      <w:r w:rsidRPr="00C826B7">
        <w:rPr>
          <w:rFonts w:eastAsia="Batang"/>
          <w:b/>
          <w:i/>
          <w:szCs w:val="22"/>
          <w:lang w:val="en-US" w:eastAsia="ko-KR"/>
        </w:rPr>
        <w:t xml:space="preserve">: </w:t>
      </w:r>
      <w:r w:rsidR="0033471F">
        <w:rPr>
          <w:rFonts w:eastAsia="Batang"/>
          <w:b/>
          <w:iCs/>
          <w:szCs w:val="22"/>
          <w:lang w:val="en-US" w:eastAsia="ko-KR"/>
        </w:rPr>
        <w:t xml:space="preserve">For the case of </w:t>
      </w:r>
      <w:r w:rsidR="0033471F" w:rsidRPr="0033471F">
        <w:rPr>
          <w:rFonts w:eastAsia="Batang"/>
          <w:b/>
          <w:iCs/>
          <w:szCs w:val="22"/>
          <w:lang w:val="en-US" w:eastAsia="ko-KR"/>
        </w:rPr>
        <w:t>separate DL and UL TCI state update</w:t>
      </w:r>
      <w:r w:rsidR="0033471F">
        <w:rPr>
          <w:rFonts w:eastAsia="Batang"/>
          <w:b/>
          <w:iCs/>
          <w:szCs w:val="22"/>
          <w:lang w:val="en-US" w:eastAsia="ko-KR"/>
        </w:rPr>
        <w:t xml:space="preserve">, </w:t>
      </w:r>
      <w:r w:rsidR="0033471F" w:rsidRPr="0002575E">
        <w:rPr>
          <w:rFonts w:eastAsia="Batang"/>
          <w:b/>
          <w:iCs/>
          <w:szCs w:val="22"/>
          <w:lang w:val="en-US" w:eastAsia="ko-KR"/>
        </w:rPr>
        <w:t xml:space="preserve">the UL TCI state is taken from </w:t>
      </w:r>
      <w:r w:rsidR="0033471F">
        <w:rPr>
          <w:rFonts w:eastAsia="Batang"/>
          <w:b/>
          <w:iCs/>
          <w:szCs w:val="22"/>
          <w:lang w:val="en-US" w:eastAsia="ko-KR"/>
        </w:rPr>
        <w:t xml:space="preserve">the </w:t>
      </w:r>
      <w:r w:rsidR="0033471F" w:rsidRPr="0002575E">
        <w:rPr>
          <w:rFonts w:eastAsia="Batang"/>
          <w:b/>
          <w:iCs/>
          <w:szCs w:val="22"/>
          <w:lang w:val="en-US" w:eastAsia="ko-KR"/>
        </w:rPr>
        <w:t xml:space="preserve">same TCI state pool </w:t>
      </w:r>
      <w:r w:rsidR="0033471F">
        <w:rPr>
          <w:rFonts w:eastAsia="Batang"/>
          <w:b/>
          <w:iCs/>
          <w:szCs w:val="22"/>
          <w:lang w:val="en-US" w:eastAsia="ko-KR"/>
        </w:rPr>
        <w:t xml:space="preserve">as the </w:t>
      </w:r>
      <w:r w:rsidR="0033471F" w:rsidRPr="0002575E">
        <w:rPr>
          <w:rFonts w:eastAsia="Batang"/>
          <w:b/>
          <w:iCs/>
          <w:szCs w:val="22"/>
          <w:lang w:val="en-US" w:eastAsia="ko-KR"/>
        </w:rPr>
        <w:t>DL TCI state</w:t>
      </w:r>
      <w:r w:rsidR="0033471F">
        <w:rPr>
          <w:rFonts w:eastAsia="Batang"/>
          <w:b/>
          <w:iCs/>
          <w:szCs w:val="22"/>
          <w:lang w:val="en-US" w:eastAsia="ko-KR"/>
        </w:rPr>
        <w:t>.</w:t>
      </w:r>
    </w:p>
    <w:p w14:paraId="4390D7BA" w14:textId="30B98399" w:rsidR="00C33066" w:rsidRDefault="00C33066" w:rsidP="00C33066">
      <w:pPr>
        <w:ind w:left="990" w:hanging="990"/>
        <w:rPr>
          <w:rFonts w:eastAsia="Batang"/>
          <w:b/>
          <w:iCs/>
          <w:szCs w:val="22"/>
          <w:lang w:val="en-US" w:eastAsia="ko-KR"/>
        </w:rPr>
      </w:pPr>
      <w:r w:rsidRPr="00C826B7">
        <w:rPr>
          <w:rFonts w:eastAsia="Batang"/>
          <w:b/>
          <w:i/>
          <w:szCs w:val="22"/>
          <w:lang w:val="en-US" w:eastAsia="ko-KR"/>
        </w:rPr>
        <w:t xml:space="preserve">Proposal </w:t>
      </w:r>
      <w:r w:rsidR="0064198D">
        <w:rPr>
          <w:rFonts w:eastAsia="Batang"/>
          <w:b/>
          <w:i/>
          <w:szCs w:val="22"/>
          <w:lang w:val="en-US" w:eastAsia="ko-KR"/>
        </w:rPr>
        <w:t>5</w:t>
      </w:r>
      <w:r w:rsidRPr="00C826B7">
        <w:rPr>
          <w:rFonts w:eastAsia="Batang"/>
          <w:b/>
          <w:i/>
          <w:szCs w:val="22"/>
          <w:lang w:val="en-US" w:eastAsia="ko-KR"/>
        </w:rPr>
        <w:t xml:space="preserve">: </w:t>
      </w:r>
      <w:r w:rsidR="00F92BF4">
        <w:rPr>
          <w:rFonts w:eastAsia="Batang"/>
          <w:b/>
          <w:iCs/>
          <w:szCs w:val="22"/>
          <w:lang w:val="en-US" w:eastAsia="ko-KR"/>
        </w:rPr>
        <w:t>The UL TX beam can be determined from the source RS with QCL-TypeD in the TCI state.</w:t>
      </w:r>
    </w:p>
    <w:p w14:paraId="7EF95562" w14:textId="6CB785EB" w:rsidR="007E1F09" w:rsidRDefault="00D55D1F" w:rsidP="008832BB">
      <w:pPr>
        <w:rPr>
          <w:rFonts w:eastAsia="Batang"/>
          <w:lang w:val="en-US" w:eastAsia="ko-KR"/>
        </w:rPr>
      </w:pPr>
      <w:r>
        <w:rPr>
          <w:rFonts w:eastAsia="Batang"/>
          <w:lang w:val="en-US" w:eastAsia="ko-KR"/>
        </w:rPr>
        <w:t>In massive MIMO and multi-TRP deployments, a large number of CSI-RS</w:t>
      </w:r>
      <w:r w:rsidR="000F2BAC">
        <w:rPr>
          <w:rFonts w:eastAsia="Batang"/>
          <w:lang w:val="en-US" w:eastAsia="ko-KR"/>
        </w:rPr>
        <w:t>s</w:t>
      </w:r>
      <w:r>
        <w:rPr>
          <w:rFonts w:eastAsia="Batang"/>
          <w:lang w:val="en-US" w:eastAsia="ko-KR"/>
        </w:rPr>
        <w:t xml:space="preserve"> for BM is required to ensure that </w:t>
      </w:r>
      <w:r w:rsidR="00F030E6">
        <w:rPr>
          <w:rFonts w:eastAsia="Batang"/>
          <w:lang w:val="en-US" w:eastAsia="ko-KR"/>
        </w:rPr>
        <w:t>a</w:t>
      </w:r>
      <w:r>
        <w:rPr>
          <w:rFonts w:eastAsia="Batang"/>
          <w:lang w:val="en-US" w:eastAsia="ko-KR"/>
        </w:rPr>
        <w:t xml:space="preserve"> reported DL beam is close to the optimal DL beam. To some extent, this issue can be alleviated by the iterative beam refinement procedure, which </w:t>
      </w:r>
      <w:r w:rsidR="00F030E6">
        <w:rPr>
          <w:rFonts w:eastAsia="Batang"/>
          <w:lang w:val="en-US" w:eastAsia="ko-KR"/>
        </w:rPr>
        <w:t xml:space="preserve">however </w:t>
      </w:r>
      <w:r>
        <w:rPr>
          <w:rFonts w:eastAsia="Batang"/>
          <w:lang w:val="en-US" w:eastAsia="ko-KR"/>
        </w:rPr>
        <w:t xml:space="preserve">has the drawback of </w:t>
      </w:r>
      <w:r w:rsidR="00D2510D">
        <w:rPr>
          <w:rFonts w:eastAsia="Batang"/>
          <w:lang w:val="en-US" w:eastAsia="ko-KR"/>
        </w:rPr>
        <w:t>increased latency</w:t>
      </w:r>
      <w:r w:rsidR="000F2BAC">
        <w:rPr>
          <w:rFonts w:eastAsia="Batang"/>
          <w:lang w:val="en-US" w:eastAsia="ko-KR"/>
        </w:rPr>
        <w:t xml:space="preserve"> and complexity,</w:t>
      </w:r>
      <w:r w:rsidR="00D2510D">
        <w:rPr>
          <w:rFonts w:eastAsia="Batang"/>
          <w:lang w:val="en-US" w:eastAsia="ko-KR"/>
        </w:rPr>
        <w:t xml:space="preserve"> and potentially increased reconfiguration overhead.</w:t>
      </w:r>
    </w:p>
    <w:p w14:paraId="0DBDAF22" w14:textId="77777777" w:rsidR="00985F86" w:rsidRDefault="00D2510D" w:rsidP="008832BB">
      <w:pPr>
        <w:rPr>
          <w:rFonts w:eastAsia="Batang"/>
          <w:lang w:val="en-US" w:eastAsia="ko-KR"/>
        </w:rPr>
      </w:pPr>
      <w:r>
        <w:rPr>
          <w:rFonts w:eastAsia="Batang"/>
          <w:lang w:val="en-US" w:eastAsia="ko-KR"/>
        </w:rPr>
        <w:lastRenderedPageBreak/>
        <w:t>Using SRS for BM as a spatial source RS for DL could be beneficial in the context of massive MIMO and multi-TRP, since the amount of CSI-RS for BM and corresponding measurements and reporting can be reduced.</w:t>
      </w:r>
    </w:p>
    <w:p w14:paraId="4FDDA0C4" w14:textId="65F1212B" w:rsidR="00985F86" w:rsidRDefault="00D2510D" w:rsidP="008832BB">
      <w:pPr>
        <w:rPr>
          <w:rFonts w:eastAsia="Batang"/>
          <w:lang w:val="en-US" w:eastAsia="ko-KR"/>
        </w:rPr>
      </w:pPr>
      <w:r>
        <w:rPr>
          <w:rFonts w:eastAsia="Batang"/>
          <w:lang w:val="en-US" w:eastAsia="ko-KR"/>
        </w:rPr>
        <w:t xml:space="preserve">The beam management latency using CSI-RS involves </w:t>
      </w:r>
      <w:r w:rsidR="004C38CE">
        <w:rPr>
          <w:rFonts w:eastAsia="Batang"/>
          <w:lang w:val="en-US" w:eastAsia="ko-KR"/>
        </w:rPr>
        <w:t xml:space="preserve">CSI-RS transmission and </w:t>
      </w:r>
      <w:r>
        <w:rPr>
          <w:rFonts w:eastAsia="Batang"/>
          <w:lang w:val="en-US" w:eastAsia="ko-KR"/>
        </w:rPr>
        <w:t>UE RX beam adjustments, L1-RSRP/SINR measurement</w:t>
      </w:r>
      <w:r w:rsidR="004C38CE">
        <w:rPr>
          <w:rFonts w:eastAsia="Batang"/>
          <w:lang w:val="en-US" w:eastAsia="ko-KR"/>
        </w:rPr>
        <w:t>,</w:t>
      </w:r>
      <w:r>
        <w:rPr>
          <w:rFonts w:eastAsia="Batang"/>
          <w:lang w:val="en-US" w:eastAsia="ko-KR"/>
        </w:rPr>
        <w:t xml:space="preserve"> </w:t>
      </w:r>
      <w:r w:rsidR="00985F86">
        <w:rPr>
          <w:rFonts w:eastAsia="Batang"/>
          <w:lang w:val="en-US" w:eastAsia="ko-KR"/>
        </w:rPr>
        <w:t>CSI report encoding/transmission on PUCCH/PUSCH on the UE side</w:t>
      </w:r>
      <w:r w:rsidR="004C38CE">
        <w:rPr>
          <w:rFonts w:eastAsia="Batang"/>
          <w:lang w:val="en-US" w:eastAsia="ko-KR"/>
        </w:rPr>
        <w:t>,</w:t>
      </w:r>
      <w:r w:rsidR="00985F86">
        <w:rPr>
          <w:rFonts w:eastAsia="Batang"/>
          <w:lang w:val="en-US" w:eastAsia="ko-KR"/>
        </w:rPr>
        <w:t xml:space="preserve"> and decoding of CSI report on the gNB side.</w:t>
      </w:r>
    </w:p>
    <w:p w14:paraId="7694397B" w14:textId="09454456" w:rsidR="00D2510D" w:rsidRDefault="00985F86" w:rsidP="008832BB">
      <w:pPr>
        <w:rPr>
          <w:rFonts w:eastAsia="Batang"/>
          <w:lang w:val="en-US" w:eastAsia="ko-KR"/>
        </w:rPr>
      </w:pPr>
      <w:r>
        <w:rPr>
          <w:rFonts w:eastAsia="Batang"/>
          <w:lang w:val="en-US" w:eastAsia="ko-KR"/>
        </w:rPr>
        <w:t xml:space="preserve">The beam management latency using </w:t>
      </w:r>
      <w:r w:rsidR="00D2510D">
        <w:rPr>
          <w:rFonts w:eastAsia="Batang"/>
          <w:lang w:val="en-US" w:eastAsia="ko-KR"/>
        </w:rPr>
        <w:t xml:space="preserve">SRS for BM </w:t>
      </w:r>
      <w:r>
        <w:rPr>
          <w:rFonts w:eastAsia="Batang"/>
          <w:lang w:val="en-US" w:eastAsia="ko-KR"/>
        </w:rPr>
        <w:t>involves SRS transmission on the UE side and gNB RX beam adjustments and measurements on the gNB side.</w:t>
      </w:r>
    </w:p>
    <w:p w14:paraId="415B4A6B" w14:textId="748E2653" w:rsidR="00985F86" w:rsidRDefault="00985F86" w:rsidP="008832BB">
      <w:pPr>
        <w:rPr>
          <w:rFonts w:eastAsia="Batang"/>
          <w:lang w:val="en-US" w:eastAsia="ko-KR"/>
        </w:rPr>
      </w:pPr>
      <w:r>
        <w:rPr>
          <w:rFonts w:eastAsia="Batang"/>
          <w:lang w:val="en-US" w:eastAsia="ko-KR"/>
        </w:rPr>
        <w:t>Hence, beam management latency could be reduced by using SRS for BM as spatial source RS for DL.</w:t>
      </w:r>
    </w:p>
    <w:p w14:paraId="0C6146AD" w14:textId="7E4AC07C" w:rsidR="00985F86" w:rsidRDefault="00985F86" w:rsidP="008832BB">
      <w:pPr>
        <w:rPr>
          <w:rFonts w:eastAsia="Batang"/>
          <w:lang w:val="en-US" w:eastAsia="ko-KR"/>
        </w:rPr>
      </w:pPr>
      <w:r>
        <w:rPr>
          <w:rFonts w:eastAsia="Batang"/>
          <w:lang w:val="en-US" w:eastAsia="ko-KR"/>
        </w:rPr>
        <w:t xml:space="preserve">In terms of UE power consumption, </w:t>
      </w:r>
      <w:r w:rsidR="00CE5F34">
        <w:rPr>
          <w:rFonts w:eastAsia="Batang"/>
          <w:lang w:val="en-US" w:eastAsia="ko-KR"/>
        </w:rPr>
        <w:t>more</w:t>
      </w:r>
      <w:r w:rsidR="00D80C95">
        <w:rPr>
          <w:rFonts w:eastAsia="Batang"/>
          <w:lang w:val="en-US" w:eastAsia="ko-KR"/>
        </w:rPr>
        <w:t xml:space="preserve"> SRS transmission may be introduced, but this may be compensated by less CSI measurement and </w:t>
      </w:r>
      <w:r w:rsidR="00F030E6">
        <w:rPr>
          <w:rFonts w:eastAsia="Batang"/>
          <w:lang w:val="en-US" w:eastAsia="ko-KR"/>
        </w:rPr>
        <w:t xml:space="preserve">CSI </w:t>
      </w:r>
      <w:r w:rsidR="00D80C95">
        <w:rPr>
          <w:rFonts w:eastAsia="Batang"/>
          <w:lang w:val="en-US" w:eastAsia="ko-KR"/>
        </w:rPr>
        <w:t>reporting on PUCCH/PUSCH.</w:t>
      </w:r>
    </w:p>
    <w:p w14:paraId="1F6EC0AB" w14:textId="2D5FE9E7" w:rsidR="008832BB" w:rsidRPr="008832BB" w:rsidRDefault="00556315" w:rsidP="0002575E">
      <w:pPr>
        <w:ind w:left="990" w:hanging="990"/>
        <w:rPr>
          <w:rFonts w:eastAsia="Batang"/>
          <w:lang w:val="en-US" w:eastAsia="ko-KR"/>
        </w:rPr>
      </w:pPr>
      <w:r w:rsidRPr="00C826B7">
        <w:rPr>
          <w:rFonts w:eastAsia="Batang"/>
          <w:b/>
          <w:i/>
          <w:szCs w:val="22"/>
          <w:lang w:val="en-US" w:eastAsia="ko-KR"/>
        </w:rPr>
        <w:t xml:space="preserve">Proposal </w:t>
      </w:r>
      <w:r w:rsidR="00B32936">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70797FBC" w14:textId="31153148" w:rsidR="002F50E7" w:rsidRDefault="002F50E7" w:rsidP="002F50E7">
      <w:pPr>
        <w:pStyle w:val="Heading2"/>
        <w:rPr>
          <w:rFonts w:eastAsia="Batang"/>
          <w:lang w:val="en-US" w:eastAsia="ko-KR"/>
        </w:rPr>
      </w:pPr>
      <w:r w:rsidDel="002F50E7">
        <w:t xml:space="preserve"> </w:t>
      </w:r>
      <w:r>
        <w:t>2.2 Dynamic TCI State Signaling</w:t>
      </w:r>
    </w:p>
    <w:p w14:paraId="3D373CD0" w14:textId="1CECA63A" w:rsidR="00AC0AE7" w:rsidRDefault="005F5D81" w:rsidP="0016380F">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5F5D81" w14:paraId="55841D73" w14:textId="77777777" w:rsidTr="005F5D81">
        <w:tc>
          <w:tcPr>
            <w:tcW w:w="9855" w:type="dxa"/>
          </w:tcPr>
          <w:p w14:paraId="6671DCE2" w14:textId="77777777" w:rsidR="005F5D81" w:rsidRDefault="005F5D81" w:rsidP="005F5D81">
            <w:pPr>
              <w:rPr>
                <w:rFonts w:cs="Times"/>
                <w:b/>
                <w:bCs/>
                <w:highlight w:val="green"/>
              </w:rPr>
            </w:pPr>
            <w:r>
              <w:rPr>
                <w:rFonts w:cs="Times"/>
                <w:b/>
                <w:bCs/>
                <w:highlight w:val="green"/>
              </w:rPr>
              <w:t>Agreement</w:t>
            </w:r>
          </w:p>
          <w:p w14:paraId="3933A836" w14:textId="77777777" w:rsidR="005F5D81" w:rsidRDefault="005F5D81" w:rsidP="005F5D81">
            <w:pPr>
              <w:snapToGrid w:val="0"/>
              <w:rPr>
                <w:rFonts w:cs="Times"/>
              </w:rPr>
            </w:pPr>
            <w:r>
              <w:rPr>
                <w:rFonts w:cs="Times"/>
              </w:rPr>
              <w:t>On beam indication signaling medium to support joint or separate DL/UL beam indication in Rel.17 unified TCI framework:</w:t>
            </w:r>
          </w:p>
          <w:p w14:paraId="0DC8FEDB" w14:textId="77777777" w:rsidR="005F5D81" w:rsidRDefault="005F5D81" w:rsidP="005F5D81">
            <w:pPr>
              <w:pStyle w:val="ListParagraph"/>
              <w:numPr>
                <w:ilvl w:val="0"/>
                <w:numId w:val="17"/>
              </w:numPr>
              <w:snapToGrid w:val="0"/>
              <w:spacing w:before="0" w:line="240" w:lineRule="auto"/>
              <w:rPr>
                <w:rFonts w:cs="Times"/>
              </w:rPr>
            </w:pPr>
            <w:r>
              <w:rPr>
                <w:rFonts w:cs="Times"/>
              </w:rPr>
              <w:t xml:space="preserve">Support L1-based beam indication using at least UE-specific (unicast) DCI to indicate joint or separate DL/UL beam indication from the active TCI states </w:t>
            </w:r>
          </w:p>
          <w:p w14:paraId="72E5C5DD" w14:textId="77777777" w:rsidR="005F5D81" w:rsidRDefault="005F5D81" w:rsidP="005F5D81">
            <w:pPr>
              <w:pStyle w:val="ListParagraph"/>
              <w:numPr>
                <w:ilvl w:val="1"/>
                <w:numId w:val="17"/>
              </w:numPr>
              <w:snapToGrid w:val="0"/>
              <w:spacing w:before="0" w:line="240" w:lineRule="auto"/>
              <w:rPr>
                <w:rFonts w:cs="Times"/>
              </w:rPr>
            </w:pPr>
            <w:r>
              <w:rPr>
                <w:rFonts w:cs="Times"/>
              </w:rPr>
              <w:t>The existing DCI formats 1_1 and 1_2 are reused for beam indication</w:t>
            </w:r>
          </w:p>
          <w:p w14:paraId="73E492DD" w14:textId="77777777" w:rsidR="005F5D81" w:rsidRDefault="005F5D81" w:rsidP="005F5D81">
            <w:pPr>
              <w:pStyle w:val="ListParagraph"/>
              <w:numPr>
                <w:ilvl w:val="1"/>
                <w:numId w:val="17"/>
              </w:numPr>
              <w:snapToGrid w:val="0"/>
              <w:spacing w:before="0" w:line="240" w:lineRule="auto"/>
              <w:rPr>
                <w:rFonts w:cs="Times"/>
              </w:rPr>
            </w:pPr>
            <w:r>
              <w:rPr>
                <w:rFonts w:cs="Times"/>
              </w:rPr>
              <w:t>Support a mechanism for UE to acknowledge successful decoding of beam indication</w:t>
            </w:r>
          </w:p>
          <w:p w14:paraId="22E31190" w14:textId="77777777" w:rsidR="005F5D81" w:rsidRDefault="005F5D81" w:rsidP="005F5D81">
            <w:pPr>
              <w:pStyle w:val="ListParagraph"/>
              <w:numPr>
                <w:ilvl w:val="2"/>
                <w:numId w:val="17"/>
              </w:numPr>
              <w:snapToGrid w:val="0"/>
              <w:spacing w:before="0" w:line="240" w:lineRule="auto"/>
              <w:rPr>
                <w:rFonts w:cs="Times"/>
              </w:rPr>
            </w:pPr>
            <w:r>
              <w:rPr>
                <w:rFonts w:cs="Times"/>
              </w:rPr>
              <w:t>The ACK/NAK of the PDSCH scheduled by the DCI carrying the beam indication can be used as an ACK also for the DCI</w:t>
            </w:r>
          </w:p>
          <w:p w14:paraId="7C257CBA" w14:textId="77777777" w:rsidR="005F5D81" w:rsidRDefault="005F5D81" w:rsidP="005F5D81">
            <w:pPr>
              <w:pStyle w:val="ListParagraph"/>
              <w:numPr>
                <w:ilvl w:val="2"/>
                <w:numId w:val="17"/>
              </w:numPr>
              <w:snapToGrid w:val="0"/>
              <w:spacing w:before="0" w:line="240" w:lineRule="auto"/>
              <w:rPr>
                <w:rFonts w:cs="Times"/>
              </w:rPr>
            </w:pPr>
            <w:r>
              <w:rPr>
                <w:rFonts w:cs="Times"/>
              </w:rPr>
              <w:t>FFS: Whether any additional specification support is needed</w:t>
            </w:r>
          </w:p>
          <w:p w14:paraId="452EED59" w14:textId="77777777" w:rsidR="005F5D81" w:rsidRDefault="005F5D81" w:rsidP="005F5D81">
            <w:pPr>
              <w:pStyle w:val="ListParagraph"/>
              <w:numPr>
                <w:ilvl w:val="0"/>
                <w:numId w:val="17"/>
              </w:numPr>
              <w:snapToGrid w:val="0"/>
              <w:spacing w:before="0" w:line="240" w:lineRule="auto"/>
              <w:rPr>
                <w:rFonts w:cs="Times"/>
              </w:rPr>
            </w:pPr>
            <w:r>
              <w:rPr>
                <w:rFonts w:cs="Times"/>
              </w:rPr>
              <w:t>Support activation of one or more TCI states via MAC CE analogous to Rel.15/16:</w:t>
            </w:r>
          </w:p>
          <w:p w14:paraId="345439E3" w14:textId="77777777" w:rsidR="005F5D81" w:rsidRDefault="005F5D81" w:rsidP="005F5D81">
            <w:pPr>
              <w:pStyle w:val="ListParagraph"/>
              <w:numPr>
                <w:ilvl w:val="1"/>
                <w:numId w:val="17"/>
              </w:numPr>
              <w:snapToGrid w:val="0"/>
              <w:spacing w:before="0" w:line="240" w:lineRule="auto"/>
              <w:rPr>
                <w:rFonts w:cs="Times"/>
                <w:sz w:val="22"/>
              </w:rPr>
            </w:pPr>
            <w:r>
              <w:rPr>
                <w:rFonts w:cs="Times"/>
                <w:szCs w:val="18"/>
              </w:rPr>
              <w:t>At least for the single activated TCI state, the activated TCI state is applied</w:t>
            </w:r>
          </w:p>
          <w:p w14:paraId="1E3D890B" w14:textId="77777777" w:rsidR="005F5D81" w:rsidRDefault="005F5D81" w:rsidP="005F5D81">
            <w:pPr>
              <w:pStyle w:val="ListParagraph"/>
              <w:numPr>
                <w:ilvl w:val="1"/>
                <w:numId w:val="17"/>
              </w:numPr>
              <w:snapToGrid w:val="0"/>
              <w:spacing w:before="0" w:line="240" w:lineRule="auto"/>
              <w:rPr>
                <w:rFonts w:cs="Times"/>
                <w:sz w:val="22"/>
              </w:rPr>
            </w:pPr>
            <w:r>
              <w:rPr>
                <w:rFonts w:cs="Times"/>
              </w:rPr>
              <w:t>The content for the MAC CE is determined based on the outcome of issue 1</w:t>
            </w:r>
          </w:p>
          <w:p w14:paraId="39BF1ABA" w14:textId="77777777" w:rsidR="005F5D81" w:rsidRDefault="005F5D81" w:rsidP="005F5D81">
            <w:pPr>
              <w:pStyle w:val="ListParagraph"/>
              <w:numPr>
                <w:ilvl w:val="1"/>
                <w:numId w:val="17"/>
              </w:numPr>
              <w:snapToGrid w:val="0"/>
              <w:spacing w:before="0" w:line="240" w:lineRule="auto"/>
              <w:rPr>
                <w:rFonts w:cs="Times"/>
                <w:sz w:val="22"/>
              </w:rPr>
            </w:pPr>
            <w:r>
              <w:rPr>
                <w:rFonts w:cs="Times"/>
              </w:rPr>
              <w:t>FFS: If supported, default TCI state when more than one TCI states are activated by MAC CE</w:t>
            </w:r>
          </w:p>
          <w:p w14:paraId="73712018" w14:textId="77777777" w:rsidR="005F5D81" w:rsidRDefault="005F5D81" w:rsidP="005F5D81">
            <w:pPr>
              <w:pStyle w:val="ListParagraph"/>
              <w:numPr>
                <w:ilvl w:val="1"/>
                <w:numId w:val="17"/>
              </w:numPr>
              <w:snapToGrid w:val="0"/>
              <w:spacing w:before="0" w:line="240" w:lineRule="auto"/>
              <w:rPr>
                <w:rFonts w:cs="Times"/>
              </w:rPr>
            </w:pPr>
            <w:r>
              <w:rPr>
                <w:rFonts w:cs="Times"/>
              </w:rPr>
              <w:t xml:space="preserve">Note: There is no implications on the support of single TRP or multi-TRP </w:t>
            </w:r>
          </w:p>
          <w:p w14:paraId="55E92058" w14:textId="77777777" w:rsidR="005F5D81" w:rsidRDefault="005F5D81" w:rsidP="005F5D81">
            <w:pPr>
              <w:pStyle w:val="ListParagraph"/>
              <w:numPr>
                <w:ilvl w:val="0"/>
                <w:numId w:val="17"/>
              </w:numPr>
              <w:snapToGrid w:val="0"/>
              <w:spacing w:before="0" w:line="240" w:lineRule="auto"/>
              <w:rPr>
                <w:rFonts w:cs="Times"/>
              </w:rPr>
            </w:pPr>
            <w:r>
              <w:rPr>
                <w:rFonts w:cs="Times"/>
              </w:rPr>
              <w:t>FFS: Additional enhancement such as L1-based beam indication with group-common DCI</w:t>
            </w:r>
          </w:p>
          <w:p w14:paraId="6B8AB1E6" w14:textId="77777777" w:rsidR="005F5D81" w:rsidRDefault="005F5D81" w:rsidP="005F5D81">
            <w:pPr>
              <w:pStyle w:val="ListParagraph"/>
              <w:numPr>
                <w:ilvl w:val="0"/>
                <w:numId w:val="17"/>
              </w:numPr>
              <w:snapToGrid w:val="0"/>
              <w:spacing w:before="0" w:line="240" w:lineRule="auto"/>
              <w:rPr>
                <w:rFonts w:cs="Times"/>
              </w:rPr>
            </w:pPr>
            <w:r>
              <w:rPr>
                <w:rFonts w:cs="Times"/>
              </w:rPr>
              <w:t>FFS: Whether the Rel.17 beam indication can also apply to beam indication for single channel (e.g. PDSCH only, single CORESET) or a subset of channels</w:t>
            </w:r>
          </w:p>
          <w:p w14:paraId="42D7ADE7" w14:textId="77777777" w:rsidR="005F5D81" w:rsidRDefault="005F5D81" w:rsidP="005F5D81">
            <w:pPr>
              <w:pStyle w:val="ListParagraph"/>
              <w:numPr>
                <w:ilvl w:val="0"/>
                <w:numId w:val="17"/>
              </w:numPr>
              <w:snapToGrid w:val="0"/>
              <w:spacing w:before="0" w:line="240" w:lineRule="auto"/>
              <w:rPr>
                <w:rFonts w:cs="Times"/>
              </w:rPr>
            </w:pPr>
            <w:r>
              <w:rPr>
                <w:rFonts w:cs="Times"/>
              </w:rPr>
              <w:t>FFS: Additional details on extending the support of L1-based beam indication when separate UL (from DL) common beam indication is configured</w:t>
            </w:r>
          </w:p>
          <w:p w14:paraId="6A9DBF53" w14:textId="77777777" w:rsidR="005F5D81" w:rsidRDefault="005F5D81" w:rsidP="0016380F">
            <w:pPr>
              <w:rPr>
                <w:rFonts w:eastAsia="Batang"/>
                <w:lang w:val="en-US" w:eastAsia="ko-KR"/>
              </w:rPr>
            </w:pPr>
          </w:p>
          <w:p w14:paraId="4421827E" w14:textId="77777777" w:rsidR="005F5D81" w:rsidRDefault="005F5D81" w:rsidP="005F5D81">
            <w:pPr>
              <w:snapToGrid w:val="0"/>
              <w:rPr>
                <w:rFonts w:cs="Times"/>
                <w:highlight w:val="green"/>
              </w:rPr>
            </w:pPr>
            <w:r>
              <w:rPr>
                <w:rFonts w:cs="Times"/>
                <w:b/>
                <w:highlight w:val="green"/>
              </w:rPr>
              <w:t>Agreement</w:t>
            </w:r>
          </w:p>
          <w:p w14:paraId="5497E1D5" w14:textId="77777777" w:rsidR="005F5D81" w:rsidRDefault="005F5D81" w:rsidP="005F5D81">
            <w:pPr>
              <w:snapToGrid w:val="0"/>
              <w:rPr>
                <w:rFonts w:cs="Times"/>
              </w:rPr>
            </w:pPr>
            <w:r>
              <w:rPr>
                <w:rFonts w:cs="Times"/>
              </w:rPr>
              <w:t>In RAN1#104-e, on the Rel-17 L1-based TCI state update (beam indication) for the unified TCI framework, interested companies are to provide the following:</w:t>
            </w:r>
          </w:p>
          <w:p w14:paraId="61BF7BD9" w14:textId="77777777" w:rsidR="005F5D81" w:rsidRDefault="005F5D81" w:rsidP="005F5D81">
            <w:pPr>
              <w:pStyle w:val="ListParagraph"/>
              <w:numPr>
                <w:ilvl w:val="0"/>
                <w:numId w:val="18"/>
              </w:numPr>
              <w:snapToGrid w:val="0"/>
              <w:spacing w:before="0" w:line="240" w:lineRule="auto"/>
              <w:contextualSpacing/>
              <w:rPr>
                <w:rFonts w:cs="Times"/>
              </w:rPr>
            </w:pPr>
            <w:r>
              <w:rPr>
                <w:rFonts w:cs="Times"/>
              </w:rPr>
              <w:t xml:space="preserve">How to use DCI formats 1_1 and 1_2 for UL-only (in case of separate DL/UL) TCI state update (beam indication) </w:t>
            </w:r>
          </w:p>
          <w:p w14:paraId="09FF1B03" w14:textId="77777777" w:rsidR="005F5D81" w:rsidRDefault="005F5D81" w:rsidP="005F5D81">
            <w:pPr>
              <w:pStyle w:val="ListParagraph"/>
              <w:numPr>
                <w:ilvl w:val="1"/>
                <w:numId w:val="18"/>
              </w:numPr>
              <w:snapToGrid w:val="0"/>
              <w:spacing w:before="0" w:line="240" w:lineRule="auto"/>
              <w:contextualSpacing/>
              <w:rPr>
                <w:rFonts w:cs="Times"/>
              </w:rPr>
            </w:pPr>
            <w:r>
              <w:rPr>
                <w:rFonts w:cs="Times"/>
              </w:rPr>
              <w:t xml:space="preserve">Note: The agreement implies that DCI formats 1_1 and 1_2 can be used for UL-only TCI state update beam indication). </w:t>
            </w:r>
          </w:p>
          <w:p w14:paraId="1ABBFA24" w14:textId="77777777" w:rsidR="005F5D81" w:rsidRDefault="005F5D81" w:rsidP="005F5D81">
            <w:pPr>
              <w:pStyle w:val="ListParagraph"/>
              <w:numPr>
                <w:ilvl w:val="1"/>
                <w:numId w:val="18"/>
              </w:numPr>
              <w:snapToGrid w:val="0"/>
              <w:spacing w:before="0" w:line="240" w:lineRule="auto"/>
              <w:contextualSpacing/>
              <w:rPr>
                <w:rFonts w:cs="Times"/>
              </w:rPr>
            </w:pPr>
            <w:r>
              <w:rPr>
                <w:rFonts w:cs="Times"/>
                <w:lang w:eastAsia="zh-CN"/>
              </w:rPr>
              <w:t>FFS: Using DCI format 1_1 and 1_2 without DL assignment, and with a new acknowledgment mechanism directly in response to decoding DCI format 1_1 and 1_2, e.g., analogous to SPS PDSCH release</w:t>
            </w:r>
          </w:p>
          <w:p w14:paraId="3877E576" w14:textId="77777777" w:rsidR="005F5D81" w:rsidRDefault="005F5D81" w:rsidP="005F5D81">
            <w:pPr>
              <w:pStyle w:val="ListParagraph"/>
              <w:numPr>
                <w:ilvl w:val="0"/>
                <w:numId w:val="18"/>
              </w:numPr>
              <w:snapToGrid w:val="0"/>
              <w:spacing w:before="0" w:line="240" w:lineRule="auto"/>
              <w:contextualSpacing/>
              <w:rPr>
                <w:rFonts w:cs="Times"/>
              </w:rPr>
            </w:pPr>
            <w:r>
              <w:rPr>
                <w:rFonts w:cs="Times"/>
              </w:rPr>
              <w:t>Whether/how to support at least one additional DCI format dedicated for UL-only beam indication (in case of separate DL/UL), including:</w:t>
            </w:r>
          </w:p>
          <w:p w14:paraId="6AAAA40D" w14:textId="77777777" w:rsidR="005F5D81" w:rsidRDefault="005F5D81" w:rsidP="005F5D81">
            <w:pPr>
              <w:pStyle w:val="ListParagraph"/>
              <w:numPr>
                <w:ilvl w:val="1"/>
                <w:numId w:val="18"/>
              </w:numPr>
              <w:snapToGrid w:val="0"/>
              <w:spacing w:before="0" w:line="240" w:lineRule="auto"/>
              <w:contextualSpacing/>
              <w:rPr>
                <w:rFonts w:cs="Times"/>
              </w:rPr>
            </w:pPr>
            <w:r>
              <w:rPr>
                <w:rFonts w:cs="Times"/>
              </w:rPr>
              <w:t>Whether the format can also be used for DL-only beam indication (in case of separate DL/UL) and joint DL/UL beam indication</w:t>
            </w:r>
          </w:p>
          <w:p w14:paraId="2F646BCD" w14:textId="77777777" w:rsidR="005F5D81" w:rsidRDefault="005F5D81" w:rsidP="005F5D81">
            <w:pPr>
              <w:pStyle w:val="ListParagraph"/>
              <w:numPr>
                <w:ilvl w:val="1"/>
                <w:numId w:val="18"/>
              </w:numPr>
              <w:snapToGrid w:val="0"/>
              <w:spacing w:before="0" w:line="240" w:lineRule="auto"/>
              <w:contextualSpacing/>
              <w:rPr>
                <w:rFonts w:cs="Times"/>
              </w:rPr>
            </w:pPr>
            <w:r>
              <w:rPr>
                <w:rFonts w:cs="Times"/>
              </w:rPr>
              <w:t>Whether it is a “brand new” format or based on some extension of the existing DCI formats other than 1_1 and 1_2 (e.g. 1_0, 0_0, 0_1, or 0_2)</w:t>
            </w:r>
          </w:p>
          <w:p w14:paraId="3A887296" w14:textId="77777777" w:rsidR="005F5D81" w:rsidRDefault="005F5D81" w:rsidP="005F5D81">
            <w:pPr>
              <w:pStyle w:val="ListParagraph"/>
              <w:numPr>
                <w:ilvl w:val="2"/>
                <w:numId w:val="18"/>
              </w:numPr>
              <w:snapToGrid w:val="0"/>
              <w:spacing w:before="0" w:line="240" w:lineRule="auto"/>
              <w:contextualSpacing/>
              <w:rPr>
                <w:rFonts w:cs="Times"/>
              </w:rPr>
            </w:pPr>
            <w:r>
              <w:rPr>
                <w:rFonts w:cs="Times"/>
              </w:rPr>
              <w:t>If UL-related DCI is used, whether it is accompanied with UL grant or not</w:t>
            </w:r>
          </w:p>
          <w:p w14:paraId="6629A37D" w14:textId="2117B6F8" w:rsidR="005F5D81" w:rsidRPr="005F5D81" w:rsidRDefault="005F5D81" w:rsidP="0002575E">
            <w:pPr>
              <w:pStyle w:val="ListParagraph"/>
              <w:numPr>
                <w:ilvl w:val="1"/>
                <w:numId w:val="18"/>
              </w:numPr>
              <w:snapToGrid w:val="0"/>
              <w:spacing w:before="0" w:line="240" w:lineRule="auto"/>
              <w:contextualSpacing/>
              <w:rPr>
                <w:rFonts w:cs="Times"/>
              </w:rPr>
            </w:pPr>
            <w:r>
              <w:rPr>
                <w:rFonts w:cs="Times"/>
              </w:rPr>
              <w:t>Acknowledgment mechanism</w:t>
            </w:r>
          </w:p>
          <w:p w14:paraId="2FC28C10" w14:textId="40C1CEDC" w:rsidR="005F5D81" w:rsidRDefault="005F5D81" w:rsidP="0016380F">
            <w:pPr>
              <w:rPr>
                <w:rFonts w:eastAsia="Batang"/>
                <w:lang w:val="en-US" w:eastAsia="ko-KR"/>
              </w:rPr>
            </w:pPr>
          </w:p>
        </w:tc>
      </w:tr>
    </w:tbl>
    <w:p w14:paraId="10C2CACA" w14:textId="53F0CAC4" w:rsidR="005F5D81" w:rsidRDefault="005F5D81" w:rsidP="0016380F">
      <w:pPr>
        <w:rPr>
          <w:rFonts w:eastAsia="Batang"/>
          <w:lang w:val="en-US" w:eastAsia="ko-KR"/>
        </w:rPr>
      </w:pPr>
      <w:r>
        <w:rPr>
          <w:rFonts w:eastAsia="Batang"/>
          <w:lang w:val="en-US" w:eastAsia="ko-KR"/>
        </w:rPr>
        <w:t xml:space="preserve">The existing DCI format 1_1 and 1_2 can indicate one out of up to eight TCI codepoints, where the codepoints correspond to TCI states that are activated by MAC CE. </w:t>
      </w:r>
      <w:r w:rsidR="00621ACC">
        <w:rPr>
          <w:rFonts w:eastAsia="Batang"/>
          <w:lang w:val="en-US" w:eastAsia="ko-KR"/>
        </w:rPr>
        <w:t xml:space="preserve">There are several ways to solve the separate DL/UL beam indication using only </w:t>
      </w:r>
      <w:r w:rsidR="00621ACC">
        <w:rPr>
          <w:rFonts w:eastAsia="Batang"/>
          <w:lang w:val="en-US" w:eastAsia="ko-KR"/>
        </w:rPr>
        <w:lastRenderedPageBreak/>
        <w:t>the existing DCI formats 1_1 and 1_2. Hence, there is no need to introduce a new format or enhance another format (e.g. 0_1, 0_2).</w:t>
      </w:r>
    </w:p>
    <w:p w14:paraId="22B81367" w14:textId="31337409" w:rsidR="00621ACC" w:rsidRPr="004C3F7D" w:rsidRDefault="00621ACC" w:rsidP="00621ACC">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6165AD">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An additional DCI format dedicated for UL-only beam indication is not supported</w:t>
      </w:r>
      <w:r>
        <w:rPr>
          <w:rFonts w:eastAsia="Batang"/>
          <w:b/>
          <w:szCs w:val="22"/>
          <w:lang w:val="en-US" w:eastAsia="ko-KR"/>
        </w:rPr>
        <w:t>.</w:t>
      </w:r>
    </w:p>
    <w:p w14:paraId="5AD24A10" w14:textId="3C051AC3" w:rsidR="008D530F" w:rsidRDefault="00621ACC" w:rsidP="0016380F">
      <w:pPr>
        <w:rPr>
          <w:rFonts w:eastAsia="Batang"/>
          <w:lang w:val="en-US" w:eastAsia="ko-KR"/>
        </w:rPr>
      </w:pPr>
      <w:r>
        <w:rPr>
          <w:rFonts w:eastAsia="Batang"/>
          <w:lang w:val="en-US" w:eastAsia="ko-KR"/>
        </w:rPr>
        <w:t xml:space="preserve">When a DL TCI state is activated (by MAC CE), the UE </w:t>
      </w:r>
      <w:r w:rsidR="00E4229D">
        <w:rPr>
          <w:rFonts w:eastAsia="Batang"/>
          <w:lang w:val="en-US" w:eastAsia="ko-KR"/>
        </w:rPr>
        <w:t>may need to perform time, frequency and beam tuning before the corresponding DL Rx beam can be used. When an UL TCI state is activated (by MAC CE), the UE may need to perform additional actions, such as powering on a power amplifier, performing Rx/Tx circuit calibration (for beam correspondence), etc.</w:t>
      </w:r>
      <w:r w:rsidR="00635ABD">
        <w:rPr>
          <w:rFonts w:eastAsia="Batang"/>
          <w:lang w:val="en-US" w:eastAsia="ko-KR"/>
        </w:rPr>
        <w:t xml:space="preserve"> Hence, for the case of separate DL/UL TCI state update, it may be advantageous if the UE knows which of the activated TCI states that are DL TCI states, which that are UL TCI states, and which that joint DL/UL TCI states. </w:t>
      </w:r>
      <w:r w:rsidR="00703E09">
        <w:rPr>
          <w:rFonts w:eastAsia="Batang"/>
          <w:lang w:val="en-US" w:eastAsia="ko-KR"/>
        </w:rPr>
        <w:t>This can be done by indicating in the MAC CE that activates a TCI state if it is jointly applicable to DL and UL, if the TCI state is applicable to DL only, or if the TCI state is applicable to UL only</w:t>
      </w:r>
      <w:r w:rsidR="00E43C14">
        <w:rPr>
          <w:rFonts w:eastAsia="Batang"/>
          <w:lang w:val="en-US" w:eastAsia="ko-KR"/>
        </w:rPr>
        <w:t>.</w:t>
      </w:r>
    </w:p>
    <w:p w14:paraId="07CD3701" w14:textId="755FA3BA" w:rsidR="002E5B38" w:rsidRPr="004C3F7D" w:rsidRDefault="002E5B38" w:rsidP="002E5B38">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6165AD">
        <w:rPr>
          <w:rFonts w:eastAsia="Batang"/>
          <w:b/>
          <w:i/>
          <w:szCs w:val="22"/>
          <w:lang w:val="en-US" w:eastAsia="ko-KR"/>
        </w:rPr>
        <w:t>8</w:t>
      </w:r>
      <w:r w:rsidRPr="00C826B7">
        <w:rPr>
          <w:rFonts w:eastAsia="Batang"/>
          <w:b/>
          <w:i/>
          <w:szCs w:val="22"/>
          <w:lang w:val="en-US" w:eastAsia="ko-KR"/>
        </w:rPr>
        <w:t xml:space="preserve">: </w:t>
      </w:r>
      <w:r w:rsidR="00703E09">
        <w:rPr>
          <w:rFonts w:eastAsia="Batang"/>
          <w:b/>
          <w:iCs/>
          <w:szCs w:val="22"/>
          <w:lang w:val="en-US" w:eastAsia="ko-KR"/>
        </w:rPr>
        <w:t>A T</w:t>
      </w:r>
      <w:r w:rsidR="008D530F">
        <w:rPr>
          <w:rFonts w:eastAsia="Batang"/>
          <w:b/>
          <w:iCs/>
          <w:szCs w:val="22"/>
          <w:lang w:val="en-US" w:eastAsia="ko-KR"/>
        </w:rPr>
        <w:t xml:space="preserve">CI state </w:t>
      </w:r>
      <w:r w:rsidR="001D6C8D">
        <w:rPr>
          <w:rFonts w:eastAsia="Batang"/>
          <w:b/>
          <w:iCs/>
          <w:szCs w:val="22"/>
          <w:lang w:val="en-US" w:eastAsia="ko-KR"/>
        </w:rPr>
        <w:t>can be</w:t>
      </w:r>
      <w:r w:rsidR="008D530F">
        <w:rPr>
          <w:rFonts w:eastAsia="Batang"/>
          <w:b/>
          <w:iCs/>
          <w:szCs w:val="22"/>
          <w:lang w:val="en-US" w:eastAsia="ko-KR"/>
        </w:rPr>
        <w:t xml:space="preserve"> activated </w:t>
      </w:r>
      <w:r w:rsidR="00E43C14">
        <w:rPr>
          <w:rFonts w:eastAsia="Batang"/>
          <w:b/>
          <w:iCs/>
          <w:szCs w:val="22"/>
          <w:lang w:val="en-US" w:eastAsia="ko-KR"/>
        </w:rPr>
        <w:t>as a</w:t>
      </w:r>
      <w:r w:rsidR="008D530F">
        <w:rPr>
          <w:rFonts w:eastAsia="Batang"/>
          <w:b/>
          <w:iCs/>
          <w:szCs w:val="22"/>
          <w:lang w:val="en-US" w:eastAsia="ko-KR"/>
        </w:rPr>
        <w:t xml:space="preserve"> joint DL/UL</w:t>
      </w:r>
      <w:r w:rsidR="00E43C14">
        <w:rPr>
          <w:rFonts w:eastAsia="Batang"/>
          <w:b/>
          <w:iCs/>
          <w:szCs w:val="22"/>
          <w:lang w:val="en-US" w:eastAsia="ko-KR"/>
        </w:rPr>
        <w:t xml:space="preserve"> TCI state</w:t>
      </w:r>
      <w:r w:rsidR="008D530F">
        <w:rPr>
          <w:rFonts w:eastAsia="Batang"/>
          <w:b/>
          <w:iCs/>
          <w:szCs w:val="22"/>
          <w:lang w:val="en-US" w:eastAsia="ko-KR"/>
        </w:rPr>
        <w:t xml:space="preserve">, </w:t>
      </w:r>
      <w:r w:rsidR="00E43C14">
        <w:rPr>
          <w:rFonts w:eastAsia="Batang"/>
          <w:b/>
          <w:iCs/>
          <w:szCs w:val="22"/>
          <w:lang w:val="en-US" w:eastAsia="ko-KR"/>
        </w:rPr>
        <w:t xml:space="preserve">a </w:t>
      </w:r>
      <w:r w:rsidR="008D530F">
        <w:rPr>
          <w:rFonts w:eastAsia="Batang"/>
          <w:b/>
          <w:iCs/>
          <w:szCs w:val="22"/>
          <w:lang w:val="en-US" w:eastAsia="ko-KR"/>
        </w:rPr>
        <w:t>DL</w:t>
      </w:r>
      <w:r w:rsidR="00E43C14">
        <w:rPr>
          <w:rFonts w:eastAsia="Batang"/>
          <w:b/>
          <w:iCs/>
          <w:szCs w:val="22"/>
          <w:lang w:val="en-US" w:eastAsia="ko-KR"/>
        </w:rPr>
        <w:t xml:space="preserve"> TCI state</w:t>
      </w:r>
      <w:r w:rsidR="008D530F">
        <w:rPr>
          <w:rFonts w:eastAsia="Batang"/>
          <w:b/>
          <w:iCs/>
          <w:szCs w:val="22"/>
          <w:lang w:val="en-US" w:eastAsia="ko-KR"/>
        </w:rPr>
        <w:t xml:space="preserve"> or </w:t>
      </w:r>
      <w:r w:rsidR="00E43C14">
        <w:rPr>
          <w:rFonts w:eastAsia="Batang"/>
          <w:b/>
          <w:iCs/>
          <w:szCs w:val="22"/>
          <w:lang w:val="en-US" w:eastAsia="ko-KR"/>
        </w:rPr>
        <w:t xml:space="preserve">an </w:t>
      </w:r>
      <w:r w:rsidR="008D530F">
        <w:rPr>
          <w:rFonts w:eastAsia="Batang"/>
          <w:b/>
          <w:iCs/>
          <w:szCs w:val="22"/>
          <w:lang w:val="en-US" w:eastAsia="ko-KR"/>
        </w:rPr>
        <w:t xml:space="preserve">UL </w:t>
      </w:r>
      <w:r w:rsidR="00E43C14">
        <w:rPr>
          <w:rFonts w:eastAsia="Batang"/>
          <w:b/>
          <w:iCs/>
          <w:szCs w:val="22"/>
          <w:lang w:val="en-US" w:eastAsia="ko-KR"/>
        </w:rPr>
        <w:t>TCI state</w:t>
      </w:r>
      <w:r>
        <w:rPr>
          <w:rFonts w:eastAsia="Batang"/>
          <w:b/>
          <w:szCs w:val="22"/>
          <w:lang w:val="en-US" w:eastAsia="ko-KR"/>
        </w:rPr>
        <w:t>.</w:t>
      </w:r>
    </w:p>
    <w:p w14:paraId="75B4FD82" w14:textId="766301C1" w:rsidR="005F5D81" w:rsidRDefault="00E43C14" w:rsidP="0016380F">
      <w:pPr>
        <w:rPr>
          <w:rFonts w:eastAsia="Batang"/>
          <w:lang w:val="en-US" w:eastAsia="ko-KR"/>
        </w:rPr>
      </w:pPr>
      <w:r>
        <w:rPr>
          <w:rFonts w:eastAsia="Batang"/>
          <w:lang w:val="en-US" w:eastAsia="ko-KR"/>
        </w:rPr>
        <w:t>In other words, a subset of the TCI codepoints may correspond to DL TCI states and another subset may correspond to UL TCI states. UL-only TCI state update can be achieved by indicating by DCI format 1_1 or 1_2 by indicating a TCI codepoint that corresponds to an TCI state that has been activated as an UL TCI state.</w:t>
      </w:r>
      <w:r w:rsidR="004C38CE">
        <w:rPr>
          <w:rFonts w:eastAsia="Batang"/>
          <w:lang w:val="en-US" w:eastAsia="ko-KR"/>
        </w:rPr>
        <w:t xml:space="preserve"> Consequently, for separate DL/UL beam indication, an UL-only beam indication using DCI format 1_1 or 1_2 can be achieved by indicating a TCI codepoint that corresponds to an UL TCI state.</w:t>
      </w:r>
    </w:p>
    <w:p w14:paraId="48EEC7B1" w14:textId="1021E25F" w:rsidR="004C38CE" w:rsidRPr="0002575E" w:rsidRDefault="004C38CE" w:rsidP="0002575E">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0E2E19">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F</w:t>
      </w:r>
      <w:r w:rsidRPr="004C38CE">
        <w:rPr>
          <w:rFonts w:eastAsia="Batang"/>
          <w:b/>
          <w:iCs/>
          <w:szCs w:val="22"/>
          <w:lang w:val="en-US" w:eastAsia="ko-KR"/>
        </w:rPr>
        <w:t>or separate DL/UL beam indication</w:t>
      </w:r>
      <w:r>
        <w:rPr>
          <w:rFonts w:eastAsia="Batang"/>
          <w:b/>
          <w:iCs/>
          <w:szCs w:val="22"/>
          <w:lang w:val="en-US" w:eastAsia="ko-KR"/>
        </w:rPr>
        <w:t xml:space="preserve"> using DCI format 1_1/1_2</w:t>
      </w:r>
      <w:r w:rsidRPr="004C38CE">
        <w:rPr>
          <w:rFonts w:eastAsia="Batang"/>
          <w:b/>
          <w:iCs/>
          <w:szCs w:val="22"/>
          <w:lang w:val="en-US" w:eastAsia="ko-KR"/>
        </w:rPr>
        <w:t>, an UL-only beam indication can be achieved by indicating a TCI codepoint that corresponds to an UL TCI</w:t>
      </w:r>
      <w:r>
        <w:rPr>
          <w:rFonts w:eastAsia="Batang"/>
          <w:b/>
          <w:iCs/>
          <w:szCs w:val="22"/>
          <w:lang w:val="en-US" w:eastAsia="ko-KR"/>
        </w:rPr>
        <w:t xml:space="preserve"> state</w:t>
      </w:r>
      <w:r>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51F2C049" w:rsidR="002D3345" w:rsidRDefault="005D665C" w:rsidP="002020DF">
      <w:pPr>
        <w:rPr>
          <w:rFonts w:eastAsia="Batang"/>
          <w:bCs/>
          <w:iCs/>
          <w:lang w:val="en-US" w:eastAsia="ko-KR"/>
        </w:rPr>
      </w:pPr>
      <w:r w:rsidRPr="005D665C">
        <w:t xml:space="preserve">In this contribution, we considered aspects of </w:t>
      </w:r>
      <w:r w:rsidR="00320307">
        <w:t>multi-beam operation</w:t>
      </w:r>
      <w:r w:rsidRPr="005D665C">
        <w:t xml:space="preserve"> </w:t>
      </w:r>
      <w:r w:rsidR="00203BC3">
        <w:t>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4CF0BC1D" w14:textId="77777777" w:rsidR="000A6675"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Common QCL information can also apply to </w:t>
      </w:r>
      <w:r w:rsidRPr="0013405D">
        <w:rPr>
          <w:rFonts w:eastAsia="Batang"/>
          <w:b/>
          <w:szCs w:val="22"/>
          <w:lang w:val="en-US" w:eastAsia="ko-KR"/>
        </w:rPr>
        <w:t>CSI-RS resource for CSI</w:t>
      </w:r>
      <w:r>
        <w:rPr>
          <w:rFonts w:eastAsia="Batang"/>
          <w:b/>
          <w:szCs w:val="22"/>
          <w:lang w:val="en-US" w:eastAsia="ko-KR"/>
        </w:rPr>
        <w:t>.</w:t>
      </w:r>
    </w:p>
    <w:p w14:paraId="6902B31A" w14:textId="77777777" w:rsidR="000A6675"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M=2.</w:t>
      </w:r>
    </w:p>
    <w:p w14:paraId="5331B29E" w14:textId="77777777" w:rsidR="000A6675"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at least N=1. Further discuss N=2.</w:t>
      </w:r>
    </w:p>
    <w:p w14:paraId="0E6F58A5" w14:textId="77777777" w:rsidR="000A6675" w:rsidRPr="00004BBC" w:rsidRDefault="000A6675" w:rsidP="000A6675">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iCs/>
          <w:szCs w:val="22"/>
          <w:lang w:val="en-US" w:eastAsia="ko-KR"/>
        </w:rPr>
        <w:t xml:space="preserve">For the case of </w:t>
      </w:r>
      <w:r w:rsidRPr="0033471F">
        <w:rPr>
          <w:rFonts w:eastAsia="Batang"/>
          <w:b/>
          <w:iCs/>
          <w:szCs w:val="22"/>
          <w:lang w:val="en-US" w:eastAsia="ko-KR"/>
        </w:rPr>
        <w:t>separate DL and UL TCI state update</w:t>
      </w:r>
      <w:r>
        <w:rPr>
          <w:rFonts w:eastAsia="Batang"/>
          <w:b/>
          <w:iCs/>
          <w:szCs w:val="22"/>
          <w:lang w:val="en-US" w:eastAsia="ko-KR"/>
        </w:rPr>
        <w:t xml:space="preserve">, </w:t>
      </w:r>
      <w:r w:rsidRPr="00F318BF">
        <w:rPr>
          <w:rFonts w:eastAsia="Batang"/>
          <w:b/>
          <w:iCs/>
          <w:szCs w:val="22"/>
          <w:lang w:val="en-US" w:eastAsia="ko-KR"/>
        </w:rPr>
        <w:t xml:space="preserve">the UL TCI state is taken from </w:t>
      </w:r>
      <w:r>
        <w:rPr>
          <w:rFonts w:eastAsia="Batang"/>
          <w:b/>
          <w:iCs/>
          <w:szCs w:val="22"/>
          <w:lang w:val="en-US" w:eastAsia="ko-KR"/>
        </w:rPr>
        <w:t xml:space="preserve">the </w:t>
      </w:r>
      <w:r w:rsidRPr="00F318BF">
        <w:rPr>
          <w:rFonts w:eastAsia="Batang"/>
          <w:b/>
          <w:iCs/>
          <w:szCs w:val="22"/>
          <w:lang w:val="en-US" w:eastAsia="ko-KR"/>
        </w:rPr>
        <w:t xml:space="preserve">same TCI state pool </w:t>
      </w:r>
      <w:r>
        <w:rPr>
          <w:rFonts w:eastAsia="Batang"/>
          <w:b/>
          <w:iCs/>
          <w:szCs w:val="22"/>
          <w:lang w:val="en-US" w:eastAsia="ko-KR"/>
        </w:rPr>
        <w:t xml:space="preserve">as the </w:t>
      </w:r>
      <w:r w:rsidRPr="00F318BF">
        <w:rPr>
          <w:rFonts w:eastAsia="Batang"/>
          <w:b/>
          <w:iCs/>
          <w:szCs w:val="22"/>
          <w:lang w:val="en-US" w:eastAsia="ko-KR"/>
        </w:rPr>
        <w:t>DL TCI state</w:t>
      </w:r>
      <w:r>
        <w:rPr>
          <w:rFonts w:eastAsia="Batang"/>
          <w:b/>
          <w:iCs/>
          <w:szCs w:val="22"/>
          <w:lang w:val="en-US" w:eastAsia="ko-KR"/>
        </w:rPr>
        <w:t>.</w:t>
      </w:r>
    </w:p>
    <w:p w14:paraId="60A87407" w14:textId="77777777" w:rsidR="000A6675" w:rsidRDefault="000A6675" w:rsidP="000A6675">
      <w:pPr>
        <w:ind w:left="990" w:hanging="99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iCs/>
          <w:szCs w:val="22"/>
          <w:lang w:val="en-US" w:eastAsia="ko-KR"/>
        </w:rPr>
        <w:t>The UL TX beam can be determined from the source RS with QCL-TypeD in the TCI state.</w:t>
      </w:r>
    </w:p>
    <w:p w14:paraId="542D6DAF" w14:textId="77777777" w:rsidR="000A6675" w:rsidRPr="008832BB" w:rsidRDefault="000A6675" w:rsidP="000A6675">
      <w:pPr>
        <w:ind w:left="990" w:hanging="990"/>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382D5CBA" w14:textId="77777777" w:rsidR="000A6675" w:rsidRPr="004C3F7D" w:rsidRDefault="000A6675" w:rsidP="000A6675">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An additional DCI format dedicated for UL-only beam indication is not supported</w:t>
      </w:r>
      <w:r>
        <w:rPr>
          <w:rFonts w:eastAsia="Batang"/>
          <w:b/>
          <w:szCs w:val="22"/>
          <w:lang w:val="en-US" w:eastAsia="ko-KR"/>
        </w:rPr>
        <w:t>.</w:t>
      </w:r>
    </w:p>
    <w:p w14:paraId="3D82E5E0" w14:textId="77777777" w:rsidR="000A6675" w:rsidRPr="004C3F7D" w:rsidRDefault="000A6675" w:rsidP="000A6675">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A TCI state can be activated as a joint DL/UL TCI state, a DL TCI state or an UL TCI state</w:t>
      </w:r>
      <w:r>
        <w:rPr>
          <w:rFonts w:eastAsia="Batang"/>
          <w:b/>
          <w:szCs w:val="22"/>
          <w:lang w:val="en-US" w:eastAsia="ko-KR"/>
        </w:rPr>
        <w:t>.</w:t>
      </w:r>
    </w:p>
    <w:p w14:paraId="68C79D77" w14:textId="06B301CF" w:rsidR="000A6675" w:rsidRPr="0002575E" w:rsidRDefault="000A6675" w:rsidP="0002575E">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F</w:t>
      </w:r>
      <w:r w:rsidRPr="004C38CE">
        <w:rPr>
          <w:rFonts w:eastAsia="Batang"/>
          <w:b/>
          <w:iCs/>
          <w:szCs w:val="22"/>
          <w:lang w:val="en-US" w:eastAsia="ko-KR"/>
        </w:rPr>
        <w:t>or separate DL/UL beam indication</w:t>
      </w:r>
      <w:r>
        <w:rPr>
          <w:rFonts w:eastAsia="Batang"/>
          <w:b/>
          <w:iCs/>
          <w:szCs w:val="22"/>
          <w:lang w:val="en-US" w:eastAsia="ko-KR"/>
        </w:rPr>
        <w:t xml:space="preserve"> using DCI format 1_1/1_2</w:t>
      </w:r>
      <w:r w:rsidRPr="004C38CE">
        <w:rPr>
          <w:rFonts w:eastAsia="Batang"/>
          <w:b/>
          <w:iCs/>
          <w:szCs w:val="22"/>
          <w:lang w:val="en-US" w:eastAsia="ko-KR"/>
        </w:rPr>
        <w:t>, an UL-only beam indication can be achieved by indicating a TCI codepoint that corresponds to an UL TCI</w:t>
      </w:r>
      <w:r>
        <w:rPr>
          <w:rFonts w:eastAsia="Batang"/>
          <w:b/>
          <w:iCs/>
          <w:szCs w:val="22"/>
          <w:lang w:val="en-US" w:eastAsia="ko-KR"/>
        </w:rPr>
        <w:t xml:space="preserve"> state</w:t>
      </w:r>
      <w:r>
        <w:rPr>
          <w:rFonts w:eastAsia="Batang"/>
          <w:b/>
          <w:szCs w:val="22"/>
          <w:lang w:val="en-US" w:eastAsia="ko-KR"/>
        </w:rPr>
        <w:t>.</w:t>
      </w:r>
    </w:p>
    <w:p w14:paraId="2DA0C3AF" w14:textId="18544A81" w:rsidR="00A650EE" w:rsidRPr="00A650EE" w:rsidRDefault="00A650EE" w:rsidP="000D6FAC">
      <w:pPr>
        <w:pStyle w:val="Heading1"/>
        <w:spacing w:before="0" w:after="120"/>
      </w:pPr>
      <w:r w:rsidRPr="00A650EE">
        <w:t>Reference</w:t>
      </w:r>
      <w:r w:rsidR="004D29B6">
        <w:t>s</w:t>
      </w:r>
    </w:p>
    <w:p w14:paraId="3370F24E" w14:textId="05E90CC4"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1" w:name="_Ref528924709"/>
      <w:bookmarkStart w:id="2" w:name="_Ref47472804"/>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1"/>
      <w:bookmarkEnd w:id="2"/>
      <w:r w:rsidR="005B5FF5">
        <w:rPr>
          <w:rFonts w:ascii="Times New Roman" w:eastAsia="PMingLiU" w:hAnsi="Times New Roman" w:cs="Times New Roman"/>
          <w:color w:val="000000" w:themeColor="text1"/>
          <w:sz w:val="20"/>
        </w:rPr>
        <w:t>20</w:t>
      </w:r>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D5181" w14:textId="77777777" w:rsidR="000D1412" w:rsidRDefault="000D1412">
      <w:r>
        <w:separator/>
      </w:r>
    </w:p>
  </w:endnote>
  <w:endnote w:type="continuationSeparator" w:id="0">
    <w:p w14:paraId="38E60D89" w14:textId="77777777" w:rsidR="000D1412" w:rsidRDefault="000D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ED750" w14:textId="77777777" w:rsidR="000D1412" w:rsidRDefault="000D1412">
      <w:r>
        <w:separator/>
      </w:r>
    </w:p>
  </w:footnote>
  <w:footnote w:type="continuationSeparator" w:id="0">
    <w:p w14:paraId="029DE29E" w14:textId="77777777" w:rsidR="000D1412" w:rsidRDefault="000D1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3"/>
  </w:num>
  <w:num w:numId="5">
    <w:abstractNumId w:val="0"/>
  </w:num>
  <w:num w:numId="6">
    <w:abstractNumId w:val="7"/>
  </w:num>
  <w:num w:numId="7">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0"/>
  </w:num>
  <w:num w:numId="11">
    <w:abstractNumId w:val="12"/>
  </w:num>
  <w:num w:numId="12">
    <w:abstractNumId w:val="1"/>
  </w:num>
  <w:num w:numId="13">
    <w:abstractNumId w:val="6"/>
    <w:lvlOverride w:ilvl="0"/>
    <w:lvlOverride w:ilvl="1">
      <w:startOverride w:val="1"/>
    </w:lvlOverride>
    <w:lvlOverride w:ilvl="2"/>
    <w:lvlOverride w:ilvl="3"/>
    <w:lvlOverride w:ilvl="4"/>
    <w:lvlOverride w:ilvl="5"/>
    <w:lvlOverride w:ilvl="6"/>
    <w:lvlOverride w:ilvl="7"/>
    <w:lvlOverride w:ilvl="8"/>
  </w:num>
  <w:num w:numId="14">
    <w:abstractNumId w:val="6"/>
  </w:num>
  <w:num w:numId="15">
    <w:abstractNumId w:val="11"/>
  </w:num>
  <w:num w:numId="16">
    <w:abstractNumId w:val="16"/>
  </w:num>
  <w:num w:numId="17">
    <w:abstractNumId w:val="14"/>
  </w:num>
  <w:num w:numId="1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043E"/>
    <w:rsid w:val="00021505"/>
    <w:rsid w:val="00022641"/>
    <w:rsid w:val="00022E5D"/>
    <w:rsid w:val="00024B1D"/>
    <w:rsid w:val="0002575E"/>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5651A"/>
    <w:rsid w:val="0006095E"/>
    <w:rsid w:val="00060EA9"/>
    <w:rsid w:val="00061116"/>
    <w:rsid w:val="000626F5"/>
    <w:rsid w:val="00062DF5"/>
    <w:rsid w:val="000656E1"/>
    <w:rsid w:val="00065F7D"/>
    <w:rsid w:val="000674FE"/>
    <w:rsid w:val="0007151D"/>
    <w:rsid w:val="000716B0"/>
    <w:rsid w:val="00073F85"/>
    <w:rsid w:val="00074D8A"/>
    <w:rsid w:val="00077788"/>
    <w:rsid w:val="00077A26"/>
    <w:rsid w:val="00081884"/>
    <w:rsid w:val="0008211B"/>
    <w:rsid w:val="0008236D"/>
    <w:rsid w:val="00083978"/>
    <w:rsid w:val="000855C5"/>
    <w:rsid w:val="00085D8C"/>
    <w:rsid w:val="0008754B"/>
    <w:rsid w:val="000914B8"/>
    <w:rsid w:val="00091738"/>
    <w:rsid w:val="000950C5"/>
    <w:rsid w:val="00095157"/>
    <w:rsid w:val="00095298"/>
    <w:rsid w:val="000955F8"/>
    <w:rsid w:val="000A26C4"/>
    <w:rsid w:val="000A4A9E"/>
    <w:rsid w:val="000A50E4"/>
    <w:rsid w:val="000A6177"/>
    <w:rsid w:val="000A6675"/>
    <w:rsid w:val="000B13AF"/>
    <w:rsid w:val="000B5D47"/>
    <w:rsid w:val="000B7FB2"/>
    <w:rsid w:val="000C40EF"/>
    <w:rsid w:val="000C5B22"/>
    <w:rsid w:val="000C6E01"/>
    <w:rsid w:val="000C73DE"/>
    <w:rsid w:val="000D00F4"/>
    <w:rsid w:val="000D1412"/>
    <w:rsid w:val="000D27A6"/>
    <w:rsid w:val="000D37D3"/>
    <w:rsid w:val="000D496B"/>
    <w:rsid w:val="000D4D50"/>
    <w:rsid w:val="000D5BC8"/>
    <w:rsid w:val="000D6FAC"/>
    <w:rsid w:val="000E0AD8"/>
    <w:rsid w:val="000E2E19"/>
    <w:rsid w:val="000E49FF"/>
    <w:rsid w:val="000E4F61"/>
    <w:rsid w:val="000F1176"/>
    <w:rsid w:val="000F1BFC"/>
    <w:rsid w:val="000F1D8D"/>
    <w:rsid w:val="000F2AFF"/>
    <w:rsid w:val="000F2BAC"/>
    <w:rsid w:val="000F354D"/>
    <w:rsid w:val="000F421F"/>
    <w:rsid w:val="000F507D"/>
    <w:rsid w:val="0010131F"/>
    <w:rsid w:val="0010140B"/>
    <w:rsid w:val="001052F3"/>
    <w:rsid w:val="001064FA"/>
    <w:rsid w:val="00111482"/>
    <w:rsid w:val="0011533B"/>
    <w:rsid w:val="0012018B"/>
    <w:rsid w:val="00131B39"/>
    <w:rsid w:val="0013382B"/>
    <w:rsid w:val="0013405D"/>
    <w:rsid w:val="00140681"/>
    <w:rsid w:val="00141A9E"/>
    <w:rsid w:val="001447A7"/>
    <w:rsid w:val="00145D40"/>
    <w:rsid w:val="00146D58"/>
    <w:rsid w:val="00147878"/>
    <w:rsid w:val="00153720"/>
    <w:rsid w:val="00153B57"/>
    <w:rsid w:val="0015426C"/>
    <w:rsid w:val="0015653D"/>
    <w:rsid w:val="00160DCF"/>
    <w:rsid w:val="0016320C"/>
    <w:rsid w:val="0016380F"/>
    <w:rsid w:val="001669AF"/>
    <w:rsid w:val="00167063"/>
    <w:rsid w:val="00167220"/>
    <w:rsid w:val="00167285"/>
    <w:rsid w:val="00167F51"/>
    <w:rsid w:val="00171758"/>
    <w:rsid w:val="00171F92"/>
    <w:rsid w:val="00172636"/>
    <w:rsid w:val="00172677"/>
    <w:rsid w:val="001760E5"/>
    <w:rsid w:val="00185133"/>
    <w:rsid w:val="00186EBA"/>
    <w:rsid w:val="00187149"/>
    <w:rsid w:val="00187541"/>
    <w:rsid w:val="00187738"/>
    <w:rsid w:val="00191A01"/>
    <w:rsid w:val="00191E2D"/>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C4501"/>
    <w:rsid w:val="001D0B5E"/>
    <w:rsid w:val="001D4151"/>
    <w:rsid w:val="001D6C8D"/>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60E3"/>
    <w:rsid w:val="002372D7"/>
    <w:rsid w:val="00237D50"/>
    <w:rsid w:val="002409F4"/>
    <w:rsid w:val="00242995"/>
    <w:rsid w:val="002441DB"/>
    <w:rsid w:val="00252218"/>
    <w:rsid w:val="002522C6"/>
    <w:rsid w:val="0025363F"/>
    <w:rsid w:val="0025464A"/>
    <w:rsid w:val="002609A6"/>
    <w:rsid w:val="002628AB"/>
    <w:rsid w:val="00263E95"/>
    <w:rsid w:val="00264F06"/>
    <w:rsid w:val="002657E1"/>
    <w:rsid w:val="00266C98"/>
    <w:rsid w:val="00267C3C"/>
    <w:rsid w:val="00273ABF"/>
    <w:rsid w:val="002748B2"/>
    <w:rsid w:val="00275516"/>
    <w:rsid w:val="00282603"/>
    <w:rsid w:val="0029241C"/>
    <w:rsid w:val="0029577D"/>
    <w:rsid w:val="00296489"/>
    <w:rsid w:val="002A244E"/>
    <w:rsid w:val="002A4DB3"/>
    <w:rsid w:val="002A56D3"/>
    <w:rsid w:val="002A62EA"/>
    <w:rsid w:val="002A7310"/>
    <w:rsid w:val="002A7871"/>
    <w:rsid w:val="002B21C8"/>
    <w:rsid w:val="002B22E3"/>
    <w:rsid w:val="002B3C03"/>
    <w:rsid w:val="002B4F54"/>
    <w:rsid w:val="002B5C4F"/>
    <w:rsid w:val="002B5EBB"/>
    <w:rsid w:val="002B728D"/>
    <w:rsid w:val="002C554E"/>
    <w:rsid w:val="002D0FA4"/>
    <w:rsid w:val="002D0FF9"/>
    <w:rsid w:val="002D2246"/>
    <w:rsid w:val="002D32BE"/>
    <w:rsid w:val="002D3345"/>
    <w:rsid w:val="002D40BC"/>
    <w:rsid w:val="002D49E1"/>
    <w:rsid w:val="002E166E"/>
    <w:rsid w:val="002E5B38"/>
    <w:rsid w:val="002E68AC"/>
    <w:rsid w:val="002F2971"/>
    <w:rsid w:val="002F4A9B"/>
    <w:rsid w:val="002F50E7"/>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7E"/>
    <w:rsid w:val="003318CF"/>
    <w:rsid w:val="00333875"/>
    <w:rsid w:val="0033471F"/>
    <w:rsid w:val="00335638"/>
    <w:rsid w:val="0034187F"/>
    <w:rsid w:val="00342A22"/>
    <w:rsid w:val="00342F9F"/>
    <w:rsid w:val="0034698C"/>
    <w:rsid w:val="00350B4E"/>
    <w:rsid w:val="00352982"/>
    <w:rsid w:val="003540FE"/>
    <w:rsid w:val="00354940"/>
    <w:rsid w:val="00356541"/>
    <w:rsid w:val="0035657A"/>
    <w:rsid w:val="003567E2"/>
    <w:rsid w:val="00361A94"/>
    <w:rsid w:val="003666FB"/>
    <w:rsid w:val="003673C1"/>
    <w:rsid w:val="00367BD7"/>
    <w:rsid w:val="00372E07"/>
    <w:rsid w:val="00374EF2"/>
    <w:rsid w:val="0037504A"/>
    <w:rsid w:val="003752FD"/>
    <w:rsid w:val="00377439"/>
    <w:rsid w:val="00383AFB"/>
    <w:rsid w:val="003840BD"/>
    <w:rsid w:val="003856BC"/>
    <w:rsid w:val="00386636"/>
    <w:rsid w:val="003924C5"/>
    <w:rsid w:val="003A05C1"/>
    <w:rsid w:val="003A0958"/>
    <w:rsid w:val="003A4AC7"/>
    <w:rsid w:val="003A675E"/>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6639"/>
    <w:rsid w:val="003F1A6C"/>
    <w:rsid w:val="003F20B7"/>
    <w:rsid w:val="003F2578"/>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78"/>
    <w:rsid w:val="00447DE7"/>
    <w:rsid w:val="00450F5F"/>
    <w:rsid w:val="004523AC"/>
    <w:rsid w:val="004554F3"/>
    <w:rsid w:val="004607C3"/>
    <w:rsid w:val="00461C38"/>
    <w:rsid w:val="004631FB"/>
    <w:rsid w:val="004636A7"/>
    <w:rsid w:val="00463A51"/>
    <w:rsid w:val="00464453"/>
    <w:rsid w:val="00466D99"/>
    <w:rsid w:val="00466DEE"/>
    <w:rsid w:val="00466EF0"/>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8CE"/>
    <w:rsid w:val="004C3F7D"/>
    <w:rsid w:val="004C52B0"/>
    <w:rsid w:val="004C6229"/>
    <w:rsid w:val="004D1205"/>
    <w:rsid w:val="004D29B6"/>
    <w:rsid w:val="004D30A1"/>
    <w:rsid w:val="004D67EC"/>
    <w:rsid w:val="004D7818"/>
    <w:rsid w:val="004E257E"/>
    <w:rsid w:val="004E2EEE"/>
    <w:rsid w:val="004E39AF"/>
    <w:rsid w:val="004E5D0A"/>
    <w:rsid w:val="004F6086"/>
    <w:rsid w:val="004F657E"/>
    <w:rsid w:val="004F7473"/>
    <w:rsid w:val="004F7DF7"/>
    <w:rsid w:val="005072FC"/>
    <w:rsid w:val="005079EB"/>
    <w:rsid w:val="0051216D"/>
    <w:rsid w:val="00512E3B"/>
    <w:rsid w:val="00517545"/>
    <w:rsid w:val="00521D95"/>
    <w:rsid w:val="005225C5"/>
    <w:rsid w:val="00525DAB"/>
    <w:rsid w:val="0053076A"/>
    <w:rsid w:val="00532F9A"/>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5D81"/>
    <w:rsid w:val="005F6E51"/>
    <w:rsid w:val="005F6EB2"/>
    <w:rsid w:val="00600805"/>
    <w:rsid w:val="006016E9"/>
    <w:rsid w:val="00602F21"/>
    <w:rsid w:val="0060347B"/>
    <w:rsid w:val="00605FA3"/>
    <w:rsid w:val="00607022"/>
    <w:rsid w:val="006140F5"/>
    <w:rsid w:val="0061417F"/>
    <w:rsid w:val="00614D21"/>
    <w:rsid w:val="00615492"/>
    <w:rsid w:val="006165AD"/>
    <w:rsid w:val="006204C2"/>
    <w:rsid w:val="006207AF"/>
    <w:rsid w:val="00620E89"/>
    <w:rsid w:val="00621ACC"/>
    <w:rsid w:val="00621C05"/>
    <w:rsid w:val="0062449A"/>
    <w:rsid w:val="00630F3A"/>
    <w:rsid w:val="00634154"/>
    <w:rsid w:val="00635ABD"/>
    <w:rsid w:val="0063639A"/>
    <w:rsid w:val="0063778E"/>
    <w:rsid w:val="0064095D"/>
    <w:rsid w:val="0064198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6D77"/>
    <w:rsid w:val="006C3FEE"/>
    <w:rsid w:val="006C649A"/>
    <w:rsid w:val="006D0BF7"/>
    <w:rsid w:val="006D4CEC"/>
    <w:rsid w:val="006E01B4"/>
    <w:rsid w:val="006E4459"/>
    <w:rsid w:val="006E4518"/>
    <w:rsid w:val="006E5968"/>
    <w:rsid w:val="006E5DD2"/>
    <w:rsid w:val="006F1E5A"/>
    <w:rsid w:val="006F458B"/>
    <w:rsid w:val="006F4D73"/>
    <w:rsid w:val="006F55A6"/>
    <w:rsid w:val="006F73F9"/>
    <w:rsid w:val="00700FCA"/>
    <w:rsid w:val="00703627"/>
    <w:rsid w:val="00703E09"/>
    <w:rsid w:val="00705C2B"/>
    <w:rsid w:val="00706291"/>
    <w:rsid w:val="00712B4E"/>
    <w:rsid w:val="00713B04"/>
    <w:rsid w:val="00713B1C"/>
    <w:rsid w:val="007140D2"/>
    <w:rsid w:val="00714AF3"/>
    <w:rsid w:val="007150A9"/>
    <w:rsid w:val="00715BF3"/>
    <w:rsid w:val="00720387"/>
    <w:rsid w:val="0072141F"/>
    <w:rsid w:val="00721DA7"/>
    <w:rsid w:val="00722572"/>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0DEA"/>
    <w:rsid w:val="00775B3C"/>
    <w:rsid w:val="007766E7"/>
    <w:rsid w:val="007816A0"/>
    <w:rsid w:val="007822D8"/>
    <w:rsid w:val="00782D32"/>
    <w:rsid w:val="00786B7C"/>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1F09"/>
    <w:rsid w:val="007E3CA1"/>
    <w:rsid w:val="007E42CC"/>
    <w:rsid w:val="007F3E89"/>
    <w:rsid w:val="007F5921"/>
    <w:rsid w:val="007F6CBE"/>
    <w:rsid w:val="0080150C"/>
    <w:rsid w:val="00801B7D"/>
    <w:rsid w:val="0080303A"/>
    <w:rsid w:val="00804A00"/>
    <w:rsid w:val="00804AC2"/>
    <w:rsid w:val="00804ACD"/>
    <w:rsid w:val="00806977"/>
    <w:rsid w:val="00806ACE"/>
    <w:rsid w:val="008071D9"/>
    <w:rsid w:val="00807AFB"/>
    <w:rsid w:val="0081071B"/>
    <w:rsid w:val="008114B2"/>
    <w:rsid w:val="0081272E"/>
    <w:rsid w:val="008127C1"/>
    <w:rsid w:val="00820F09"/>
    <w:rsid w:val="00821262"/>
    <w:rsid w:val="00821C45"/>
    <w:rsid w:val="00821CE8"/>
    <w:rsid w:val="008232FC"/>
    <w:rsid w:val="00824394"/>
    <w:rsid w:val="008243D3"/>
    <w:rsid w:val="008254B6"/>
    <w:rsid w:val="008265BA"/>
    <w:rsid w:val="008268F1"/>
    <w:rsid w:val="00832094"/>
    <w:rsid w:val="008325D3"/>
    <w:rsid w:val="00833404"/>
    <w:rsid w:val="00834051"/>
    <w:rsid w:val="00837728"/>
    <w:rsid w:val="00842B97"/>
    <w:rsid w:val="00844138"/>
    <w:rsid w:val="00846A90"/>
    <w:rsid w:val="00846A9B"/>
    <w:rsid w:val="00847425"/>
    <w:rsid w:val="00850F01"/>
    <w:rsid w:val="00855868"/>
    <w:rsid w:val="00861449"/>
    <w:rsid w:val="00861C54"/>
    <w:rsid w:val="00861CE7"/>
    <w:rsid w:val="00864599"/>
    <w:rsid w:val="00871771"/>
    <w:rsid w:val="00871C72"/>
    <w:rsid w:val="008720A5"/>
    <w:rsid w:val="00872874"/>
    <w:rsid w:val="00875276"/>
    <w:rsid w:val="0087679A"/>
    <w:rsid w:val="00876F4B"/>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3666"/>
    <w:rsid w:val="008D4447"/>
    <w:rsid w:val="008D530F"/>
    <w:rsid w:val="008E4BDE"/>
    <w:rsid w:val="008E4BED"/>
    <w:rsid w:val="008F5451"/>
    <w:rsid w:val="00901A38"/>
    <w:rsid w:val="00903880"/>
    <w:rsid w:val="00904CBF"/>
    <w:rsid w:val="009072FB"/>
    <w:rsid w:val="00907EBD"/>
    <w:rsid w:val="009149C6"/>
    <w:rsid w:val="00914FD3"/>
    <w:rsid w:val="0092466A"/>
    <w:rsid w:val="00931755"/>
    <w:rsid w:val="00932113"/>
    <w:rsid w:val="00932371"/>
    <w:rsid w:val="0093245F"/>
    <w:rsid w:val="00933BFF"/>
    <w:rsid w:val="009404A5"/>
    <w:rsid w:val="00940ED3"/>
    <w:rsid w:val="0094595C"/>
    <w:rsid w:val="00945D2B"/>
    <w:rsid w:val="00946429"/>
    <w:rsid w:val="00947740"/>
    <w:rsid w:val="00953495"/>
    <w:rsid w:val="009548B8"/>
    <w:rsid w:val="0095582D"/>
    <w:rsid w:val="0096105B"/>
    <w:rsid w:val="009623EE"/>
    <w:rsid w:val="00963C8F"/>
    <w:rsid w:val="0096456E"/>
    <w:rsid w:val="009671DC"/>
    <w:rsid w:val="00970ADB"/>
    <w:rsid w:val="00971151"/>
    <w:rsid w:val="00973CE5"/>
    <w:rsid w:val="00974811"/>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E33"/>
    <w:rsid w:val="009A4F65"/>
    <w:rsid w:val="009B2E97"/>
    <w:rsid w:val="009B75D2"/>
    <w:rsid w:val="009C3031"/>
    <w:rsid w:val="009C5D61"/>
    <w:rsid w:val="009C6E6E"/>
    <w:rsid w:val="009D5348"/>
    <w:rsid w:val="009D7759"/>
    <w:rsid w:val="009D7B86"/>
    <w:rsid w:val="009E0903"/>
    <w:rsid w:val="009E0CF4"/>
    <w:rsid w:val="009E1249"/>
    <w:rsid w:val="009E3D47"/>
    <w:rsid w:val="009E43C5"/>
    <w:rsid w:val="009E703D"/>
    <w:rsid w:val="009F0DC4"/>
    <w:rsid w:val="009F44B1"/>
    <w:rsid w:val="00A02943"/>
    <w:rsid w:val="00A02E18"/>
    <w:rsid w:val="00A0741E"/>
    <w:rsid w:val="00A07508"/>
    <w:rsid w:val="00A07B65"/>
    <w:rsid w:val="00A10CD0"/>
    <w:rsid w:val="00A1110C"/>
    <w:rsid w:val="00A16566"/>
    <w:rsid w:val="00A2299C"/>
    <w:rsid w:val="00A23578"/>
    <w:rsid w:val="00A23793"/>
    <w:rsid w:val="00A2457E"/>
    <w:rsid w:val="00A31B85"/>
    <w:rsid w:val="00A3212F"/>
    <w:rsid w:val="00A33D88"/>
    <w:rsid w:val="00A3558F"/>
    <w:rsid w:val="00A361F7"/>
    <w:rsid w:val="00A369D2"/>
    <w:rsid w:val="00A3704A"/>
    <w:rsid w:val="00A40EFB"/>
    <w:rsid w:val="00A4122B"/>
    <w:rsid w:val="00A42342"/>
    <w:rsid w:val="00A43392"/>
    <w:rsid w:val="00A44733"/>
    <w:rsid w:val="00A45A88"/>
    <w:rsid w:val="00A548A1"/>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36E6"/>
    <w:rsid w:val="00AB43C0"/>
    <w:rsid w:val="00AB4813"/>
    <w:rsid w:val="00AB5791"/>
    <w:rsid w:val="00AB6B86"/>
    <w:rsid w:val="00AC0AE7"/>
    <w:rsid w:val="00AC1095"/>
    <w:rsid w:val="00AC3C67"/>
    <w:rsid w:val="00AC45F7"/>
    <w:rsid w:val="00AC4E42"/>
    <w:rsid w:val="00AC70DF"/>
    <w:rsid w:val="00AD041A"/>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36"/>
    <w:rsid w:val="00B329B4"/>
    <w:rsid w:val="00B33471"/>
    <w:rsid w:val="00B41368"/>
    <w:rsid w:val="00B422FF"/>
    <w:rsid w:val="00B46F66"/>
    <w:rsid w:val="00B50D27"/>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B3D"/>
    <w:rsid w:val="00B77F6C"/>
    <w:rsid w:val="00B80C99"/>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1D29"/>
    <w:rsid w:val="00BE27C3"/>
    <w:rsid w:val="00BE628F"/>
    <w:rsid w:val="00BE67A0"/>
    <w:rsid w:val="00BE6ABC"/>
    <w:rsid w:val="00BE70BC"/>
    <w:rsid w:val="00BF00F3"/>
    <w:rsid w:val="00BF0E08"/>
    <w:rsid w:val="00BF1C6E"/>
    <w:rsid w:val="00BF37A6"/>
    <w:rsid w:val="00BF391D"/>
    <w:rsid w:val="00C00954"/>
    <w:rsid w:val="00C00997"/>
    <w:rsid w:val="00C01BD3"/>
    <w:rsid w:val="00C113F6"/>
    <w:rsid w:val="00C23138"/>
    <w:rsid w:val="00C260CD"/>
    <w:rsid w:val="00C26EA8"/>
    <w:rsid w:val="00C27918"/>
    <w:rsid w:val="00C31008"/>
    <w:rsid w:val="00C31DA7"/>
    <w:rsid w:val="00C31FCB"/>
    <w:rsid w:val="00C33066"/>
    <w:rsid w:val="00C33A64"/>
    <w:rsid w:val="00C37233"/>
    <w:rsid w:val="00C40DB0"/>
    <w:rsid w:val="00C40F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7022E"/>
    <w:rsid w:val="00C70E00"/>
    <w:rsid w:val="00C71F3C"/>
    <w:rsid w:val="00C71F7F"/>
    <w:rsid w:val="00C73DDF"/>
    <w:rsid w:val="00C7417D"/>
    <w:rsid w:val="00C83260"/>
    <w:rsid w:val="00C93F92"/>
    <w:rsid w:val="00C94273"/>
    <w:rsid w:val="00C962D4"/>
    <w:rsid w:val="00CA2985"/>
    <w:rsid w:val="00CA320E"/>
    <w:rsid w:val="00CA4AD1"/>
    <w:rsid w:val="00CA74DA"/>
    <w:rsid w:val="00CA7687"/>
    <w:rsid w:val="00CA7D84"/>
    <w:rsid w:val="00CB1B6A"/>
    <w:rsid w:val="00CB32AF"/>
    <w:rsid w:val="00CB5B92"/>
    <w:rsid w:val="00CC26B7"/>
    <w:rsid w:val="00CC6447"/>
    <w:rsid w:val="00CC6E1F"/>
    <w:rsid w:val="00CD1E4D"/>
    <w:rsid w:val="00CD2ADC"/>
    <w:rsid w:val="00CD3705"/>
    <w:rsid w:val="00CD3811"/>
    <w:rsid w:val="00CD672F"/>
    <w:rsid w:val="00CD7558"/>
    <w:rsid w:val="00CD77C0"/>
    <w:rsid w:val="00CE58D7"/>
    <w:rsid w:val="00CE5F34"/>
    <w:rsid w:val="00CE73F6"/>
    <w:rsid w:val="00CF2ABA"/>
    <w:rsid w:val="00CF3D40"/>
    <w:rsid w:val="00CF5B94"/>
    <w:rsid w:val="00D00ED0"/>
    <w:rsid w:val="00D0127D"/>
    <w:rsid w:val="00D03252"/>
    <w:rsid w:val="00D04C7A"/>
    <w:rsid w:val="00D06481"/>
    <w:rsid w:val="00D067A0"/>
    <w:rsid w:val="00D067A6"/>
    <w:rsid w:val="00D06D4B"/>
    <w:rsid w:val="00D10DFD"/>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813"/>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B1"/>
    <w:rsid w:val="00E33AF8"/>
    <w:rsid w:val="00E34777"/>
    <w:rsid w:val="00E34FE4"/>
    <w:rsid w:val="00E35011"/>
    <w:rsid w:val="00E36916"/>
    <w:rsid w:val="00E415C0"/>
    <w:rsid w:val="00E4229D"/>
    <w:rsid w:val="00E43C14"/>
    <w:rsid w:val="00E43E4F"/>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8D1"/>
    <w:rsid w:val="00E73DD1"/>
    <w:rsid w:val="00E74E37"/>
    <w:rsid w:val="00E774F8"/>
    <w:rsid w:val="00E80548"/>
    <w:rsid w:val="00E822F4"/>
    <w:rsid w:val="00E8262A"/>
    <w:rsid w:val="00E8584B"/>
    <w:rsid w:val="00E87580"/>
    <w:rsid w:val="00E913DC"/>
    <w:rsid w:val="00E94688"/>
    <w:rsid w:val="00E95F7C"/>
    <w:rsid w:val="00E961B7"/>
    <w:rsid w:val="00EA0F49"/>
    <w:rsid w:val="00EA4532"/>
    <w:rsid w:val="00EA4CA8"/>
    <w:rsid w:val="00EA50F2"/>
    <w:rsid w:val="00EA5108"/>
    <w:rsid w:val="00EA712B"/>
    <w:rsid w:val="00EB16FB"/>
    <w:rsid w:val="00EB18E4"/>
    <w:rsid w:val="00EB2671"/>
    <w:rsid w:val="00EB7CDB"/>
    <w:rsid w:val="00EC105A"/>
    <w:rsid w:val="00EC5E9C"/>
    <w:rsid w:val="00EC733C"/>
    <w:rsid w:val="00ED1C01"/>
    <w:rsid w:val="00ED1E62"/>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30E6"/>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40CB9"/>
    <w:rsid w:val="00F41C53"/>
    <w:rsid w:val="00F44FBF"/>
    <w:rsid w:val="00F45429"/>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1C"/>
    <w:rsid w:val="00F7115E"/>
    <w:rsid w:val="00F72B40"/>
    <w:rsid w:val="00F737F5"/>
    <w:rsid w:val="00F73CD0"/>
    <w:rsid w:val="00F76D95"/>
    <w:rsid w:val="00F80282"/>
    <w:rsid w:val="00F81DEF"/>
    <w:rsid w:val="00F8561A"/>
    <w:rsid w:val="00F87D63"/>
    <w:rsid w:val="00F92BF4"/>
    <w:rsid w:val="00F9440D"/>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71ED2-9E56-48B5-BABF-FBE7A3C9C48E}">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32018A4-D1FD-4177-A9C9-50A7C9C5CE48}">
  <ds:schemaRefs>
    <ds:schemaRef ds:uri="http://schemas.openxmlformats.org/package/2006/metadata/core-properties"/>
    <ds:schemaRef ds:uri="http://purl.org/dc/dcmitype/"/>
    <ds:schemaRef ds:uri="d78def48-27c6-4979-bba9-c862a2df76a0"/>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2733</Words>
  <Characters>15582</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2021-01-19T04:24:00Z</dcterms:created>
  <dcterms:modified xsi:type="dcterms:W3CDTF">2021-01-19T04:24:00Z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