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6AD28E02"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720519" w:rsidRPr="002B5A22">
        <w:rPr>
          <w:rFonts w:ascii="Arial" w:eastAsia="Batang" w:hAnsi="Arial" w:cs="Arial"/>
          <w:b/>
          <w:bCs/>
          <w:sz w:val="28"/>
        </w:rPr>
        <w:t>2</w:t>
      </w:r>
      <w:r w:rsidR="00720519">
        <w:rPr>
          <w:rFonts w:ascii="Arial" w:eastAsia="Batang" w:hAnsi="Arial" w:cs="Arial"/>
          <w:b/>
          <w:bCs/>
          <w:sz w:val="28"/>
        </w:rPr>
        <w:t>1</w:t>
      </w:r>
      <w:r w:rsidR="00720519" w:rsidRPr="002B5A22">
        <w:rPr>
          <w:rFonts w:ascii="Arial" w:eastAsia="Batang" w:hAnsi="Arial" w:cs="Arial"/>
          <w:b/>
          <w:bCs/>
          <w:sz w:val="28"/>
        </w:rPr>
        <w:t>0</w:t>
      </w:r>
      <w:r w:rsidR="00720519">
        <w:rPr>
          <w:rFonts w:ascii="Arial" w:eastAsia="Batang" w:hAnsi="Arial" w:cs="Arial"/>
          <w:b/>
          <w:bCs/>
          <w:sz w:val="28"/>
        </w:rPr>
        <w:t>1403</w:t>
      </w:r>
    </w:p>
    <w:p w14:paraId="3229E508" w14:textId="194E25B7"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F90399">
        <w:rPr>
          <w:rFonts w:ascii="Arial" w:eastAsia="MS Mincho" w:hAnsi="Arial" w:cs="Arial"/>
          <w:b/>
          <w:bCs/>
          <w:sz w:val="28"/>
          <w:lang w:eastAsia="ja-JP"/>
        </w:rPr>
        <w:t>January</w:t>
      </w:r>
      <w:r w:rsidR="009E55C1" w:rsidRPr="002B5A22">
        <w:rPr>
          <w:rFonts w:ascii="Arial" w:eastAsia="MS Mincho" w:hAnsi="Arial" w:cs="Arial"/>
          <w:b/>
          <w:bCs/>
          <w:sz w:val="28"/>
          <w:lang w:eastAsia="ja-JP"/>
        </w:rPr>
        <w:t xml:space="preserve"> 2</w:t>
      </w:r>
      <w:r w:rsidR="00F90399">
        <w:rPr>
          <w:rFonts w:ascii="Arial" w:eastAsia="MS Mincho" w:hAnsi="Arial" w:cs="Arial"/>
          <w:b/>
          <w:bCs/>
          <w:sz w:val="28"/>
          <w:lang w:eastAsia="ja-JP"/>
        </w:rPr>
        <w:t>5</w:t>
      </w:r>
      <w:r w:rsidR="009E55C1" w:rsidRPr="002B5A22">
        <w:rPr>
          <w:rFonts w:ascii="Arial" w:eastAsia="MS Mincho" w:hAnsi="Arial" w:cs="Arial"/>
          <w:b/>
          <w:bCs/>
          <w:sz w:val="28"/>
          <w:vertAlign w:val="superscript"/>
          <w:lang w:eastAsia="ja-JP"/>
        </w:rPr>
        <w:t>th</w:t>
      </w:r>
      <w:r w:rsidR="009E55C1" w:rsidRPr="002B5A22">
        <w:rPr>
          <w:rFonts w:ascii="Arial" w:eastAsia="MS Mincho" w:hAnsi="Arial" w:cs="Arial"/>
          <w:b/>
          <w:bCs/>
          <w:sz w:val="28"/>
          <w:lang w:eastAsia="ja-JP"/>
        </w:rPr>
        <w:t xml:space="preserve"> – </w:t>
      </w:r>
      <w:r w:rsidR="00F90399">
        <w:rPr>
          <w:rFonts w:ascii="Arial" w:eastAsia="MS Mincho" w:hAnsi="Arial" w:cs="Arial"/>
          <w:b/>
          <w:bCs/>
          <w:sz w:val="28"/>
          <w:lang w:eastAsia="ja-JP"/>
        </w:rPr>
        <w:t>February</w:t>
      </w:r>
      <w:r w:rsidR="009E55C1" w:rsidRPr="002B5A22">
        <w:rPr>
          <w:rFonts w:ascii="Arial" w:eastAsia="MS Mincho" w:hAnsi="Arial" w:cs="Arial"/>
          <w:b/>
          <w:bCs/>
          <w:sz w:val="28"/>
          <w:lang w:eastAsia="ja-JP"/>
        </w:rPr>
        <w:t xml:space="preserve"> </w:t>
      </w:r>
      <w:r w:rsidR="00F90399">
        <w:rPr>
          <w:rFonts w:ascii="Arial" w:eastAsia="MS Mincho" w:hAnsi="Arial" w:cs="Arial"/>
          <w:b/>
          <w:bCs/>
          <w:sz w:val="28"/>
          <w:lang w:eastAsia="ja-JP"/>
        </w:rPr>
        <w:t>5</w:t>
      </w:r>
      <w:r w:rsidR="00F90399"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0D159A">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ED3D468"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BA55AC">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A505EB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 xml:space="preserve">On </w:t>
      </w:r>
      <w:r w:rsidR="009E55C1">
        <w:rPr>
          <w:rFonts w:ascii="Arial" w:hAnsi="Arial" w:cs="Arial"/>
          <w:b/>
          <w:bCs/>
        </w:rPr>
        <w:t>timing relationship</w:t>
      </w:r>
      <w:r w:rsidR="00BA55AC">
        <w:rPr>
          <w:rFonts w:ascii="Arial" w:hAnsi="Arial" w:cs="Arial"/>
          <w:b/>
          <w:bCs/>
        </w:rPr>
        <w:t xml:space="preserve"> enhancement</w:t>
      </w:r>
      <w:r w:rsidR="0078522C">
        <w:rPr>
          <w:rFonts w:ascii="Arial" w:hAnsi="Arial" w:cs="Arial"/>
          <w:b/>
          <w:bCs/>
        </w:rPr>
        <w:t xml:space="preserve"> 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77777777" w:rsidR="005A500F" w:rsidRPr="00416213" w:rsidRDefault="005A500F" w:rsidP="00416213">
      <w:pPr>
        <w:jc w:val="both"/>
        <w:rPr>
          <w:rFonts w:ascii="Arial" w:hAnsi="Arial" w:cs="Arial"/>
        </w:rPr>
      </w:pPr>
      <w:r w:rsidRPr="00416213">
        <w:rPr>
          <w:rFonts w:ascii="Arial" w:hAnsi="Arial" w:cs="Arial"/>
        </w:rPr>
        <w:t>In RAN#86, a new study item on NB-IoT/eMTC support for non-terrestrial networks was approved with the following RAN1 objectives [1]:</w:t>
      </w:r>
    </w:p>
    <w:p w14:paraId="2CA93D7A" w14:textId="77777777" w:rsidR="005A500F" w:rsidRDefault="005A500F" w:rsidP="005A500F">
      <w:pPr>
        <w:ind w:left="284"/>
        <w:rPr>
          <w:rFonts w:ascii="Arial" w:hAnsi="Arial" w:cs="Arial"/>
          <w:i/>
        </w:rPr>
      </w:pPr>
    </w:p>
    <w:p w14:paraId="7AE2C885" w14:textId="3CD403F9"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The first objective of this Study is to identify scenarios applicable to NB-IoT/eMTC [RAN1, RAN2], including:</w:t>
      </w:r>
    </w:p>
    <w:p w14:paraId="69338E0D"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Bands of interest in sub 6 GHz</w:t>
      </w:r>
    </w:p>
    <w:p w14:paraId="79DD6CC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Device type with PC3 or PC5 (LEO and GEO) </w:t>
      </w:r>
    </w:p>
    <w:p w14:paraId="3EA1EE65"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Satellite constellation orbit LEO and GEO </w:t>
      </w:r>
    </w:p>
    <w:p w14:paraId="65438137"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Transparent payload.</w:t>
      </w:r>
    </w:p>
    <w:p w14:paraId="69C103BA"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Link budget</w:t>
      </w:r>
    </w:p>
    <w:p w14:paraId="2CB8F43A"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1: This first objective will be based on the scenarios documented in TR 38.821.</w:t>
      </w:r>
    </w:p>
    <w:p w14:paraId="4E7E2000"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2: UE mobility assumptions follow terrestrial NB-IoT/eMTC assumptions.</w:t>
      </w:r>
    </w:p>
    <w:p w14:paraId="579E6C0D" w14:textId="77777777"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73A41692"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Aspects related to random access procedure/signals [RAN1, RAN2]</w:t>
      </w:r>
    </w:p>
    <w:p w14:paraId="7902D5CC"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Mechanisms for time/frequency adjustment including Timing Advance, and UL frequency compensation indication [RAN1, RAN2]</w:t>
      </w:r>
    </w:p>
    <w:p w14:paraId="7CD0EF9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Timing offset related to scheduling and HARQ-ACK feedback [RAN1, RAN2]</w:t>
      </w:r>
    </w:p>
    <w:p w14:paraId="76835C46" w14:textId="060589A0"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  Aspects related to HARQ operation [RAN2, RAN1]</w:t>
      </w:r>
    </w:p>
    <w:p w14:paraId="40171C3E" w14:textId="0646F3F6"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we</w:t>
      </w:r>
      <w:r w:rsidRPr="00416213">
        <w:rPr>
          <w:rFonts w:ascii="Arial" w:hAnsi="Arial" w:cs="Arial"/>
        </w:rPr>
        <w:t xml:space="preserve"> will focus on </w:t>
      </w:r>
      <w:r>
        <w:rPr>
          <w:rFonts w:ascii="Arial" w:hAnsi="Arial" w:cs="Arial"/>
        </w:rPr>
        <w:t>necessary changes to extend NB-IoT/eMTC to a non-terrestrial environment in terms of timing relationship enhancement</w:t>
      </w:r>
      <w:r w:rsidR="0038691E">
        <w:rPr>
          <w:rFonts w:ascii="Arial" w:hAnsi="Arial" w:cs="Arial"/>
        </w:rPr>
        <w:t xml:space="preserve"> in the second objective.</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27C2E57A" w14:textId="77777777" w:rsidR="00745259" w:rsidRPr="00416213" w:rsidRDefault="00745259" w:rsidP="00416213">
      <w:pPr>
        <w:jc w:val="both"/>
        <w:rPr>
          <w:rFonts w:ascii="Arial" w:hAnsi="Arial" w:cs="Arial"/>
        </w:rPr>
      </w:pPr>
      <w:r w:rsidRPr="00416213">
        <w:rPr>
          <w:rFonts w:ascii="Arial" w:hAnsi="Arial" w:cs="Arial"/>
        </w:rPr>
        <w:t>A new SID on NB-IoT/eMTC device support for non-terrestrial networks was approved in RAN#86 to provide IoT operation to remote areas with low or no cellular connectivity. It is expected that such enhancements will support a broad range of industries, including transportation, farming, mining etc.</w:t>
      </w:r>
    </w:p>
    <w:p w14:paraId="7AEA53AE" w14:textId="77777777" w:rsidR="00745259" w:rsidRPr="00416213" w:rsidRDefault="00745259" w:rsidP="00416213">
      <w:pPr>
        <w:jc w:val="both"/>
        <w:rPr>
          <w:rFonts w:ascii="Arial" w:hAnsi="Arial" w:cs="Arial"/>
        </w:rPr>
      </w:pPr>
      <w:r w:rsidRPr="00416213">
        <w:rPr>
          <w:rFonts w:ascii="Arial" w:hAnsi="Arial" w:cs="Arial"/>
        </w:rPr>
        <w:t xml:space="preserve">As described in the NB-IoT/eMTC study item description, non-terrestrial deployment scenarios under consideration consist of both LEO and GEO orbits with transparent payload. GEO deployments are characterized by large propagation delay and cell size, however stationary and approximately fixed relative to a point on earth. Though propagation delay and cell size is less in LEO deployments, satellites move relative to a fixed point on earth with cells either moving along the ground, or fixed via e.g. beam steering techniques.  </w:t>
      </w:r>
    </w:p>
    <w:p w14:paraId="0A993CAA" w14:textId="155F0FC9" w:rsidR="00745259" w:rsidRPr="00416213" w:rsidRDefault="00745259" w:rsidP="00416213">
      <w:pPr>
        <w:jc w:val="both"/>
        <w:rPr>
          <w:rFonts w:ascii="Arial" w:hAnsi="Arial" w:cs="Arial"/>
        </w:rPr>
      </w:pPr>
      <w:r w:rsidRPr="00416213">
        <w:rPr>
          <w:rFonts w:ascii="Arial" w:hAnsi="Arial" w:cs="Arial"/>
        </w:rPr>
        <w:t>Key modifications to enable terrestrial deployments are therefore enhanced time compensation techniques to accommodate greatly increased propagation delay, and enhanced frequency compensation due to fast moving LEO satellites. Specific values relevant for this contribution are included in Table 1 for reference, however a full description of NR NTN reference scenario parameters is found in Table 4.2-2 in TR 38.821 [2].</w:t>
      </w:r>
    </w:p>
    <w:p w14:paraId="7AED3E4D" w14:textId="77777777" w:rsidR="00745259" w:rsidRPr="00416213" w:rsidRDefault="00745259" w:rsidP="00745259">
      <w:pPr>
        <w:rPr>
          <w:rFonts w:ascii="Arial" w:hAnsi="Arial" w:cs="Arial"/>
        </w:rPr>
      </w:pPr>
    </w:p>
    <w:p w14:paraId="33B90260" w14:textId="77777777" w:rsidR="00745259" w:rsidRPr="00416213" w:rsidRDefault="00745259" w:rsidP="00745259">
      <w:pPr>
        <w:jc w:val="center"/>
        <w:rPr>
          <w:rFonts w:ascii="Arial" w:hAnsi="Arial" w:cs="Arial"/>
          <w:b/>
        </w:rPr>
      </w:pPr>
      <w:r w:rsidRPr="00416213">
        <w:rPr>
          <w:rFonts w:ascii="Arial" w:hAnsi="Arial" w:cs="Arial"/>
          <w:b/>
        </w:rPr>
        <w:t>Table 1 [2]: Relevant reference parameters for max RTD and Doppler shift.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2433"/>
        <w:gridCol w:w="4031"/>
      </w:tblGrid>
      <w:tr w:rsidR="00745259" w:rsidRPr="00416213" w14:paraId="0DCBA6A6" w14:textId="77777777" w:rsidTr="00536A72">
        <w:trPr>
          <w:cantSplit/>
          <w:jc w:val="center"/>
        </w:trPr>
        <w:tc>
          <w:tcPr>
            <w:tcW w:w="0" w:type="auto"/>
            <w:shd w:val="clear" w:color="auto" w:fill="auto"/>
            <w:vAlign w:val="center"/>
          </w:tcPr>
          <w:p w14:paraId="5B9CF4B1" w14:textId="77777777" w:rsidR="00745259" w:rsidRPr="00416213" w:rsidRDefault="00745259" w:rsidP="00536A72">
            <w:pPr>
              <w:pStyle w:val="TAL"/>
              <w:rPr>
                <w:rFonts w:eastAsia="Calibri" w:cs="Arial"/>
                <w:sz w:val="24"/>
              </w:rPr>
            </w:pPr>
            <w:r w:rsidRPr="00416213">
              <w:rPr>
                <w:rFonts w:eastAsia="Calibri" w:cs="Arial"/>
                <w:sz w:val="24"/>
              </w:rPr>
              <w:t>Max Round Trip Delay (propagation delay only)</w:t>
            </w:r>
          </w:p>
        </w:tc>
        <w:tc>
          <w:tcPr>
            <w:tcW w:w="0" w:type="auto"/>
            <w:shd w:val="clear" w:color="auto" w:fill="auto"/>
            <w:vAlign w:val="center"/>
          </w:tcPr>
          <w:p w14:paraId="2F63FFA5" w14:textId="77777777" w:rsidR="00745259" w:rsidRPr="00416213" w:rsidRDefault="00745259" w:rsidP="00536A72">
            <w:pPr>
              <w:pStyle w:val="TAL"/>
              <w:rPr>
                <w:rFonts w:eastAsia="Calibri" w:cs="Arial"/>
                <w:sz w:val="24"/>
              </w:rPr>
            </w:pPr>
            <w:r w:rsidRPr="00416213">
              <w:rPr>
                <w:rFonts w:eastAsia="Calibri" w:cs="Arial"/>
                <w:sz w:val="24"/>
              </w:rPr>
              <w:t>541.46 ms (service and feeder links)</w:t>
            </w:r>
          </w:p>
          <w:p w14:paraId="2A533283" w14:textId="77777777" w:rsidR="00745259" w:rsidRPr="00416213" w:rsidRDefault="00745259" w:rsidP="00536A72">
            <w:pPr>
              <w:pStyle w:val="TAL"/>
              <w:rPr>
                <w:rFonts w:eastAsia="Calibri" w:cs="Arial"/>
                <w:sz w:val="24"/>
              </w:rPr>
            </w:pPr>
          </w:p>
        </w:tc>
        <w:tc>
          <w:tcPr>
            <w:tcW w:w="0" w:type="auto"/>
            <w:shd w:val="clear" w:color="auto" w:fill="auto"/>
            <w:vAlign w:val="center"/>
          </w:tcPr>
          <w:p w14:paraId="54C58FB3" w14:textId="77777777" w:rsidR="00745259" w:rsidRPr="00416213" w:rsidRDefault="00745259" w:rsidP="00536A72">
            <w:pPr>
              <w:pStyle w:val="TAL"/>
              <w:rPr>
                <w:rFonts w:eastAsia="Calibri" w:cs="Arial"/>
                <w:sz w:val="24"/>
              </w:rPr>
            </w:pPr>
            <w:r w:rsidRPr="00416213">
              <w:rPr>
                <w:rFonts w:eastAsia="Calibri" w:cs="Arial"/>
                <w:sz w:val="24"/>
              </w:rPr>
              <w:t>25.77 ms (600km)</w:t>
            </w:r>
          </w:p>
          <w:p w14:paraId="3A26A423" w14:textId="77777777" w:rsidR="00745259" w:rsidRPr="00416213" w:rsidRDefault="00745259" w:rsidP="00536A72">
            <w:pPr>
              <w:pStyle w:val="TAL"/>
              <w:rPr>
                <w:rFonts w:eastAsia="Calibri" w:cs="Arial"/>
                <w:sz w:val="24"/>
              </w:rPr>
            </w:pPr>
            <w:r w:rsidRPr="00416213">
              <w:rPr>
                <w:rFonts w:eastAsia="Calibri" w:cs="Arial"/>
                <w:sz w:val="24"/>
              </w:rPr>
              <w:t>41.77 ms (1200km)</w:t>
            </w:r>
          </w:p>
          <w:p w14:paraId="7773B1F2" w14:textId="77777777" w:rsidR="00745259" w:rsidRPr="00416213" w:rsidRDefault="00745259" w:rsidP="00536A72">
            <w:pPr>
              <w:pStyle w:val="TAL"/>
              <w:rPr>
                <w:rFonts w:eastAsia="Calibri" w:cs="Arial"/>
                <w:sz w:val="24"/>
              </w:rPr>
            </w:pPr>
          </w:p>
          <w:p w14:paraId="2C7E8BF3" w14:textId="77777777" w:rsidR="00745259" w:rsidRPr="00416213" w:rsidRDefault="00745259" w:rsidP="00536A72">
            <w:pPr>
              <w:pStyle w:val="TAL"/>
              <w:rPr>
                <w:rFonts w:cs="Arial"/>
                <w:sz w:val="24"/>
              </w:rPr>
            </w:pPr>
          </w:p>
        </w:tc>
      </w:tr>
      <w:tr w:rsidR="00745259" w:rsidRPr="00416213" w14:paraId="4B2FFBF9" w14:textId="77777777" w:rsidTr="00536A72">
        <w:trPr>
          <w:cantSplit/>
          <w:jc w:val="center"/>
        </w:trPr>
        <w:tc>
          <w:tcPr>
            <w:tcW w:w="0" w:type="auto"/>
            <w:shd w:val="clear" w:color="auto" w:fill="auto"/>
            <w:vAlign w:val="center"/>
          </w:tcPr>
          <w:p w14:paraId="58C4D8B7" w14:textId="77777777" w:rsidR="00745259" w:rsidRPr="00416213" w:rsidRDefault="00745259" w:rsidP="00536A72">
            <w:pPr>
              <w:pStyle w:val="TAL"/>
              <w:rPr>
                <w:rFonts w:eastAsia="Calibri" w:cs="Arial"/>
                <w:sz w:val="24"/>
              </w:rPr>
            </w:pPr>
            <w:r w:rsidRPr="00416213">
              <w:rPr>
                <w:rFonts w:eastAsia="Calibri" w:cs="Arial"/>
                <w:sz w:val="24"/>
              </w:rPr>
              <w:t>Max differential delay within a cell (Note 6)</w:t>
            </w:r>
          </w:p>
        </w:tc>
        <w:tc>
          <w:tcPr>
            <w:tcW w:w="0" w:type="auto"/>
            <w:shd w:val="clear" w:color="auto" w:fill="auto"/>
            <w:vAlign w:val="center"/>
          </w:tcPr>
          <w:p w14:paraId="12BAB6FB" w14:textId="77777777" w:rsidR="00745259" w:rsidRPr="00416213" w:rsidRDefault="00745259" w:rsidP="00536A72">
            <w:pPr>
              <w:pStyle w:val="TAL"/>
              <w:rPr>
                <w:rFonts w:eastAsia="Calibri" w:cs="Arial"/>
                <w:sz w:val="24"/>
              </w:rPr>
            </w:pPr>
            <w:r w:rsidRPr="00416213">
              <w:rPr>
                <w:rFonts w:eastAsia="Calibri" w:cs="Arial"/>
                <w:sz w:val="24"/>
              </w:rPr>
              <w:t>10.3 ms</w:t>
            </w:r>
          </w:p>
        </w:tc>
        <w:tc>
          <w:tcPr>
            <w:tcW w:w="0" w:type="auto"/>
            <w:shd w:val="clear" w:color="auto" w:fill="auto"/>
            <w:vAlign w:val="center"/>
          </w:tcPr>
          <w:p w14:paraId="200A6E23" w14:textId="77777777" w:rsidR="00745259" w:rsidRPr="00416213" w:rsidRDefault="00745259" w:rsidP="00536A72">
            <w:pPr>
              <w:pStyle w:val="TAL"/>
              <w:rPr>
                <w:rFonts w:eastAsia="Calibri" w:cs="Arial"/>
                <w:sz w:val="24"/>
              </w:rPr>
            </w:pPr>
            <w:r w:rsidRPr="00416213">
              <w:rPr>
                <w:rFonts w:eastAsia="Calibri" w:cs="Arial"/>
                <w:sz w:val="24"/>
              </w:rPr>
              <w:t xml:space="preserve">3.12 ms and </w:t>
            </w:r>
            <w:r w:rsidRPr="00416213">
              <w:rPr>
                <w:rFonts w:cs="Arial"/>
                <w:sz w:val="24"/>
              </w:rPr>
              <w:t>3.18 ms</w:t>
            </w:r>
            <w:r w:rsidRPr="00416213">
              <w:rPr>
                <w:rFonts w:eastAsia="Calibri" w:cs="Arial"/>
                <w:sz w:val="24"/>
              </w:rPr>
              <w:t xml:space="preserve"> for respectively 600km and 1200km</w:t>
            </w:r>
          </w:p>
        </w:tc>
      </w:tr>
      <w:tr w:rsidR="00745259" w:rsidRPr="00416213" w14:paraId="12FCE5AC" w14:textId="77777777" w:rsidTr="00536A72">
        <w:trPr>
          <w:cantSplit/>
          <w:jc w:val="center"/>
        </w:trPr>
        <w:tc>
          <w:tcPr>
            <w:tcW w:w="0" w:type="auto"/>
            <w:shd w:val="clear" w:color="auto" w:fill="auto"/>
            <w:vAlign w:val="center"/>
          </w:tcPr>
          <w:p w14:paraId="0AE24F56" w14:textId="77777777" w:rsidR="00745259" w:rsidRPr="00416213" w:rsidRDefault="00745259" w:rsidP="00536A72">
            <w:pPr>
              <w:pStyle w:val="TAL"/>
              <w:rPr>
                <w:rFonts w:eastAsia="Calibri" w:cs="Arial"/>
                <w:sz w:val="24"/>
              </w:rPr>
            </w:pPr>
            <w:r w:rsidRPr="00416213">
              <w:rPr>
                <w:rFonts w:eastAsia="Calibri" w:cs="Arial"/>
                <w:sz w:val="24"/>
              </w:rPr>
              <w:t>Max Doppler shift (earth fixed user equipment)</w:t>
            </w:r>
          </w:p>
        </w:tc>
        <w:tc>
          <w:tcPr>
            <w:tcW w:w="0" w:type="auto"/>
            <w:shd w:val="clear" w:color="auto" w:fill="auto"/>
            <w:vAlign w:val="center"/>
          </w:tcPr>
          <w:p w14:paraId="270A3B7C" w14:textId="77777777" w:rsidR="00745259" w:rsidRPr="00416213" w:rsidRDefault="00745259" w:rsidP="00536A72">
            <w:pPr>
              <w:pStyle w:val="TAL"/>
              <w:rPr>
                <w:rFonts w:eastAsia="Calibri" w:cs="Arial"/>
                <w:sz w:val="24"/>
              </w:rPr>
            </w:pPr>
            <w:r w:rsidRPr="00416213">
              <w:rPr>
                <w:rFonts w:eastAsia="Calibri" w:cs="Arial"/>
                <w:sz w:val="24"/>
              </w:rPr>
              <w:t>0.93 ppm</w:t>
            </w:r>
          </w:p>
        </w:tc>
        <w:tc>
          <w:tcPr>
            <w:tcW w:w="0" w:type="auto"/>
            <w:shd w:val="clear" w:color="auto" w:fill="auto"/>
            <w:vAlign w:val="center"/>
          </w:tcPr>
          <w:p w14:paraId="4E98C216" w14:textId="77777777" w:rsidR="00745259" w:rsidRPr="00416213" w:rsidRDefault="00745259" w:rsidP="00536A72">
            <w:pPr>
              <w:pStyle w:val="TAL"/>
              <w:rPr>
                <w:rFonts w:eastAsia="Calibri" w:cs="Arial"/>
                <w:sz w:val="24"/>
              </w:rPr>
            </w:pPr>
            <w:r w:rsidRPr="00416213">
              <w:rPr>
                <w:rFonts w:eastAsia="Calibri" w:cs="Arial"/>
                <w:sz w:val="24"/>
              </w:rPr>
              <w:t>24 ppm (600km)</w:t>
            </w:r>
          </w:p>
          <w:p w14:paraId="555AAF1E" w14:textId="77777777" w:rsidR="00745259" w:rsidRPr="00416213" w:rsidRDefault="00745259" w:rsidP="00536A72">
            <w:pPr>
              <w:pStyle w:val="TAL"/>
              <w:rPr>
                <w:rFonts w:eastAsia="Calibri" w:cs="Arial"/>
                <w:sz w:val="24"/>
              </w:rPr>
            </w:pPr>
            <w:r w:rsidRPr="00416213">
              <w:rPr>
                <w:rFonts w:eastAsia="Calibri" w:cs="Arial"/>
                <w:sz w:val="24"/>
              </w:rPr>
              <w:t xml:space="preserve">21ppm(1200km) </w:t>
            </w:r>
          </w:p>
        </w:tc>
      </w:tr>
      <w:tr w:rsidR="00745259" w:rsidRPr="00416213" w14:paraId="7DBBD3B4" w14:textId="77777777" w:rsidTr="00536A72">
        <w:trPr>
          <w:cantSplit/>
          <w:jc w:val="center"/>
        </w:trPr>
        <w:tc>
          <w:tcPr>
            <w:tcW w:w="0" w:type="auto"/>
            <w:shd w:val="clear" w:color="auto" w:fill="auto"/>
            <w:vAlign w:val="center"/>
          </w:tcPr>
          <w:p w14:paraId="0B03ADD0" w14:textId="77777777" w:rsidR="00745259" w:rsidRPr="00416213" w:rsidRDefault="00745259" w:rsidP="00536A72">
            <w:pPr>
              <w:pStyle w:val="TAL"/>
              <w:rPr>
                <w:rFonts w:eastAsia="Calibri" w:cs="Arial"/>
                <w:sz w:val="24"/>
              </w:rPr>
            </w:pPr>
            <w:r w:rsidRPr="00416213">
              <w:rPr>
                <w:rFonts w:eastAsia="Calibri" w:cs="Arial"/>
                <w:sz w:val="24"/>
              </w:rPr>
              <w:t>Max Doppler shift variation (earth fixed user equipment)</w:t>
            </w:r>
          </w:p>
        </w:tc>
        <w:tc>
          <w:tcPr>
            <w:tcW w:w="0" w:type="auto"/>
            <w:shd w:val="clear" w:color="auto" w:fill="auto"/>
            <w:vAlign w:val="center"/>
          </w:tcPr>
          <w:p w14:paraId="272FAC20" w14:textId="23D3AFA7" w:rsidR="00745259" w:rsidRPr="00416213" w:rsidRDefault="00745259" w:rsidP="00536A72">
            <w:pPr>
              <w:pStyle w:val="TAL"/>
              <w:rPr>
                <w:rFonts w:eastAsia="Calibri" w:cs="Arial"/>
                <w:sz w:val="24"/>
              </w:rPr>
            </w:pPr>
            <w:r w:rsidRPr="00416213">
              <w:rPr>
                <w:rFonts w:eastAsia="Calibri" w:cs="Arial"/>
                <w:sz w:val="24"/>
              </w:rPr>
              <w:t xml:space="preserve">0.000045 ppm/s </w:t>
            </w:r>
          </w:p>
        </w:tc>
        <w:tc>
          <w:tcPr>
            <w:tcW w:w="0" w:type="auto"/>
            <w:shd w:val="clear" w:color="auto" w:fill="auto"/>
            <w:vAlign w:val="center"/>
          </w:tcPr>
          <w:p w14:paraId="6AEB1DDD" w14:textId="77777777" w:rsidR="00745259" w:rsidRPr="00416213" w:rsidRDefault="00745259" w:rsidP="00536A72">
            <w:pPr>
              <w:pStyle w:val="TAL"/>
              <w:rPr>
                <w:rFonts w:eastAsia="Calibri" w:cs="Arial"/>
                <w:sz w:val="24"/>
              </w:rPr>
            </w:pPr>
            <w:r w:rsidRPr="00416213">
              <w:rPr>
                <w:rFonts w:eastAsia="Calibri" w:cs="Arial"/>
                <w:sz w:val="24"/>
              </w:rPr>
              <w:t>0.27ppm/s (600km)</w:t>
            </w:r>
          </w:p>
          <w:p w14:paraId="58E5AA1C" w14:textId="77777777" w:rsidR="00745259" w:rsidRPr="00416213" w:rsidRDefault="00745259" w:rsidP="00536A72">
            <w:pPr>
              <w:pStyle w:val="TAL"/>
              <w:rPr>
                <w:rFonts w:eastAsia="Calibri" w:cs="Arial"/>
                <w:sz w:val="24"/>
              </w:rPr>
            </w:pPr>
            <w:r w:rsidRPr="00416213">
              <w:rPr>
                <w:rFonts w:eastAsia="Calibri" w:cs="Arial"/>
                <w:sz w:val="24"/>
              </w:rPr>
              <w:t>0.13ppm/s(1200km)</w:t>
            </w:r>
          </w:p>
        </w:tc>
      </w:tr>
    </w:tbl>
    <w:p w14:paraId="6B6DF7AC" w14:textId="77777777" w:rsidR="00745259" w:rsidRDefault="00745259" w:rsidP="0020560A">
      <w:pPr>
        <w:jc w:val="both"/>
        <w:rPr>
          <w:rFonts w:ascii="Arial" w:hAnsi="Arial" w:cs="Arial"/>
        </w:rPr>
      </w:pPr>
    </w:p>
    <w:p w14:paraId="62E75F9D" w14:textId="3C42C841" w:rsidR="00745259" w:rsidRDefault="005A500F" w:rsidP="00416213">
      <w:pPr>
        <w:spacing w:after="120"/>
        <w:jc w:val="both"/>
        <w:rPr>
          <w:rFonts w:ascii="Arial" w:hAnsi="Arial" w:cs="Arial"/>
        </w:rPr>
      </w:pPr>
      <w:r w:rsidRPr="00416213">
        <w:rPr>
          <w:rFonts w:ascii="Arial" w:hAnsi="Arial" w:cs="Arial"/>
        </w:rPr>
        <w:t xml:space="preserve">To adapt the terrestrial timing relationships (e.g. scheduling) to the increased propagation delay in NTN, RAN1 has agreed to include a Koffset value (proportional to at least a portion of this propagation delay) to </w:t>
      </w:r>
      <w:r w:rsidR="00745259">
        <w:rPr>
          <w:rFonts w:ascii="Arial" w:hAnsi="Arial" w:cs="Arial"/>
        </w:rPr>
        <w:t>enhance timing relationship related to scheduling PUSCH, HARQ-ACK reporting, etc.</w:t>
      </w:r>
      <w:r w:rsidRPr="00416213">
        <w:rPr>
          <w:rFonts w:ascii="Arial" w:hAnsi="Arial" w:cs="Arial"/>
        </w:rPr>
        <w:t xml:space="preserve"> </w:t>
      </w:r>
      <w:r w:rsidR="00FD7787">
        <w:rPr>
          <w:rFonts w:ascii="Arial" w:hAnsi="Arial" w:cs="Arial"/>
        </w:rPr>
        <w:t xml:space="preserve"> </w:t>
      </w:r>
    </w:p>
    <w:p w14:paraId="38074E27" w14:textId="1A2CC38D" w:rsidR="005A500F" w:rsidRDefault="005A500F" w:rsidP="00416213">
      <w:pPr>
        <w:spacing w:after="120"/>
        <w:rPr>
          <w:rFonts w:ascii="Arial" w:hAnsi="Arial" w:cs="Arial"/>
        </w:rPr>
      </w:pPr>
      <w:r w:rsidRPr="00416213">
        <w:rPr>
          <w:rFonts w:ascii="Arial" w:hAnsi="Arial" w:cs="Arial"/>
        </w:rPr>
        <w:t xml:space="preserve">Although details of this Koffset value are yet to be determined and may require further modification to adapt to </w:t>
      </w:r>
      <w:r w:rsidR="00FD7787">
        <w:rPr>
          <w:rFonts w:ascii="Arial" w:hAnsi="Arial" w:cs="Arial"/>
        </w:rPr>
        <w:t>eMTC/NB-IoT UEs</w:t>
      </w:r>
      <w:r w:rsidRPr="00416213">
        <w:rPr>
          <w:rFonts w:ascii="Arial" w:hAnsi="Arial" w:cs="Arial"/>
        </w:rPr>
        <w:t>, in general a similar solution can be adopted for timing relationship enhancements.</w:t>
      </w:r>
    </w:p>
    <w:p w14:paraId="0B4E0ADC" w14:textId="4256C03B" w:rsidR="005A500F" w:rsidRPr="00416213" w:rsidRDefault="005A500F" w:rsidP="005A500F">
      <w:pPr>
        <w:ind w:left="1440" w:hanging="1440"/>
        <w:rPr>
          <w:rFonts w:ascii="Arial" w:hAnsi="Arial" w:cs="Arial"/>
          <w:b/>
          <w:lang w:eastAsia="sv-SE"/>
        </w:rPr>
      </w:pPr>
      <w:r w:rsidRPr="00416213">
        <w:rPr>
          <w:rFonts w:ascii="Arial" w:hAnsi="Arial" w:cs="Arial"/>
          <w:b/>
          <w:lang w:eastAsia="sv-SE"/>
        </w:rPr>
        <w:t xml:space="preserve">Proposal </w:t>
      </w:r>
      <w:r w:rsidR="004A2FCD">
        <w:rPr>
          <w:rFonts w:ascii="Arial" w:hAnsi="Arial" w:cs="Arial"/>
          <w:b/>
          <w:lang w:eastAsia="sv-SE"/>
        </w:rPr>
        <w:t>1</w:t>
      </w:r>
      <w:r w:rsidRPr="00416213">
        <w:rPr>
          <w:rFonts w:ascii="Arial" w:hAnsi="Arial" w:cs="Arial"/>
          <w:b/>
          <w:lang w:eastAsia="sv-SE"/>
        </w:rPr>
        <w:t xml:space="preserve">: </w:t>
      </w:r>
      <w:r w:rsidRPr="00416213">
        <w:rPr>
          <w:rFonts w:ascii="Arial" w:hAnsi="Arial" w:cs="Arial"/>
          <w:b/>
          <w:lang w:eastAsia="sv-SE"/>
        </w:rPr>
        <w:tab/>
        <w:t>A Koffset value carried in system information is used to adapt timing relationship enhancements in NB-IoT/eMTC to an NTN environment.</w:t>
      </w:r>
    </w:p>
    <w:p w14:paraId="53FF41A8" w14:textId="77557584" w:rsidR="00FD5D4D" w:rsidRDefault="00FD5D4D" w:rsidP="00FD5D4D">
      <w:pPr>
        <w:rPr>
          <w:lang w:val="en-GB" w:eastAsia="zh-CN"/>
        </w:rPr>
      </w:pPr>
    </w:p>
    <w:p w14:paraId="248A3A66" w14:textId="744355D5" w:rsidR="00FD5D4D" w:rsidRDefault="00FD5D4D" w:rsidP="00416213">
      <w:pPr>
        <w:spacing w:after="120"/>
        <w:jc w:val="both"/>
        <w:rPr>
          <w:rFonts w:ascii="Arial" w:hAnsi="Arial" w:cs="Arial"/>
          <w:lang w:val="en-GB" w:eastAsia="zh-CN"/>
        </w:rPr>
      </w:pPr>
      <w:r>
        <w:rPr>
          <w:rFonts w:ascii="Arial" w:hAnsi="Arial" w:cs="Arial"/>
          <w:lang w:val="en-GB" w:eastAsia="zh-CN"/>
        </w:rPr>
        <w:t xml:space="preserve">Type-B half-duplex </w:t>
      </w:r>
      <w:r w:rsidR="001B614A">
        <w:rPr>
          <w:rFonts w:ascii="Arial" w:hAnsi="Arial" w:cs="Arial"/>
          <w:lang w:val="en-GB" w:eastAsia="zh-CN"/>
        </w:rPr>
        <w:t xml:space="preserve">FDD </w:t>
      </w:r>
      <w:r>
        <w:rPr>
          <w:rFonts w:ascii="Arial" w:hAnsi="Arial" w:cs="Arial"/>
          <w:lang w:val="en-GB" w:eastAsia="zh-CN"/>
        </w:rPr>
        <w:t xml:space="preserve">operation has been assumed for </w:t>
      </w:r>
      <w:r w:rsidR="00862DF6">
        <w:rPr>
          <w:rFonts w:ascii="Arial" w:hAnsi="Arial" w:cs="Arial"/>
          <w:lang w:val="en-GB" w:eastAsia="zh-CN"/>
        </w:rPr>
        <w:t>NB-IoT/eMTC</w:t>
      </w:r>
      <w:r>
        <w:rPr>
          <w:rFonts w:ascii="Arial" w:hAnsi="Arial" w:cs="Arial"/>
          <w:lang w:val="en-GB" w:eastAsia="zh-CN"/>
        </w:rPr>
        <w:t xml:space="preserve"> as it can further reduce the device cost. As such, the IoT devices may not be able to receive and transmit at the same time. In addition, due to low SINR range assumed for the </w:t>
      </w:r>
      <w:r w:rsidR="00862DF6">
        <w:rPr>
          <w:rFonts w:ascii="Arial" w:hAnsi="Arial" w:cs="Arial"/>
          <w:lang w:val="en-GB" w:eastAsia="zh-CN"/>
        </w:rPr>
        <w:t xml:space="preserve">NB-IoT/eMTC </w:t>
      </w:r>
      <w:r>
        <w:rPr>
          <w:rFonts w:ascii="Arial" w:hAnsi="Arial" w:cs="Arial"/>
          <w:lang w:val="en-GB" w:eastAsia="zh-CN"/>
        </w:rPr>
        <w:t xml:space="preserve">(e.g., </w:t>
      </w:r>
      <w:r w:rsidR="00862DF6">
        <w:rPr>
          <w:rFonts w:ascii="Arial" w:hAnsi="Arial" w:cs="Arial"/>
          <w:lang w:val="en-GB" w:eastAsia="zh-CN"/>
        </w:rPr>
        <w:t>smart sensors are</w:t>
      </w:r>
      <w:r>
        <w:rPr>
          <w:rFonts w:ascii="Arial" w:hAnsi="Arial" w:cs="Arial"/>
          <w:lang w:val="en-GB" w:eastAsia="zh-CN"/>
        </w:rPr>
        <w:t xml:space="preserve"> located in a basement), repetition of physical channel has been used.</w:t>
      </w:r>
    </w:p>
    <w:p w14:paraId="5A3A890E" w14:textId="5640D4E6" w:rsidR="001B614A" w:rsidRDefault="001B614A" w:rsidP="001B614A">
      <w:pPr>
        <w:spacing w:after="120"/>
        <w:jc w:val="both"/>
        <w:rPr>
          <w:rFonts w:ascii="Arial" w:hAnsi="Arial" w:cs="Arial"/>
          <w:lang w:val="en-GB" w:eastAsia="zh-CN"/>
        </w:rPr>
      </w:pPr>
      <w:r>
        <w:rPr>
          <w:rFonts w:ascii="Arial" w:hAnsi="Arial" w:cs="Arial"/>
          <w:lang w:val="en-GB" w:eastAsia="zh-CN"/>
        </w:rPr>
        <w:t xml:space="preserve">The use of Koffset for </w:t>
      </w:r>
      <w:r w:rsidR="00862DF6">
        <w:rPr>
          <w:rFonts w:ascii="Arial" w:hAnsi="Arial" w:cs="Arial"/>
          <w:lang w:val="en-GB" w:eastAsia="zh-CN"/>
        </w:rPr>
        <w:t xml:space="preserve">NB-IoT/eMTC in NTN </w:t>
      </w:r>
      <w:r>
        <w:rPr>
          <w:rFonts w:ascii="Arial" w:hAnsi="Arial" w:cs="Arial"/>
          <w:lang w:val="en-GB" w:eastAsia="zh-CN"/>
        </w:rPr>
        <w:t>may result in conflict between DL and UL transmission especially when a UE-specific Koffset value is used after RRC connection. When the conflict occurs, either DL or UL transmission has to be dropped as the UE is only able to receive DL or transmit UL at a time due to the HD-FDD capability.</w:t>
      </w:r>
    </w:p>
    <w:p w14:paraId="5D56A19D" w14:textId="3E4DCBFC" w:rsidR="001B614A" w:rsidRDefault="001B614A" w:rsidP="001B614A">
      <w:pPr>
        <w:spacing w:after="120"/>
        <w:jc w:val="both"/>
        <w:rPr>
          <w:rFonts w:ascii="Arial" w:hAnsi="Arial" w:cs="Arial"/>
          <w:lang w:val="en-GB" w:eastAsia="zh-CN"/>
        </w:rPr>
      </w:pPr>
      <w:r>
        <w:rPr>
          <w:rFonts w:ascii="Arial" w:hAnsi="Arial" w:cs="Arial"/>
          <w:lang w:val="en-GB" w:eastAsia="zh-CN"/>
        </w:rPr>
        <w:t>Therefore, RAN1 has to study the potential solutions to avoid conflict or handle the conflict when Koffset is introduced for IoT NTN.</w:t>
      </w:r>
    </w:p>
    <w:p w14:paraId="7B75C49E" w14:textId="1962EDF8" w:rsidR="001B614A" w:rsidRPr="00536A72" w:rsidRDefault="001B614A" w:rsidP="001B614A">
      <w:pPr>
        <w:ind w:left="1440" w:hanging="1440"/>
        <w:rPr>
          <w:rFonts w:ascii="Arial" w:hAnsi="Arial" w:cs="Arial"/>
          <w:b/>
          <w:lang w:eastAsia="sv-SE"/>
        </w:rPr>
      </w:pPr>
      <w:r w:rsidRPr="00536A72">
        <w:rPr>
          <w:rFonts w:ascii="Arial" w:hAnsi="Arial" w:cs="Arial"/>
          <w:b/>
          <w:lang w:eastAsia="sv-SE"/>
        </w:rPr>
        <w:t xml:space="preserve">Proposal </w:t>
      </w:r>
      <w:r>
        <w:rPr>
          <w:rFonts w:ascii="Arial" w:hAnsi="Arial" w:cs="Arial"/>
          <w:b/>
          <w:lang w:eastAsia="sv-SE"/>
        </w:rPr>
        <w:t>2</w:t>
      </w:r>
      <w:r w:rsidRPr="00536A72">
        <w:rPr>
          <w:rFonts w:ascii="Arial" w:hAnsi="Arial" w:cs="Arial"/>
          <w:b/>
          <w:lang w:eastAsia="sv-SE"/>
        </w:rPr>
        <w:t xml:space="preserve">: </w:t>
      </w:r>
      <w:r>
        <w:rPr>
          <w:rFonts w:ascii="Arial" w:hAnsi="Arial" w:cs="Arial"/>
          <w:b/>
          <w:lang w:eastAsia="sv-SE"/>
        </w:rPr>
        <w:t xml:space="preserve">Study solutions to address the </w:t>
      </w:r>
      <w:r w:rsidR="009C5874">
        <w:rPr>
          <w:rFonts w:ascii="Arial" w:hAnsi="Arial" w:cs="Arial"/>
          <w:b/>
          <w:lang w:eastAsia="sv-SE"/>
        </w:rPr>
        <w:t xml:space="preserve">potential </w:t>
      </w:r>
      <w:r>
        <w:rPr>
          <w:rFonts w:ascii="Arial" w:hAnsi="Arial" w:cs="Arial"/>
          <w:b/>
          <w:lang w:eastAsia="sv-SE"/>
        </w:rPr>
        <w:t>conflict between DL and UL for HD-FDD</w:t>
      </w:r>
      <w:r w:rsidR="0050017F">
        <w:rPr>
          <w:rFonts w:ascii="Arial" w:hAnsi="Arial" w:cs="Arial"/>
          <w:b/>
          <w:lang w:eastAsia="sv-SE"/>
        </w:rPr>
        <w:t xml:space="preserve"> UEs</w:t>
      </w:r>
      <w:r>
        <w:rPr>
          <w:rFonts w:ascii="Arial" w:hAnsi="Arial" w:cs="Arial"/>
          <w:b/>
          <w:lang w:eastAsia="sv-SE"/>
        </w:rPr>
        <w:t xml:space="preserve"> when Koffset is used</w:t>
      </w:r>
      <w:r w:rsidRPr="00536A72">
        <w:rPr>
          <w:rFonts w:ascii="Arial" w:hAnsi="Arial" w:cs="Arial"/>
          <w:b/>
          <w:lang w:eastAsia="sv-SE"/>
        </w:rPr>
        <w:t>.</w:t>
      </w:r>
    </w:p>
    <w:p w14:paraId="3F285EF0" w14:textId="77777777" w:rsidR="00B61682" w:rsidRPr="00416213"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141F8030"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50017F">
        <w:rPr>
          <w:rFonts w:ascii="Arial" w:hAnsi="Arial" w:cs="Arial"/>
        </w:rPr>
        <w:t>potential enhancement for timing relationship for IoT NTN. Based on the discussion, we propose following</w:t>
      </w:r>
      <w:r w:rsidR="00CB0932">
        <w:rPr>
          <w:rFonts w:ascii="Arial" w:hAnsi="Arial" w:cs="Arial"/>
        </w:rPr>
        <w:t>:</w:t>
      </w:r>
      <w:r w:rsidRPr="008924A3">
        <w:rPr>
          <w:rFonts w:ascii="Arial" w:hAnsi="Arial" w:cs="Arial"/>
        </w:rPr>
        <w:t xml:space="preserve"> </w:t>
      </w:r>
    </w:p>
    <w:p w14:paraId="2B04FBB2" w14:textId="77777777" w:rsidR="00D241D7" w:rsidRPr="008924A3" w:rsidRDefault="00D241D7" w:rsidP="00416213">
      <w:pPr>
        <w:spacing w:after="120"/>
        <w:jc w:val="both"/>
        <w:rPr>
          <w:rFonts w:ascii="Arial" w:hAnsi="Arial" w:cs="Arial"/>
        </w:rPr>
      </w:pPr>
    </w:p>
    <w:p w14:paraId="29F92830" w14:textId="2207BC68" w:rsidR="0050017F" w:rsidRDefault="0050017F" w:rsidP="00416213">
      <w:pPr>
        <w:spacing w:after="120"/>
        <w:ind w:left="1440" w:hanging="1440"/>
        <w:rPr>
          <w:rFonts w:ascii="Arial" w:hAnsi="Arial" w:cs="Arial"/>
          <w:b/>
          <w:lang w:eastAsia="sv-SE"/>
        </w:rPr>
      </w:pPr>
      <w:r w:rsidRPr="00536A72">
        <w:rPr>
          <w:rFonts w:ascii="Arial" w:hAnsi="Arial" w:cs="Arial"/>
          <w:b/>
          <w:lang w:eastAsia="sv-SE"/>
        </w:rPr>
        <w:t xml:space="preserve">Proposal </w:t>
      </w:r>
      <w:r>
        <w:rPr>
          <w:rFonts w:ascii="Arial" w:hAnsi="Arial" w:cs="Arial"/>
          <w:b/>
          <w:lang w:eastAsia="sv-SE"/>
        </w:rPr>
        <w:t>1</w:t>
      </w:r>
      <w:r w:rsidRPr="00536A72">
        <w:rPr>
          <w:rFonts w:ascii="Arial" w:hAnsi="Arial" w:cs="Arial"/>
          <w:b/>
          <w:lang w:eastAsia="sv-SE"/>
        </w:rPr>
        <w:t>: A Koffset value carried in system information is used to adapt timing relationship enhancements in NB-IoT/eMTC to an NTN environment.</w:t>
      </w:r>
    </w:p>
    <w:p w14:paraId="15C9CD75" w14:textId="77777777" w:rsidR="0050017F" w:rsidRPr="00536A72" w:rsidRDefault="0050017F" w:rsidP="00416213">
      <w:pPr>
        <w:spacing w:after="120"/>
        <w:ind w:left="1440" w:hanging="1440"/>
        <w:rPr>
          <w:rFonts w:ascii="Arial" w:hAnsi="Arial" w:cs="Arial"/>
          <w:b/>
          <w:lang w:eastAsia="sv-SE"/>
        </w:rPr>
      </w:pPr>
      <w:r w:rsidRPr="00536A72">
        <w:rPr>
          <w:rFonts w:ascii="Arial" w:hAnsi="Arial" w:cs="Arial"/>
          <w:b/>
          <w:lang w:eastAsia="sv-SE"/>
        </w:rPr>
        <w:t xml:space="preserve">Proposal </w:t>
      </w:r>
      <w:r>
        <w:rPr>
          <w:rFonts w:ascii="Arial" w:hAnsi="Arial" w:cs="Arial"/>
          <w:b/>
          <w:lang w:eastAsia="sv-SE"/>
        </w:rPr>
        <w:t>2</w:t>
      </w:r>
      <w:r w:rsidRPr="00536A72">
        <w:rPr>
          <w:rFonts w:ascii="Arial" w:hAnsi="Arial" w:cs="Arial"/>
          <w:b/>
          <w:lang w:eastAsia="sv-SE"/>
        </w:rPr>
        <w:t xml:space="preserve">: </w:t>
      </w:r>
      <w:r>
        <w:rPr>
          <w:rFonts w:ascii="Arial" w:hAnsi="Arial" w:cs="Arial"/>
          <w:b/>
          <w:lang w:eastAsia="sv-SE"/>
        </w:rPr>
        <w:t>Study solutions to address the potential conflict between DL and UL for HD-FDD UEs when Koffset is used</w:t>
      </w:r>
      <w:r w:rsidRPr="00536A72">
        <w:rPr>
          <w:rFonts w:ascii="Arial" w:hAnsi="Arial" w:cs="Arial"/>
          <w:b/>
          <w:lang w:eastAsia="sv-SE"/>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2F02CFF5" w14:textId="1321CEBF" w:rsidR="00F8241F" w:rsidRPr="00720519" w:rsidRDefault="00F8241F" w:rsidP="00F8241F">
      <w:pPr>
        <w:pStyle w:val="Reference"/>
        <w:spacing w:after="120"/>
        <w:jc w:val="both"/>
        <w:rPr>
          <w:rFonts w:ascii="Times New Roman" w:hAnsi="Times New Roman" w:cs="Times New Roman"/>
          <w:sz w:val="24"/>
        </w:rPr>
      </w:pPr>
      <w:bookmarkStart w:id="2" w:name="_Ref49798330"/>
      <w:r w:rsidRPr="00720519">
        <w:rPr>
          <w:rFonts w:ascii="Times New Roman" w:hAnsi="Times New Roman" w:cs="Times New Roman"/>
          <w:sz w:val="24"/>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A6823" w14:textId="77777777" w:rsidR="008D2A05" w:rsidRDefault="008D2A05">
      <w:r>
        <w:separator/>
      </w:r>
    </w:p>
  </w:endnote>
  <w:endnote w:type="continuationSeparator" w:id="0">
    <w:p w14:paraId="4C764BAE" w14:textId="77777777" w:rsidR="008D2A05" w:rsidRDefault="008D2A05">
      <w:r>
        <w:continuationSeparator/>
      </w:r>
    </w:p>
  </w:endnote>
  <w:endnote w:type="continuationNotice" w:id="1">
    <w:p w14:paraId="10F473AB" w14:textId="77777777" w:rsidR="008D2A05" w:rsidRDefault="008D2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89078" w14:textId="77777777" w:rsidR="008D2A05" w:rsidRDefault="008D2A05">
      <w:r>
        <w:separator/>
      </w:r>
    </w:p>
  </w:footnote>
  <w:footnote w:type="continuationSeparator" w:id="0">
    <w:p w14:paraId="00DAA3C3" w14:textId="77777777" w:rsidR="008D2A05" w:rsidRDefault="008D2A05">
      <w:r>
        <w:continuationSeparator/>
      </w:r>
    </w:p>
  </w:footnote>
  <w:footnote w:type="continuationNotice" w:id="1">
    <w:p w14:paraId="679012C0" w14:textId="77777777" w:rsidR="008D2A05" w:rsidRDefault="008D2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10"/>
  </w:num>
  <w:num w:numId="10">
    <w:abstractNumId w:val="9"/>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59A"/>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519"/>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A05"/>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9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D1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59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0"/>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0"/>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0"/>
      </w:numPr>
      <w:ind w:hanging="180"/>
    </w:pPr>
    <w:rPr>
      <w:rFonts w:ascii="Times" w:eastAsia="Batang" w:hAnsi="Times"/>
      <w:sz w:val="20"/>
      <w:lang w:val="en-GB"/>
    </w:rPr>
  </w:style>
  <w:style w:type="paragraph" w:customStyle="1" w:styleId="bullet4">
    <w:name w:val="bullet4"/>
    <w:basedOn w:val="Normal"/>
    <w:qFormat/>
    <w:rsid w:val="00D326D7"/>
    <w:pPr>
      <w:numPr>
        <w:ilvl w:val="3"/>
        <w:numId w:val="10"/>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1"/>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2021-01-15T20:35:00Z</dcterms:created>
  <dcterms:modified xsi:type="dcterms:W3CDTF">2021-01-18T22:53:00Z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