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051D90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48FE">
        <w:rPr>
          <w:bCs/>
          <w:noProof w:val="0"/>
          <w:sz w:val="24"/>
          <w:szCs w:val="24"/>
        </w:rPr>
        <w:tab/>
      </w:r>
      <w:r w:rsidR="00BA1872">
        <w:rPr>
          <w:bCs/>
          <w:noProof w:val="0"/>
          <w:sz w:val="24"/>
          <w:szCs w:val="24"/>
        </w:rPr>
        <w:t>R1-</w:t>
      </w:r>
      <w:bookmarkStart w:id="1" w:name="_GoBack"/>
      <w:bookmarkEnd w:id="1"/>
      <w:r w:rsidR="000C3F1C" w:rsidRPr="000C3F1C">
        <w:rPr>
          <w:bCs/>
          <w:noProof w:val="0"/>
          <w:sz w:val="24"/>
          <w:szCs w:val="24"/>
        </w:rPr>
        <w:t>2101299</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0123D7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16908">
        <w:rPr>
          <w:rFonts w:cs="Arial"/>
          <w:b/>
          <w:bCs/>
          <w:sz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E62C1E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45FF2">
        <w:rPr>
          <w:rFonts w:ascii="Arial" w:hAnsi="Arial" w:cs="Arial"/>
          <w:b/>
          <w:bCs/>
          <w:sz w:val="24"/>
        </w:rPr>
        <w:t>A</w:t>
      </w:r>
      <w:r w:rsidR="00216908">
        <w:rPr>
          <w:rFonts w:ascii="Arial" w:hAnsi="Arial" w:cs="Arial"/>
          <w:b/>
          <w:bCs/>
          <w:sz w:val="24"/>
        </w:rPr>
        <w:t>dditional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2F93FC" w14:textId="7E0AC75E" w:rsidR="00290759" w:rsidRDefault="00290759" w:rsidP="00290759">
      <w:pPr>
        <w:jc w:val="both"/>
      </w:pPr>
      <w:bookmarkStart w:id="2" w:name="_Hlk510705081"/>
      <w:r>
        <w:t xml:space="preserve">RAN plenary #86 </w:t>
      </w:r>
      <w:r>
        <w:fldChar w:fldCharType="begin"/>
      </w:r>
      <w:r>
        <w:instrText xml:space="preserve"> REF _Ref53750729 \r \h </w:instrText>
      </w:r>
      <w:r>
        <w:fldChar w:fldCharType="separate"/>
      </w:r>
      <w:r>
        <w:t>[1]</w:t>
      </w:r>
      <w:r>
        <w:fldChar w:fldCharType="end"/>
      </w:r>
      <w:r>
        <w:t xml:space="preserve"> approved a work item on NR solutions to support non-terrestrial networks. It has been agreed that enhancements on PRACH sequence and/or format may be specified if beneficial and needed. In this document we provide our view on PRACH format enhancements. On top of this, we discuss some other aspects that need further consideration in relation to NR over NTN.</w:t>
      </w:r>
    </w:p>
    <w:p w14:paraId="345FB6BE" w14:textId="77777777" w:rsidR="00290759" w:rsidRPr="00CA346D" w:rsidRDefault="00290759" w:rsidP="00290759">
      <w:pPr>
        <w:pStyle w:val="Heading1"/>
      </w:pPr>
      <w:r>
        <w:t>PRACH format and preamble sequence enhancements</w:t>
      </w:r>
    </w:p>
    <w:bookmarkEnd w:id="2"/>
    <w:p w14:paraId="39252E6F" w14:textId="6738E8E4" w:rsidR="00290759" w:rsidRPr="00B5685C" w:rsidRDefault="00290759" w:rsidP="00290759">
      <w:pPr>
        <w:jc w:val="both"/>
      </w:pPr>
      <w:r>
        <w:t>Enhancements on PRACH preamble formats and sequence generation principle may be required i</w:t>
      </w:r>
      <w:r w:rsidRPr="00B5685C">
        <w:t>n case</w:t>
      </w:r>
      <w:r>
        <w:t xml:space="preserve"> the residual UL timing and frequency errors after optional compensation procedure exceed tolerated deviations from defined NR preamble formats. The NTN S</w:t>
      </w:r>
      <w:r w:rsidR="00AE0D78">
        <w:t>R</w:t>
      </w:r>
      <w:r>
        <w:t xml:space="preserve"> </w:t>
      </w:r>
      <w:r w:rsidR="00DC2CCF">
        <w:fldChar w:fldCharType="begin"/>
      </w:r>
      <w:r w:rsidR="00DC2CCF">
        <w:instrText xml:space="preserve"> REF _Ref61519034 \n \h </w:instrText>
      </w:r>
      <w:r w:rsidR="00DC2CCF">
        <w:fldChar w:fldCharType="separate"/>
      </w:r>
      <w:r w:rsidR="00DC2CCF">
        <w:t>[2]</w:t>
      </w:r>
      <w:r w:rsidR="00DC2CCF">
        <w:fldChar w:fldCharType="end"/>
      </w:r>
      <w:r>
        <w:t xml:space="preserve"> considers four options for enhanced PRACH format and sequence design:</w:t>
      </w:r>
    </w:p>
    <w:p w14:paraId="6273323D" w14:textId="529D4699" w:rsidR="00290759" w:rsidRPr="003B0082" w:rsidRDefault="00290759" w:rsidP="00290759">
      <w:pPr>
        <w:pStyle w:val="B1"/>
        <w:rPr>
          <w:i/>
          <w:iCs/>
        </w:rPr>
      </w:pPr>
      <w:r w:rsidRPr="003B0082">
        <w:rPr>
          <w:i/>
          <w:iCs/>
        </w:rPr>
        <w:t>●</w:t>
      </w:r>
      <w:r w:rsidRPr="003B0082">
        <w:rPr>
          <w:i/>
          <w:iCs/>
        </w:rPr>
        <w:tab/>
        <w:t xml:space="preserve">Option-1: A single </w:t>
      </w:r>
      <w:proofErr w:type="spellStart"/>
      <w:r w:rsidR="00AE4B85">
        <w:rPr>
          <w:i/>
          <w:iCs/>
        </w:rPr>
        <w:t>Z</w:t>
      </w:r>
      <w:r w:rsidRPr="003B0082">
        <w:rPr>
          <w:i/>
          <w:iCs/>
        </w:rPr>
        <w:t>adoff</w:t>
      </w:r>
      <w:proofErr w:type="spellEnd"/>
      <w:r w:rsidRPr="003B0082">
        <w:rPr>
          <w:i/>
          <w:iCs/>
        </w:rPr>
        <w:t xml:space="preserve">-Chu sequence based on larger SCS, repetition number. Additional usage of CP and </w:t>
      </w:r>
      <w:proofErr w:type="spellStart"/>
      <w:r w:rsidRPr="003B0082">
        <w:rPr>
          <w:i/>
          <w:iCs/>
        </w:rPr>
        <w:t>Ncs</w:t>
      </w:r>
      <w:proofErr w:type="spellEnd"/>
      <w:r w:rsidRPr="003B0082">
        <w:rPr>
          <w:i/>
          <w:iCs/>
        </w:rPr>
        <w:t xml:space="preserve"> can be further determined in normative work.</w:t>
      </w:r>
    </w:p>
    <w:p w14:paraId="785B26CC" w14:textId="77777777" w:rsidR="00290759" w:rsidRPr="003B0082" w:rsidRDefault="00290759" w:rsidP="00290759">
      <w:pPr>
        <w:pStyle w:val="B1"/>
        <w:rPr>
          <w:i/>
          <w:iCs/>
        </w:rPr>
      </w:pPr>
      <w:r w:rsidRPr="003B0082">
        <w:rPr>
          <w:i/>
          <w:iCs/>
        </w:rPr>
        <w:t>●</w:t>
      </w:r>
      <w:r w:rsidRPr="003B0082">
        <w:rPr>
          <w:i/>
          <w:iCs/>
        </w:rPr>
        <w:tab/>
        <w:t xml:space="preserve">Option-2: A solution based on multiple </w:t>
      </w:r>
      <w:proofErr w:type="spellStart"/>
      <w:r w:rsidRPr="003B0082">
        <w:rPr>
          <w:i/>
          <w:iCs/>
        </w:rPr>
        <w:t>Zadoff</w:t>
      </w:r>
      <w:proofErr w:type="spellEnd"/>
      <w:r w:rsidRPr="003B0082">
        <w:rPr>
          <w:i/>
          <w:iCs/>
        </w:rPr>
        <w:t>-Chu sequences with different roots.</w:t>
      </w:r>
    </w:p>
    <w:p w14:paraId="5BEC5BBD" w14:textId="77777777" w:rsidR="00290759" w:rsidRPr="003B0082" w:rsidRDefault="00290759" w:rsidP="00290759">
      <w:pPr>
        <w:pStyle w:val="B1"/>
        <w:rPr>
          <w:i/>
          <w:iCs/>
        </w:rPr>
      </w:pPr>
      <w:r w:rsidRPr="003B0082">
        <w:rPr>
          <w:i/>
          <w:iCs/>
        </w:rPr>
        <w:t>●</w:t>
      </w:r>
      <w:r w:rsidRPr="003B0082">
        <w:rPr>
          <w:i/>
          <w:iCs/>
        </w:rPr>
        <w:tab/>
        <w:t>Option-3: Gold/m-sequence as preamble sequence with additional process, e.g., modulation and transform precoding.</w:t>
      </w:r>
    </w:p>
    <w:p w14:paraId="158856C7" w14:textId="77777777" w:rsidR="00290759" w:rsidRPr="003B0082" w:rsidRDefault="00290759" w:rsidP="00290759">
      <w:pPr>
        <w:pStyle w:val="B1"/>
        <w:rPr>
          <w:i/>
          <w:iCs/>
          <w:color w:val="000000"/>
          <w:lang w:eastAsia="x-none"/>
        </w:rPr>
      </w:pPr>
      <w:r w:rsidRPr="003B0082">
        <w:rPr>
          <w:i/>
          <w:iCs/>
        </w:rPr>
        <w:t>●</w:t>
      </w:r>
      <w:r w:rsidRPr="003B0082">
        <w:rPr>
          <w:i/>
          <w:iCs/>
        </w:rPr>
        <w:tab/>
      </w:r>
      <w:r w:rsidRPr="003B0082">
        <w:rPr>
          <w:i/>
          <w:iCs/>
          <w:color w:val="000000"/>
          <w:lang w:eastAsia="x-none"/>
        </w:rPr>
        <w:t xml:space="preserve">Option-4: A single </w:t>
      </w:r>
      <w:proofErr w:type="spellStart"/>
      <w:r w:rsidRPr="003B0082">
        <w:rPr>
          <w:i/>
          <w:iCs/>
          <w:color w:val="000000"/>
          <w:lang w:eastAsia="x-none"/>
        </w:rPr>
        <w:t>Zadoff</w:t>
      </w:r>
      <w:proofErr w:type="spellEnd"/>
      <w:r w:rsidRPr="003B0082">
        <w:rPr>
          <w:i/>
          <w:iCs/>
          <w:color w:val="000000"/>
          <w:lang w:eastAsia="x-none"/>
        </w:rPr>
        <w:t>-Chu sequence with combination of scrambling sequence</w:t>
      </w:r>
    </w:p>
    <w:p w14:paraId="2A75C019" w14:textId="77777777" w:rsidR="00290759" w:rsidRPr="008A3807" w:rsidRDefault="00290759" w:rsidP="00290759">
      <w:r w:rsidRPr="008A3807">
        <w:t>The NTN SI</w:t>
      </w:r>
      <w:r>
        <w:t xml:space="preserve"> provides also guidance on how to down select the different options:</w:t>
      </w:r>
    </w:p>
    <w:p w14:paraId="02575494" w14:textId="77777777" w:rsidR="00290759" w:rsidRPr="003B0082" w:rsidRDefault="00290759" w:rsidP="00290759">
      <w:pPr>
        <w:pStyle w:val="B1"/>
        <w:rPr>
          <w:i/>
          <w:iCs/>
        </w:rPr>
      </w:pPr>
      <w:r w:rsidRPr="003B0082">
        <w:rPr>
          <w:i/>
          <w:iCs/>
        </w:rPr>
        <w:t>●</w:t>
      </w:r>
      <w:r w:rsidRPr="003B0082">
        <w:rPr>
          <w:i/>
          <w:iCs/>
        </w:rPr>
        <w:tab/>
      </w:r>
      <w:r>
        <w:rPr>
          <w:i/>
          <w:iCs/>
        </w:rPr>
        <w:t>minimize required normative work.</w:t>
      </w:r>
    </w:p>
    <w:p w14:paraId="6B546EE8" w14:textId="77777777" w:rsidR="00290759" w:rsidRPr="003B0082" w:rsidRDefault="00290759" w:rsidP="00290759">
      <w:pPr>
        <w:pStyle w:val="B1"/>
        <w:rPr>
          <w:i/>
          <w:iCs/>
        </w:rPr>
      </w:pPr>
      <w:r w:rsidRPr="003B0082">
        <w:rPr>
          <w:i/>
          <w:iCs/>
        </w:rPr>
        <w:t>●</w:t>
      </w:r>
      <w:r w:rsidRPr="003B0082">
        <w:rPr>
          <w:i/>
          <w:iCs/>
        </w:rPr>
        <w:tab/>
      </w:r>
      <w:r>
        <w:rPr>
          <w:i/>
          <w:iCs/>
        </w:rPr>
        <w:t>minimize implementation complexity.</w:t>
      </w:r>
    </w:p>
    <w:p w14:paraId="212F9C84" w14:textId="77777777" w:rsidR="00290759" w:rsidRPr="003B0082" w:rsidRDefault="00290759" w:rsidP="00290759">
      <w:pPr>
        <w:pStyle w:val="B1"/>
        <w:rPr>
          <w:i/>
          <w:iCs/>
        </w:rPr>
      </w:pPr>
      <w:r w:rsidRPr="003B0082">
        <w:rPr>
          <w:i/>
          <w:iCs/>
        </w:rPr>
        <w:t>●</w:t>
      </w:r>
      <w:r w:rsidRPr="003B0082">
        <w:rPr>
          <w:i/>
          <w:iCs/>
        </w:rPr>
        <w:tab/>
      </w:r>
      <w:r>
        <w:rPr>
          <w:i/>
          <w:iCs/>
        </w:rPr>
        <w:t>minimize testing in device and network.</w:t>
      </w:r>
    </w:p>
    <w:p w14:paraId="3A944374" w14:textId="77777777" w:rsidR="00290759" w:rsidRPr="00466CE7" w:rsidRDefault="00290759" w:rsidP="00290759">
      <w:pPr>
        <w:jc w:val="both"/>
      </w:pPr>
      <w:r>
        <w:t>From our perspective o</w:t>
      </w:r>
      <w:r w:rsidRPr="00466CE7">
        <w:t>ption-1 is the</w:t>
      </w:r>
      <w:r>
        <w:t xml:space="preserve"> preferred solution over the others, because it is the only one that fulfils all listed requirements.</w:t>
      </w:r>
    </w:p>
    <w:p w14:paraId="64EC8843" w14:textId="230D3CE8" w:rsidR="00290759" w:rsidRDefault="00290759" w:rsidP="00290759">
      <w:pPr>
        <w:jc w:val="both"/>
      </w:pPr>
      <w:r>
        <w:t xml:space="preserve">A natural way to make initial access preambles more robust against residual frequency offsets is to allow higher SCS e.g. up to 240 kHz for FR2 in scenario with very large beam diameters and small elevation angles. Unambiguous preamble signature detection requires that the frequency offsets are within +/- 0.5 SCS. This range can be increased to +/-1.5 SCS by employing restricted set type A. The range can be further increased to +/-2.5 SCS by employing restricted set type B. Currently, higher SCS and restricted set types are not supported for preambles of length 139, 571 and 1151. In </w:t>
      </w:r>
      <w:r w:rsidR="283E1441">
        <w:t>addition,</w:t>
      </w:r>
      <w:r>
        <w:t xml:space="preserve"> specific subcarrier </w:t>
      </w:r>
      <w:r w:rsidR="65865764">
        <w:t>scaling</w:t>
      </w:r>
      <w:r>
        <w:t xml:space="preserve"> factors are linked to specific preamble lengths. Therefore, we suggest to introduce SCS scaling factors {0,1,2,3,4} for preambles of length {139,571,1151} and optionally deactivate specific root sequences via restricted set type A. </w:t>
      </w:r>
      <w:r>
        <w:fldChar w:fldCharType="begin"/>
      </w:r>
      <w:r>
        <w:instrText xml:space="preserve"> REF _Ref20915085 \h </w:instrText>
      </w:r>
      <w:r>
        <w:fldChar w:fldCharType="separate"/>
      </w:r>
      <w:r>
        <w:t xml:space="preserve">Table </w:t>
      </w:r>
      <w:r w:rsidRPr="776A0745">
        <w:rPr>
          <w:noProof/>
        </w:rPr>
        <w:t>1</w:t>
      </w:r>
      <w:r>
        <w:fldChar w:fldCharType="end"/>
      </w:r>
      <w:r>
        <w:t xml:space="preserve"> provides details on the configurations. </w:t>
      </w:r>
    </w:p>
    <w:p w14:paraId="61346B59" w14:textId="5F493E80" w:rsidR="00290759" w:rsidRDefault="00290759" w:rsidP="00290759">
      <w:pPr>
        <w:jc w:val="both"/>
        <w:rPr>
          <w:b/>
          <w:bCs/>
        </w:rPr>
      </w:pPr>
      <w:r w:rsidRPr="040A707E">
        <w:rPr>
          <w:b/>
          <w:bCs/>
        </w:rPr>
        <w:lastRenderedPageBreak/>
        <w:t xml:space="preserve">Proposal 1: Enable additional SCS scaling factors for all formats defined in TS 38.211 </w:t>
      </w:r>
      <w:r w:rsidR="00DC2CCF">
        <w:rPr>
          <w:b/>
          <w:bCs/>
        </w:rPr>
        <w:fldChar w:fldCharType="begin"/>
      </w:r>
      <w:r w:rsidR="00DC2CCF">
        <w:rPr>
          <w:b/>
          <w:bCs/>
        </w:rPr>
        <w:instrText xml:space="preserve"> REF _Ref61519062 \n \h </w:instrText>
      </w:r>
      <w:r w:rsidR="00DC2CCF">
        <w:rPr>
          <w:b/>
          <w:bCs/>
        </w:rPr>
      </w:r>
      <w:r w:rsidR="00DC2CCF">
        <w:rPr>
          <w:b/>
          <w:bCs/>
        </w:rPr>
        <w:fldChar w:fldCharType="separate"/>
      </w:r>
      <w:r w:rsidR="00DC2CCF">
        <w:rPr>
          <w:b/>
          <w:bCs/>
        </w:rPr>
        <w:t>[3]</w:t>
      </w:r>
      <w:r w:rsidR="00DC2CCF">
        <w:rPr>
          <w:b/>
          <w:bCs/>
        </w:rPr>
        <w:fldChar w:fldCharType="end"/>
      </w:r>
      <w:r w:rsidR="00DC2CCF">
        <w:rPr>
          <w:b/>
          <w:bCs/>
        </w:rPr>
        <w:t xml:space="preserve"> </w:t>
      </w:r>
      <w:r w:rsidRPr="040A707E">
        <w:rPr>
          <w:b/>
          <w:bCs/>
        </w:rPr>
        <w:t>table 6.3.3.1-2</w:t>
      </w:r>
      <w:r w:rsidR="000E7046">
        <w:rPr>
          <w:b/>
          <w:bCs/>
        </w:rPr>
        <w:t>.</w:t>
      </w:r>
    </w:p>
    <w:p w14:paraId="33071C96" w14:textId="77777777" w:rsidR="00290759" w:rsidRDefault="00290759" w:rsidP="00290759">
      <w:pPr>
        <w:jc w:val="both"/>
        <w:rPr>
          <w:b/>
          <w:bCs/>
        </w:rPr>
      </w:pPr>
      <w:r>
        <w:rPr>
          <w:b/>
          <w:bCs/>
        </w:rPr>
        <w:t>Proposal 2: Support restricted set type A for formats defined in TS 38.211 table 6.3.3.1-2</w:t>
      </w:r>
    </w:p>
    <w:p w14:paraId="32E06582" w14:textId="3CCCF894" w:rsidR="00290759" w:rsidRDefault="00290759" w:rsidP="00290759">
      <w:pPr>
        <w:jc w:val="both"/>
        <w:rPr>
          <w:b/>
          <w:bCs/>
        </w:rPr>
      </w:pPr>
    </w:p>
    <w:p w14:paraId="1E69109F" w14:textId="3FAF68D9" w:rsidR="007C729A" w:rsidRDefault="007C729A" w:rsidP="00290759">
      <w:pPr>
        <w:jc w:val="both"/>
        <w:rPr>
          <w:b/>
          <w:bCs/>
        </w:rPr>
      </w:pPr>
    </w:p>
    <w:p w14:paraId="47561271" w14:textId="77777777" w:rsidR="007C729A" w:rsidRPr="005F6649" w:rsidRDefault="007C729A" w:rsidP="00290759">
      <w:pPr>
        <w:jc w:val="both"/>
        <w:rPr>
          <w:b/>
          <w:bCs/>
        </w:rPr>
      </w:pPr>
    </w:p>
    <w:p w14:paraId="65A2FCD9" w14:textId="2E78FD93" w:rsidR="00290759" w:rsidRPr="0065373B" w:rsidRDefault="00290759" w:rsidP="00290759">
      <w:pPr>
        <w:jc w:val="center"/>
        <w:rPr>
          <w:i/>
        </w:rPr>
      </w:pPr>
      <w:bookmarkStart w:id="3" w:name="_Ref20915085"/>
      <w:r w:rsidRPr="00CF3672">
        <w:t xml:space="preserve">Table </w:t>
      </w:r>
      <w:fldSimple w:instr=" SEQ Table \* ARABIC ">
        <w:r>
          <w:rPr>
            <w:noProof/>
          </w:rPr>
          <w:t>1</w:t>
        </w:r>
      </w:fldSimple>
      <w:bookmarkEnd w:id="3"/>
      <w:r w:rsidRPr="00CF3672">
        <w:t xml:space="preserve">. </w:t>
      </w:r>
      <w:r>
        <w:t>Configurations for enhanced ZC preambles.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561"/>
        <w:gridCol w:w="1118"/>
        <w:gridCol w:w="1256"/>
        <w:gridCol w:w="1809"/>
        <w:gridCol w:w="1405"/>
        <w:gridCol w:w="1543"/>
      </w:tblGrid>
      <w:tr w:rsidR="00290759" w:rsidRPr="00A460BC" w14:paraId="5CF683FB" w14:textId="77777777" w:rsidTr="000E7046">
        <w:trPr>
          <w:jc w:val="center"/>
        </w:trPr>
        <w:tc>
          <w:tcPr>
            <w:tcW w:w="937"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8CAFBC1" w14:textId="77777777" w:rsidR="00290759" w:rsidRPr="00A460BC" w:rsidRDefault="00290759" w:rsidP="00F75AA7">
            <w:pPr>
              <w:pStyle w:val="TAC"/>
              <w:rPr>
                <w:rFonts w:ascii="Times New Roman" w:eastAsia="Batang" w:hAnsi="Times New Roman"/>
                <w:sz w:val="20"/>
              </w:rPr>
            </w:pPr>
            <w:r w:rsidRPr="00A460BC">
              <w:rPr>
                <w:rFonts w:ascii="Times New Roman" w:eastAsia="Batang" w:hAnsi="Times New Roman"/>
                <w:sz w:val="20"/>
              </w:rPr>
              <w:t>Format</w:t>
            </w:r>
          </w:p>
        </w:tc>
        <w:tc>
          <w:tcPr>
            <w:tcW w:w="1561" w:type="dxa"/>
            <w:tcBorders>
              <w:top w:val="thinThickSmallGap" w:sz="12" w:space="0" w:color="auto"/>
              <w:left w:val="single" w:sz="4" w:space="0" w:color="auto"/>
              <w:bottom w:val="single" w:sz="4" w:space="0" w:color="auto"/>
              <w:right w:val="single" w:sz="4" w:space="0" w:color="auto"/>
            </w:tcBorders>
            <w:vAlign w:val="center"/>
          </w:tcPr>
          <w:p w14:paraId="5E28FCAB" w14:textId="77777777" w:rsidR="00290759" w:rsidRPr="00A460BC" w:rsidRDefault="009B7939" w:rsidP="00F75AA7">
            <w:pPr>
              <w:pStyle w:val="TAR"/>
              <w:jc w:val="center"/>
              <w:rPr>
                <w:rFonts w:ascii="Times New Roman" w:eastAsia="Batang" w:hAnsi="Times New Roman"/>
                <w:sz w:val="20"/>
              </w:rPr>
            </w:pPr>
            <m:oMathPara>
              <m:oMath>
                <m:sSub>
                  <m:sSubPr>
                    <m:ctrlPr>
                      <w:rPr>
                        <w:rFonts w:ascii="Cambria Math" w:eastAsia="Batang" w:hAnsi="Times New Roman"/>
                        <w:i/>
                        <w:sz w:val="20"/>
                      </w:rPr>
                    </m:ctrlPr>
                  </m:sSubPr>
                  <m:e>
                    <m:r>
                      <w:rPr>
                        <w:rFonts w:ascii="Cambria Math" w:eastAsia="Batang" w:hAnsi="Times New Roman"/>
                        <w:sz w:val="20"/>
                      </w:rPr>
                      <m:t>L</m:t>
                    </m:r>
                  </m:e>
                  <m:sub>
                    <m:r>
                      <m:rPr>
                        <m:nor/>
                      </m:rPr>
                      <w:rPr>
                        <w:rFonts w:ascii="Cambria Math" w:eastAsia="Batang" w:hAnsi="Times New Roman"/>
                        <w:sz w:val="20"/>
                      </w:rPr>
                      <m:t>RA</m:t>
                    </m:r>
                    <m:ctrlPr>
                      <w:rPr>
                        <w:rFonts w:ascii="Cambria Math" w:eastAsia="Batang" w:hAnsi="Times New Roman"/>
                        <w:sz w:val="20"/>
                      </w:rPr>
                    </m:ctrlPr>
                  </m:sub>
                </m:sSub>
                <m:r>
                  <w:rPr>
                    <w:rFonts w:ascii="Cambria Math" w:hAnsi="Cambria Math"/>
                    <w:sz w:val="22"/>
                    <w:lang w:eastAsia="zh-CN"/>
                  </w:rPr>
                  <m:t>∈</m:t>
                </m:r>
              </m:oMath>
            </m:oMathPara>
          </w:p>
        </w:tc>
        <w:tc>
          <w:tcPr>
            <w:tcW w:w="1118" w:type="dxa"/>
            <w:tcBorders>
              <w:top w:val="thinThickSmallGap" w:sz="12" w:space="0" w:color="auto"/>
              <w:left w:val="single" w:sz="4" w:space="0" w:color="auto"/>
              <w:bottom w:val="single" w:sz="4" w:space="0" w:color="auto"/>
              <w:right w:val="single" w:sz="4" w:space="0" w:color="auto"/>
            </w:tcBorders>
            <w:vAlign w:val="center"/>
          </w:tcPr>
          <w:p w14:paraId="657218FD" w14:textId="77777777" w:rsidR="00290759" w:rsidRPr="009E00B1" w:rsidRDefault="00290759" w:rsidP="00F75AA7">
            <w:pPr>
              <w:pStyle w:val="TAR"/>
              <w:jc w:val="center"/>
              <w:rPr>
                <w:rFonts w:ascii="Times New Roman" w:eastAsia="Batang" w:hAnsi="Times New Roman"/>
                <w:sz w:val="20"/>
              </w:rPr>
            </w:pPr>
            <m:oMathPara>
              <m:oMath>
                <m:r>
                  <w:rPr>
                    <w:rFonts w:ascii="Cambria Math" w:eastAsia="Batang" w:hAnsi="Cambria Math"/>
                    <w:sz w:val="20"/>
                  </w:rPr>
                  <m:t>μ∈</m:t>
                </m:r>
              </m:oMath>
            </m:oMathPara>
          </w:p>
        </w:tc>
        <w:tc>
          <w:tcPr>
            <w:tcW w:w="1256" w:type="dxa"/>
            <w:tcBorders>
              <w:top w:val="thinThickSmallGap" w:sz="12" w:space="0" w:color="auto"/>
              <w:left w:val="single" w:sz="4" w:space="0" w:color="auto"/>
              <w:bottom w:val="single" w:sz="4" w:space="0" w:color="auto"/>
              <w:right w:val="single" w:sz="4" w:space="0" w:color="auto"/>
            </w:tcBorders>
            <w:vAlign w:val="center"/>
          </w:tcPr>
          <w:p w14:paraId="65359F30" w14:textId="77777777" w:rsidR="00290759" w:rsidRPr="00A460BC" w:rsidRDefault="00290759" w:rsidP="00F75AA7">
            <w:pPr>
              <w:pStyle w:val="TAR"/>
              <w:jc w:val="center"/>
              <w:rPr>
                <w:rFonts w:ascii="Cambria Math" w:hAnsi="Cambria Math"/>
                <w:sz w:val="20"/>
                <w:oMath/>
              </w:rPr>
            </w:pPr>
            <m:oMathPara>
              <m:oMath>
                <m:r>
                  <w:rPr>
                    <w:rFonts w:ascii="Cambria Math" w:hAnsi="Cambria Math"/>
                    <w:i/>
                    <w:sz w:val="20"/>
                  </w:rPr>
                  <w:object w:dxaOrig="520" w:dyaOrig="340" w14:anchorId="435BC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6.65pt" o:ole="">
                      <v:imagedata r:id="rId8" o:title=""/>
                    </v:shape>
                    <o:OLEObject Type="Embed" ProgID="Equation.3" ShapeID="_x0000_i1025" DrawAspect="Content" ObjectID="_1672490648" r:id="rId9"/>
                  </w:object>
                </m:r>
              </m:oMath>
            </m:oMathPara>
          </w:p>
        </w:tc>
        <w:tc>
          <w:tcPr>
            <w:tcW w:w="1809"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528E940" w14:textId="77777777" w:rsidR="00290759" w:rsidRPr="00A460BC" w:rsidRDefault="00290759" w:rsidP="00F75AA7">
            <w:pPr>
              <w:pStyle w:val="TAR"/>
              <w:jc w:val="center"/>
              <w:rPr>
                <w:rFonts w:ascii="Cambria Math" w:hAnsi="Cambria Math"/>
                <w:sz w:val="20"/>
                <w:oMath/>
              </w:rPr>
            </w:pPr>
            <m:oMathPara>
              <m:oMath>
                <m:r>
                  <w:rPr>
                    <w:rFonts w:ascii="Cambria Math" w:hAnsi="Cambria Math"/>
                    <w:i/>
                    <w:sz w:val="20"/>
                  </w:rPr>
                  <w:object w:dxaOrig="320" w:dyaOrig="300" w14:anchorId="343C64A4">
                    <v:shape id="_x0000_i1026" type="#_x0000_t75" style="width:15.05pt;height:15.05pt" o:ole="">
                      <v:imagedata r:id="rId10" o:title=""/>
                    </v:shape>
                    <o:OLEObject Type="Embed" ProgID="Equation.3" ShapeID="_x0000_i1026" DrawAspect="Content" ObjectID="_1672490649" r:id="rId11"/>
                  </w:object>
                </m:r>
              </m:oMath>
            </m:oMathPara>
          </w:p>
        </w:tc>
        <w:tc>
          <w:tcPr>
            <w:tcW w:w="1405"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D891CE9" w14:textId="77777777" w:rsidR="00290759" w:rsidRPr="00A460BC" w:rsidRDefault="00290759" w:rsidP="00F75AA7">
            <w:pPr>
              <w:pStyle w:val="TAR"/>
              <w:jc w:val="center"/>
              <w:rPr>
                <w:rFonts w:ascii="Cambria Math" w:hAnsi="Cambria Math"/>
                <w:sz w:val="20"/>
                <w:oMath/>
              </w:rPr>
            </w:pPr>
            <m:oMathPara>
              <m:oMath>
                <m:r>
                  <w:rPr>
                    <w:rFonts w:ascii="Cambria Math" w:hAnsi="Cambria Math"/>
                    <w:i/>
                    <w:sz w:val="20"/>
                  </w:rPr>
                  <w:object w:dxaOrig="460" w:dyaOrig="340" w14:anchorId="0BEDB429">
                    <v:shape id="_x0000_i1027" type="#_x0000_t75" style="width:22.55pt;height:16.65pt" o:ole="">
                      <v:imagedata r:id="rId12" o:title=""/>
                    </v:shape>
                    <o:OLEObject Type="Embed" ProgID="Equation.3" ShapeID="_x0000_i1027" DrawAspect="Content" ObjectID="_1672490650" r:id="rId13"/>
                  </w:object>
                </m:r>
              </m:oMath>
            </m:oMathPara>
          </w:p>
        </w:tc>
        <w:tc>
          <w:tcPr>
            <w:tcW w:w="1543" w:type="dxa"/>
            <w:tcBorders>
              <w:top w:val="thinThickSmallGap" w:sz="12" w:space="0" w:color="auto"/>
              <w:left w:val="single" w:sz="4" w:space="0" w:color="auto"/>
              <w:bottom w:val="single" w:sz="4" w:space="0" w:color="auto"/>
              <w:right w:val="single" w:sz="4" w:space="0" w:color="auto"/>
            </w:tcBorders>
            <w:vAlign w:val="center"/>
          </w:tcPr>
          <w:p w14:paraId="3026D643" w14:textId="77777777" w:rsidR="00290759" w:rsidRPr="00A460BC" w:rsidRDefault="00290759" w:rsidP="00F75AA7">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290759" w:rsidRPr="00A460BC" w14:paraId="1D6962F1" w14:textId="77777777" w:rsidTr="000E7046">
        <w:trPr>
          <w:jc w:val="center"/>
        </w:trPr>
        <w:tc>
          <w:tcPr>
            <w:tcW w:w="937" w:type="dxa"/>
            <w:shd w:val="clear" w:color="auto" w:fill="auto"/>
            <w:vAlign w:val="center"/>
          </w:tcPr>
          <w:p w14:paraId="7832247F" w14:textId="77777777" w:rsidR="00290759" w:rsidRPr="00A460BC" w:rsidRDefault="00290759" w:rsidP="00F75AA7">
            <w:pPr>
              <w:pStyle w:val="TAC"/>
              <w:rPr>
                <w:rFonts w:ascii="Times New Roman" w:eastAsia="Batang" w:hAnsi="Times New Roman"/>
                <w:sz w:val="20"/>
              </w:rPr>
            </w:pPr>
            <w:r w:rsidRPr="00197E22">
              <w:rPr>
                <w:rFonts w:eastAsia="Batang"/>
              </w:rPr>
              <w:t>A1</w:t>
            </w:r>
          </w:p>
        </w:tc>
        <w:tc>
          <w:tcPr>
            <w:tcW w:w="1561" w:type="dxa"/>
            <w:vAlign w:val="center"/>
          </w:tcPr>
          <w:p w14:paraId="36AF270E"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87A14EE"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7E81EE49"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599F623A"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528820B6"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288κ⋅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B5BD78F"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2006640B" w14:textId="77777777" w:rsidTr="000E7046">
        <w:trPr>
          <w:jc w:val="center"/>
        </w:trPr>
        <w:tc>
          <w:tcPr>
            <w:tcW w:w="937" w:type="dxa"/>
            <w:shd w:val="clear" w:color="auto" w:fill="auto"/>
            <w:vAlign w:val="center"/>
          </w:tcPr>
          <w:p w14:paraId="6F0570CB" w14:textId="77777777" w:rsidR="00290759" w:rsidRPr="00A460BC" w:rsidRDefault="00290759" w:rsidP="00F75AA7">
            <w:pPr>
              <w:pStyle w:val="TAC"/>
              <w:rPr>
                <w:rFonts w:ascii="Times New Roman" w:eastAsia="Batang" w:hAnsi="Times New Roman"/>
                <w:sz w:val="20"/>
              </w:rPr>
            </w:pPr>
            <w:r w:rsidRPr="00197E22">
              <w:rPr>
                <w:rFonts w:eastAsia="Batang"/>
              </w:rPr>
              <w:t>A2</w:t>
            </w:r>
          </w:p>
        </w:tc>
        <w:tc>
          <w:tcPr>
            <w:tcW w:w="1561" w:type="dxa"/>
            <w:vAlign w:val="center"/>
          </w:tcPr>
          <w:p w14:paraId="3EC51342"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9809A07"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45A1CA38"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6AD7B1B7"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FC99E7B"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576κ⋅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24D1CF31"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10695121" w14:textId="77777777" w:rsidTr="000E7046">
        <w:trPr>
          <w:jc w:val="center"/>
        </w:trPr>
        <w:tc>
          <w:tcPr>
            <w:tcW w:w="937" w:type="dxa"/>
            <w:shd w:val="clear" w:color="auto" w:fill="auto"/>
            <w:vAlign w:val="center"/>
          </w:tcPr>
          <w:p w14:paraId="3038BA49" w14:textId="77777777" w:rsidR="00290759" w:rsidRPr="00A460BC" w:rsidRDefault="00290759" w:rsidP="00F75AA7">
            <w:pPr>
              <w:pStyle w:val="TAC"/>
              <w:rPr>
                <w:rFonts w:ascii="Times New Roman" w:eastAsia="Batang" w:hAnsi="Times New Roman"/>
                <w:sz w:val="20"/>
              </w:rPr>
            </w:pPr>
            <w:r w:rsidRPr="00197E22">
              <w:rPr>
                <w:rFonts w:eastAsia="Batang"/>
              </w:rPr>
              <w:t>A3</w:t>
            </w:r>
          </w:p>
        </w:tc>
        <w:tc>
          <w:tcPr>
            <w:tcW w:w="1561" w:type="dxa"/>
            <w:vAlign w:val="center"/>
          </w:tcPr>
          <w:p w14:paraId="0B4F5685"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DB6D12D"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6983B9A2"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7D7579A7"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1EC8FAE6"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864κ⋅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1F4E0D84"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03AB5A2D" w14:textId="77777777" w:rsidTr="000E7046">
        <w:trPr>
          <w:jc w:val="center"/>
        </w:trPr>
        <w:tc>
          <w:tcPr>
            <w:tcW w:w="937" w:type="dxa"/>
            <w:shd w:val="clear" w:color="auto" w:fill="auto"/>
            <w:vAlign w:val="center"/>
          </w:tcPr>
          <w:p w14:paraId="335A201A" w14:textId="77777777" w:rsidR="00290759" w:rsidRPr="00A460BC" w:rsidRDefault="00290759" w:rsidP="00F75AA7">
            <w:pPr>
              <w:pStyle w:val="TAC"/>
              <w:rPr>
                <w:rFonts w:ascii="Times New Roman" w:eastAsia="Batang" w:hAnsi="Times New Roman"/>
                <w:sz w:val="20"/>
              </w:rPr>
            </w:pPr>
            <w:r w:rsidRPr="00197E22">
              <w:rPr>
                <w:rFonts w:eastAsia="Batang"/>
              </w:rPr>
              <w:t>B1</w:t>
            </w:r>
          </w:p>
        </w:tc>
        <w:tc>
          <w:tcPr>
            <w:tcW w:w="1561" w:type="dxa"/>
            <w:vAlign w:val="center"/>
          </w:tcPr>
          <w:p w14:paraId="238E595E"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7072F69"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59B294D4"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33046002"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49E40225"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216κ⋅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B3321FA"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21A81BF3" w14:textId="77777777" w:rsidTr="000E7046">
        <w:trPr>
          <w:jc w:val="center"/>
        </w:trPr>
        <w:tc>
          <w:tcPr>
            <w:tcW w:w="937" w:type="dxa"/>
            <w:shd w:val="clear" w:color="auto" w:fill="auto"/>
            <w:vAlign w:val="center"/>
          </w:tcPr>
          <w:p w14:paraId="5FAF2878" w14:textId="77777777" w:rsidR="00290759" w:rsidRPr="00A460BC" w:rsidRDefault="00290759" w:rsidP="00F75AA7">
            <w:pPr>
              <w:pStyle w:val="TAC"/>
              <w:rPr>
                <w:rFonts w:ascii="Times New Roman" w:eastAsia="Batang" w:hAnsi="Times New Roman"/>
                <w:sz w:val="20"/>
              </w:rPr>
            </w:pPr>
            <w:r w:rsidRPr="00197E22">
              <w:rPr>
                <w:rFonts w:eastAsia="Batang"/>
              </w:rPr>
              <w:t>B2</w:t>
            </w:r>
          </w:p>
        </w:tc>
        <w:tc>
          <w:tcPr>
            <w:tcW w:w="1561" w:type="dxa"/>
            <w:vAlign w:val="center"/>
          </w:tcPr>
          <w:p w14:paraId="5DB05F4E"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524519C3"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3FFA334B"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7C8E9BD5"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5FD478C"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360κ⋅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60AE816D"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03340E97" w14:textId="77777777" w:rsidTr="000E7046">
        <w:trPr>
          <w:jc w:val="center"/>
        </w:trPr>
        <w:tc>
          <w:tcPr>
            <w:tcW w:w="937" w:type="dxa"/>
            <w:shd w:val="clear" w:color="auto" w:fill="auto"/>
            <w:vAlign w:val="center"/>
          </w:tcPr>
          <w:p w14:paraId="4944FB97" w14:textId="77777777" w:rsidR="00290759" w:rsidRPr="00A460BC" w:rsidRDefault="00290759" w:rsidP="00F75AA7">
            <w:pPr>
              <w:pStyle w:val="TAC"/>
              <w:rPr>
                <w:rFonts w:ascii="Times New Roman" w:eastAsia="Batang" w:hAnsi="Times New Roman"/>
                <w:sz w:val="20"/>
              </w:rPr>
            </w:pPr>
            <w:r w:rsidRPr="00197E22">
              <w:rPr>
                <w:rFonts w:eastAsia="Batang"/>
              </w:rPr>
              <w:t>B3</w:t>
            </w:r>
          </w:p>
        </w:tc>
        <w:tc>
          <w:tcPr>
            <w:tcW w:w="1561" w:type="dxa"/>
            <w:vAlign w:val="center"/>
          </w:tcPr>
          <w:p w14:paraId="7674A02D"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331D3C2"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5995AB97"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5DE4B245"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997E8EB"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504κ⋅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3CF4FC5"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2000CF54" w14:textId="77777777" w:rsidTr="000E7046">
        <w:trPr>
          <w:jc w:val="center"/>
        </w:trPr>
        <w:tc>
          <w:tcPr>
            <w:tcW w:w="937" w:type="dxa"/>
            <w:shd w:val="clear" w:color="auto" w:fill="auto"/>
            <w:vAlign w:val="center"/>
          </w:tcPr>
          <w:p w14:paraId="7F20580C" w14:textId="77777777" w:rsidR="00290759" w:rsidRPr="00A460BC" w:rsidRDefault="00290759" w:rsidP="00F75AA7">
            <w:pPr>
              <w:pStyle w:val="TAC"/>
              <w:rPr>
                <w:rFonts w:ascii="Times New Roman" w:eastAsia="Batang" w:hAnsi="Times New Roman"/>
                <w:sz w:val="20"/>
              </w:rPr>
            </w:pPr>
            <w:r w:rsidRPr="00197E22">
              <w:rPr>
                <w:rFonts w:eastAsia="Batang"/>
              </w:rPr>
              <w:t>B4</w:t>
            </w:r>
          </w:p>
        </w:tc>
        <w:tc>
          <w:tcPr>
            <w:tcW w:w="1561" w:type="dxa"/>
            <w:vAlign w:val="center"/>
          </w:tcPr>
          <w:p w14:paraId="16DEB01D"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816F45D"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23A99DF4"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3D1D7162"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12⋅2048κ⋅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D938AFA"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936κ⋅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10477283"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5261103E" w14:textId="77777777" w:rsidTr="000E7046">
        <w:trPr>
          <w:jc w:val="center"/>
        </w:trPr>
        <w:tc>
          <w:tcPr>
            <w:tcW w:w="937" w:type="dxa"/>
            <w:shd w:val="clear" w:color="auto" w:fill="auto"/>
            <w:vAlign w:val="center"/>
          </w:tcPr>
          <w:p w14:paraId="5A1E84C8" w14:textId="77777777" w:rsidR="00290759" w:rsidRPr="00A460BC" w:rsidRDefault="00290759" w:rsidP="00F75AA7">
            <w:pPr>
              <w:pStyle w:val="TAC"/>
              <w:rPr>
                <w:rFonts w:ascii="Times New Roman" w:eastAsia="Batang" w:hAnsi="Times New Roman"/>
                <w:sz w:val="20"/>
              </w:rPr>
            </w:pPr>
            <w:r w:rsidRPr="00197E22">
              <w:rPr>
                <w:rFonts w:eastAsia="Batang"/>
              </w:rPr>
              <w:t>C0</w:t>
            </w:r>
          </w:p>
        </w:tc>
        <w:tc>
          <w:tcPr>
            <w:tcW w:w="1561" w:type="dxa"/>
            <w:vAlign w:val="center"/>
          </w:tcPr>
          <w:p w14:paraId="5FD8E07E"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1E293AEF"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2EC6B1A6"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179A0A71"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B8F626D"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1240κ⋅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16BFAD1E"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r w:rsidR="00290759" w:rsidRPr="00A460BC" w14:paraId="6996C259" w14:textId="77777777" w:rsidTr="000E7046">
        <w:trPr>
          <w:jc w:val="center"/>
        </w:trPr>
        <w:tc>
          <w:tcPr>
            <w:tcW w:w="937" w:type="dxa"/>
            <w:shd w:val="clear" w:color="auto" w:fill="auto"/>
            <w:vAlign w:val="center"/>
          </w:tcPr>
          <w:p w14:paraId="099BFC81" w14:textId="77777777" w:rsidR="00290759" w:rsidRPr="00A460BC" w:rsidRDefault="00290759" w:rsidP="00F75AA7">
            <w:pPr>
              <w:pStyle w:val="TAC"/>
              <w:rPr>
                <w:rFonts w:ascii="Times New Roman" w:eastAsia="Batang" w:hAnsi="Times New Roman"/>
                <w:sz w:val="20"/>
              </w:rPr>
            </w:pPr>
            <w:r>
              <w:rPr>
                <w:rFonts w:eastAsia="Batang"/>
              </w:rPr>
              <w:t>C2</w:t>
            </w:r>
          </w:p>
        </w:tc>
        <w:tc>
          <w:tcPr>
            <w:tcW w:w="1561" w:type="dxa"/>
            <w:vAlign w:val="center"/>
          </w:tcPr>
          <w:p w14:paraId="40328E58"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6E8BA99F" w14:textId="77777777" w:rsidR="00290759" w:rsidRPr="000D071B" w:rsidRDefault="00290759" w:rsidP="00F75AA7">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7EF728ED" w14:textId="77777777" w:rsidR="00290759" w:rsidRDefault="00290759" w:rsidP="00F75AA7">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6AEA0927" w14:textId="77777777" w:rsidR="00290759" w:rsidRPr="000D071B" w:rsidRDefault="00290759" w:rsidP="00F75AA7">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F6DFD27" w14:textId="77777777" w:rsidR="00290759" w:rsidRPr="000D071B" w:rsidRDefault="00290759" w:rsidP="00F75AA7">
            <w:pPr>
              <w:pStyle w:val="TAR"/>
              <w:jc w:val="center"/>
              <w:rPr>
                <w:rFonts w:ascii="Cambria Math" w:eastAsia="Batang"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29958EDF" w14:textId="77777777" w:rsidR="00290759" w:rsidRDefault="00290759" w:rsidP="00F75AA7">
            <w:pPr>
              <w:pStyle w:val="TAC"/>
              <w:rPr>
                <w:rFonts w:ascii="Times New Roman" w:eastAsia="Batang" w:hAnsi="Times New Roman"/>
                <w:sz w:val="20"/>
              </w:rPr>
            </w:pPr>
            <w:r>
              <w:rPr>
                <w:rFonts w:ascii="Times New Roman" w:eastAsia="Batang" w:hAnsi="Times New Roman"/>
                <w:sz w:val="20"/>
              </w:rPr>
              <w:t>Type A</w:t>
            </w:r>
          </w:p>
        </w:tc>
      </w:tr>
    </w:tbl>
    <w:p w14:paraId="57AAB928" w14:textId="77777777" w:rsidR="00290759" w:rsidRDefault="00290759" w:rsidP="00290759"/>
    <w:p w14:paraId="4B8E11CA" w14:textId="77777777" w:rsidR="00290759" w:rsidRDefault="00290759" w:rsidP="00290759">
      <w:pPr>
        <w:jc w:val="both"/>
      </w:pPr>
      <w:r>
        <w:t>From Fig. 1-3 it can be observed that the residual differential (uncompensated) delay and hence the cyclic shift (N</w:t>
      </w:r>
      <w:r w:rsidRPr="007150F2">
        <w:rPr>
          <w:vertAlign w:val="subscript"/>
        </w:rPr>
        <w:t>CS</w:t>
      </w:r>
      <w:r>
        <w:t>) should be kept as small as possible such that a large number of preambles can be offered in the network. Employing restricted set type B is not considered as an option because this would, specifically for preambles of length 139, lead to a small number of preambles.</w:t>
      </w:r>
    </w:p>
    <w:p w14:paraId="244D5F8E" w14:textId="77777777" w:rsidR="00290759" w:rsidRDefault="00290759" w:rsidP="00290759"/>
    <w:p w14:paraId="47579703" w14:textId="746AFB4E" w:rsidR="00290759" w:rsidRDefault="00AF5095" w:rsidP="00290759">
      <w:pPr>
        <w:jc w:val="center"/>
      </w:pPr>
      <w:r>
        <w:rPr>
          <w:noProof/>
        </w:rPr>
        <w:drawing>
          <wp:inline distT="0" distB="0" distL="0" distR="0" wp14:anchorId="3C48DF6E" wp14:editId="0F4243FC">
            <wp:extent cx="3236400" cy="20664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236400" cy="2066400"/>
                    </a:xfrm>
                    <a:prstGeom prst="rect">
                      <a:avLst/>
                    </a:prstGeom>
                  </pic:spPr>
                </pic:pic>
              </a:graphicData>
            </a:graphic>
          </wp:inline>
        </w:drawing>
      </w:r>
    </w:p>
    <w:p w14:paraId="0649326C" w14:textId="7818950B" w:rsidR="00290759" w:rsidRPr="003003A0" w:rsidRDefault="00290759" w:rsidP="00290759">
      <w:pPr>
        <w:rPr>
          <w:i/>
        </w:rPr>
      </w:pPr>
      <w:bookmarkStart w:id="4" w:name="_Ref21099028"/>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1</w:t>
      </w:r>
      <w:r w:rsidRPr="003003A0">
        <w:rPr>
          <w:i/>
        </w:rPr>
        <w:fldChar w:fldCharType="end"/>
      </w:r>
      <w:bookmarkEnd w:id="4"/>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=139.</w:t>
      </w:r>
    </w:p>
    <w:p w14:paraId="41201507" w14:textId="467A80CA" w:rsidR="00290759" w:rsidRDefault="00AF5095" w:rsidP="00290759">
      <w:pPr>
        <w:jc w:val="center"/>
      </w:pPr>
      <w:r>
        <w:rPr>
          <w:noProof/>
        </w:rPr>
        <w:lastRenderedPageBreak/>
        <w:drawing>
          <wp:inline distT="0" distB="0" distL="0" distR="0" wp14:anchorId="366454E9" wp14:editId="21D46F89">
            <wp:extent cx="3254400" cy="209160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254400" cy="2091600"/>
                    </a:xfrm>
                    <a:prstGeom prst="rect">
                      <a:avLst/>
                    </a:prstGeom>
                  </pic:spPr>
                </pic:pic>
              </a:graphicData>
            </a:graphic>
          </wp:inline>
        </w:drawing>
      </w:r>
    </w:p>
    <w:p w14:paraId="06D38570" w14:textId="7FB66D68" w:rsidR="00290759" w:rsidRPr="003003A0" w:rsidRDefault="00290759" w:rsidP="00290759">
      <w:pPr>
        <w:rPr>
          <w:i/>
        </w:rPr>
      </w:pPr>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2</w:t>
      </w:r>
      <w:r w:rsidRPr="003003A0">
        <w:rPr>
          <w:i/>
        </w:rPr>
        <w:fldChar w:fldCharType="end"/>
      </w:r>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=571.</w:t>
      </w:r>
    </w:p>
    <w:p w14:paraId="7BB2CFA2" w14:textId="2CF19881" w:rsidR="00290759" w:rsidRDefault="00C10BB0" w:rsidP="00290759">
      <w:pPr>
        <w:jc w:val="center"/>
      </w:pPr>
      <w:r>
        <w:rPr>
          <w:noProof/>
        </w:rPr>
        <w:drawing>
          <wp:inline distT="0" distB="0" distL="0" distR="0" wp14:anchorId="57AA8447" wp14:editId="18E4C129">
            <wp:extent cx="3236400" cy="2070000"/>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3236400" cy="2070000"/>
                    </a:xfrm>
                    <a:prstGeom prst="rect">
                      <a:avLst/>
                    </a:prstGeom>
                  </pic:spPr>
                </pic:pic>
              </a:graphicData>
            </a:graphic>
          </wp:inline>
        </w:drawing>
      </w:r>
    </w:p>
    <w:p w14:paraId="15D471AA" w14:textId="49FB501F" w:rsidR="00290759" w:rsidRDefault="00290759" w:rsidP="00290759">
      <w:pPr>
        <w:rPr>
          <w:i/>
        </w:rPr>
      </w:pPr>
      <w:r w:rsidRPr="040A707E">
        <w:rPr>
          <w:i/>
          <w:iCs/>
        </w:rPr>
        <w:t xml:space="preserve">Figure </w:t>
      </w:r>
      <w:r w:rsidRPr="040A707E">
        <w:rPr>
          <w:i/>
          <w:iCs/>
        </w:rPr>
        <w:fldChar w:fldCharType="begin"/>
      </w:r>
      <w:r w:rsidRPr="040A707E">
        <w:rPr>
          <w:i/>
          <w:iCs/>
        </w:rPr>
        <w:instrText xml:space="preserve"> SEQ Figure \* ARABIC </w:instrText>
      </w:r>
      <w:r w:rsidRPr="040A707E">
        <w:rPr>
          <w:i/>
          <w:iCs/>
        </w:rPr>
        <w:fldChar w:fldCharType="separate"/>
      </w:r>
      <w:r w:rsidRPr="040A707E">
        <w:rPr>
          <w:i/>
          <w:iCs/>
          <w:noProof/>
        </w:rPr>
        <w:t>3</w:t>
      </w:r>
      <w:r w:rsidRPr="040A707E">
        <w:rPr>
          <w:i/>
          <w:iCs/>
        </w:rPr>
        <w:fldChar w:fldCharType="end"/>
      </w:r>
      <w:r w:rsidRPr="040A707E">
        <w:rPr>
          <w:i/>
          <w:iCs/>
        </w:rPr>
        <w:t>. Number of available preambles for unrestricted and restricted set type A as function of N</w:t>
      </w:r>
      <w:r w:rsidRPr="040A707E">
        <w:rPr>
          <w:i/>
          <w:iCs/>
          <w:vertAlign w:val="subscript"/>
        </w:rPr>
        <w:t>CS</w:t>
      </w:r>
      <w:r w:rsidRPr="040A707E">
        <w:rPr>
          <w:i/>
          <w:iCs/>
        </w:rPr>
        <w:t xml:space="preserve"> for L</w:t>
      </w:r>
      <w:r w:rsidRPr="040A707E">
        <w:rPr>
          <w:i/>
          <w:iCs/>
          <w:vertAlign w:val="subscript"/>
        </w:rPr>
        <w:t>RA</w:t>
      </w:r>
      <w:r w:rsidRPr="040A707E">
        <w:rPr>
          <w:i/>
          <w:iCs/>
        </w:rPr>
        <w:t>=1151.</w:t>
      </w:r>
    </w:p>
    <w:p w14:paraId="4E0425B6" w14:textId="0E1875D3" w:rsidR="040A707E" w:rsidRDefault="040A707E" w:rsidP="040A707E">
      <w:pPr>
        <w:rPr>
          <w:rFonts w:eastAsia="Times New Roman"/>
          <w:color w:val="000000" w:themeColor="text1"/>
        </w:rPr>
      </w:pPr>
    </w:p>
    <w:p w14:paraId="78CB7229" w14:textId="69DB3700" w:rsidR="13B054A8" w:rsidRDefault="13B054A8" w:rsidP="040A707E">
      <w:pPr>
        <w:pStyle w:val="Heading1"/>
        <w:rPr>
          <w:rFonts w:eastAsia="Arial" w:cs="Arial"/>
          <w:color w:val="000000" w:themeColor="text1"/>
          <w:szCs w:val="36"/>
        </w:rPr>
      </w:pPr>
      <w:r w:rsidRPr="040A707E">
        <w:rPr>
          <w:rFonts w:eastAsia="Arial" w:cs="Arial"/>
          <w:color w:val="000000" w:themeColor="text1"/>
          <w:szCs w:val="36"/>
        </w:rPr>
        <w:t>Reliance on GNSS Systems</w:t>
      </w:r>
    </w:p>
    <w:p w14:paraId="09BB4749" w14:textId="18EF6BF4" w:rsidR="13B054A8" w:rsidRPr="00753C3D" w:rsidRDefault="13B054A8" w:rsidP="040A707E">
      <w:pPr>
        <w:rPr>
          <w:rFonts w:eastAsia="Times New Roman"/>
          <w:color w:val="000000" w:themeColor="text1"/>
        </w:rPr>
      </w:pPr>
      <w:r w:rsidRPr="00753C3D">
        <w:rPr>
          <w:rFonts w:eastAsia="Times New Roman"/>
          <w:color w:val="000000" w:themeColor="text1"/>
        </w:rPr>
        <w:t xml:space="preserve">The usage of GNSS-based solution, assumes the UE has access to a GNSS system. However, the GNSS solution is not part of the 3GPP specification standard, and therefore it is not subject to standardization. As such, the 3GPP can’t standardize how the UE implements its GNSS solution. </w:t>
      </w:r>
    </w:p>
    <w:p w14:paraId="2B657FB4" w14:textId="6563AEDB" w:rsidR="13B054A8" w:rsidRPr="00753C3D" w:rsidRDefault="13B054A8" w:rsidP="040A707E">
      <w:pPr>
        <w:rPr>
          <w:rFonts w:eastAsia="Times New Roman"/>
          <w:color w:val="000000" w:themeColor="text1"/>
        </w:rPr>
      </w:pPr>
      <w:r w:rsidRPr="00753C3D">
        <w:rPr>
          <w:rFonts w:eastAsia="Times New Roman"/>
          <w:b/>
          <w:bCs/>
          <w:color w:val="000000" w:themeColor="text1"/>
        </w:rPr>
        <w:t xml:space="preserve">Observation 1: As GNSS is external to 3GPP, the standard cannot dictate how the UE implements its GNSS solution nor the system chosen (GPS, GLONASS,Galileo, Others). </w:t>
      </w:r>
    </w:p>
    <w:p w14:paraId="7344AC69" w14:textId="1814C19B" w:rsidR="13B054A8" w:rsidRPr="00753C3D" w:rsidRDefault="13B054A8" w:rsidP="040A707E">
      <w:pPr>
        <w:rPr>
          <w:rFonts w:eastAsia="Times New Roman"/>
          <w:color w:val="000000" w:themeColor="text1"/>
        </w:rPr>
      </w:pPr>
      <w:r w:rsidRPr="00753C3D">
        <w:rPr>
          <w:rFonts w:eastAsia="Times New Roman"/>
          <w:b/>
          <w:bCs/>
          <w:color w:val="000000" w:themeColor="text1"/>
        </w:rPr>
        <w:t>Observation 2: The precision and availability provided by different systems may vary significantly.</w:t>
      </w:r>
    </w:p>
    <w:p w14:paraId="2D211B9E" w14:textId="495AFEBE" w:rsidR="13B054A8" w:rsidRPr="00753C3D" w:rsidRDefault="13B054A8" w:rsidP="040A707E">
      <w:pPr>
        <w:rPr>
          <w:rFonts w:eastAsia="Times New Roman"/>
          <w:color w:val="000000" w:themeColor="text1"/>
        </w:rPr>
      </w:pPr>
      <w:r w:rsidRPr="00753C3D">
        <w:rPr>
          <w:rFonts w:eastAsia="Times New Roman"/>
          <w:color w:val="000000" w:themeColor="text1"/>
        </w:rPr>
        <w:t>The full-reliance on GNSS for synch</w:t>
      </w:r>
      <w:r w:rsidR="5BC489DB" w:rsidRPr="00753C3D">
        <w:rPr>
          <w:rFonts w:eastAsia="Times New Roman"/>
          <w:color w:val="000000" w:themeColor="text1"/>
        </w:rPr>
        <w:t>r</w:t>
      </w:r>
      <w:r w:rsidRPr="00753C3D">
        <w:rPr>
          <w:rFonts w:eastAsia="Times New Roman"/>
          <w:color w:val="000000" w:themeColor="text1"/>
        </w:rPr>
        <w:t xml:space="preserve">onization and Random Access procedures leaves the 3GPP system implementation dependent on third part systems. This create additional room for threats to the functioning of the system: </w:t>
      </w:r>
    </w:p>
    <w:p w14:paraId="2F55DF43" w14:textId="493D8369" w:rsidR="13B054A8" w:rsidRDefault="13B054A8" w:rsidP="040A707E">
      <w:pPr>
        <w:pStyle w:val="ListParagraph"/>
        <w:numPr>
          <w:ilvl w:val="0"/>
          <w:numId w:val="1"/>
        </w:numPr>
        <w:rPr>
          <w:rFonts w:eastAsia="Times New Roman"/>
          <w:color w:val="000000" w:themeColor="text1"/>
          <w:sz w:val="20"/>
          <w:szCs w:val="20"/>
          <w:lang w:val="en-GB"/>
        </w:rPr>
      </w:pPr>
      <w:r w:rsidRPr="040A707E">
        <w:rPr>
          <w:rFonts w:eastAsia="Times New Roman"/>
          <w:color w:val="000000" w:themeColor="text1"/>
          <w:sz w:val="20"/>
          <w:szCs w:val="20"/>
        </w:rPr>
        <w:t>Spoofing: Modification of the position of the UE. Systems like GPS are know to be vulnerable to spoofing (</w:t>
      </w:r>
      <w:hyperlink r:id="rId17">
        <w:r w:rsidRPr="040A707E">
          <w:rPr>
            <w:rStyle w:val="Hyperlink"/>
            <w:rFonts w:eastAsia="Times New Roman"/>
            <w:sz w:val="20"/>
            <w:szCs w:val="20"/>
          </w:rPr>
          <w:t>https://nakedsecurity.sophos.com/2013/07/31/80-million-yacht-hijacked-by-students-spoofing-gps-signals/</w:t>
        </w:r>
      </w:hyperlink>
      <w:r w:rsidRPr="040A707E">
        <w:rPr>
          <w:rFonts w:eastAsia="Times New Roman"/>
          <w:color w:val="000000" w:themeColor="text1"/>
          <w:sz w:val="20"/>
          <w:szCs w:val="20"/>
        </w:rPr>
        <w:t xml:space="preserve"> ). For Random Access, the major threat is to prevent the UE to ever be able to get the RA process complete due to lack of synchronization.</w:t>
      </w:r>
    </w:p>
    <w:p w14:paraId="511A595D" w14:textId="51E057B8" w:rsidR="13B054A8" w:rsidRDefault="13B054A8" w:rsidP="040A707E">
      <w:pPr>
        <w:pStyle w:val="ListParagraph"/>
        <w:numPr>
          <w:ilvl w:val="0"/>
          <w:numId w:val="1"/>
        </w:numPr>
        <w:rPr>
          <w:rFonts w:eastAsia="Times New Roman"/>
          <w:color w:val="000000" w:themeColor="text1"/>
          <w:sz w:val="20"/>
          <w:szCs w:val="20"/>
          <w:lang w:val="en-GB"/>
        </w:rPr>
      </w:pPr>
      <w:proofErr w:type="spellStart"/>
      <w:r w:rsidRPr="040A707E">
        <w:rPr>
          <w:rFonts w:eastAsia="Times New Roman"/>
          <w:color w:val="000000" w:themeColor="text1"/>
          <w:sz w:val="20"/>
          <w:szCs w:val="20"/>
        </w:rPr>
        <w:t>Jamming</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Most</w:t>
      </w:r>
      <w:proofErr w:type="spellEnd"/>
      <w:r w:rsidRPr="040A707E">
        <w:rPr>
          <w:rFonts w:eastAsia="Times New Roman"/>
          <w:color w:val="000000" w:themeColor="text1"/>
          <w:sz w:val="20"/>
          <w:szCs w:val="20"/>
        </w:rPr>
        <w:t xml:space="preserve"> of GNSS </w:t>
      </w:r>
      <w:proofErr w:type="spellStart"/>
      <w:r w:rsidRPr="040A707E">
        <w:rPr>
          <w:rFonts w:eastAsia="Times New Roman"/>
          <w:color w:val="000000" w:themeColor="text1"/>
          <w:sz w:val="20"/>
          <w:szCs w:val="20"/>
        </w:rPr>
        <w:t>systems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are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know</w:t>
      </w:r>
      <w:r w:rsidR="00D70031">
        <w:rPr>
          <w:rFonts w:eastAsia="Times New Roman"/>
          <w:color w:val="000000" w:themeColor="text1"/>
          <w:sz w:val="20"/>
          <w:szCs w:val="20"/>
        </w:rPr>
        <w:t>n</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be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highly</w:t>
      </w:r>
      <w:proofErr w:type="spellEnd"/>
      <w:r w:rsidRPr="040A707E">
        <w:rPr>
          <w:rFonts w:eastAsia="Times New Roman"/>
          <w:color w:val="000000" w:themeColor="text1"/>
          <w:sz w:val="20"/>
          <w:szCs w:val="20"/>
        </w:rPr>
        <w:t xml:space="preserve"> </w:t>
      </w:r>
      <w:proofErr w:type="spellStart"/>
      <w:r w:rsidR="00D70031">
        <w:rPr>
          <w:rFonts w:eastAsia="Times New Roman"/>
          <w:color w:val="000000" w:themeColor="text1"/>
          <w:sz w:val="20"/>
          <w:szCs w:val="20"/>
        </w:rPr>
        <w:t>sensitive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jamming</w:t>
      </w:r>
      <w:proofErr w:type="spellEnd"/>
      <w:r w:rsidRPr="040A707E">
        <w:rPr>
          <w:rFonts w:eastAsia="Times New Roman"/>
          <w:color w:val="000000" w:themeColor="text1"/>
          <w:sz w:val="20"/>
          <w:szCs w:val="20"/>
        </w:rPr>
        <w:t xml:space="preserve"> of </w:t>
      </w:r>
      <w:proofErr w:type="spellStart"/>
      <w:r w:rsidRPr="040A707E">
        <w:rPr>
          <w:rFonts w:eastAsia="Times New Roman"/>
          <w:color w:val="000000" w:themeColor="text1"/>
          <w:sz w:val="20"/>
          <w:szCs w:val="20"/>
        </w:rPr>
        <w:t>their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signals</w:t>
      </w:r>
      <w:proofErr w:type="spellEnd"/>
      <w:r w:rsidRPr="040A707E">
        <w:rPr>
          <w:rFonts w:eastAsia="Times New Roman"/>
          <w:color w:val="000000" w:themeColor="text1"/>
          <w:sz w:val="20"/>
          <w:szCs w:val="20"/>
        </w:rPr>
        <w:t>.</w:t>
      </w:r>
    </w:p>
    <w:p w14:paraId="447C980B" w14:textId="6E64991F" w:rsidR="13B054A8" w:rsidRDefault="13B054A8" w:rsidP="040A707E">
      <w:pPr>
        <w:pStyle w:val="ListParagraph"/>
        <w:numPr>
          <w:ilvl w:val="0"/>
          <w:numId w:val="1"/>
        </w:numPr>
        <w:rPr>
          <w:rFonts w:eastAsia="Times New Roman"/>
          <w:color w:val="000000" w:themeColor="text1"/>
          <w:sz w:val="20"/>
          <w:szCs w:val="20"/>
          <w:lang w:val="en-GB"/>
        </w:rPr>
      </w:pPr>
      <w:r w:rsidRPr="040A707E">
        <w:rPr>
          <w:rFonts w:eastAsia="Times New Roman"/>
          <w:color w:val="000000" w:themeColor="text1"/>
          <w:sz w:val="20"/>
          <w:szCs w:val="20"/>
        </w:rPr>
        <w:lastRenderedPageBreak/>
        <w:t xml:space="preserve">Availability: The provider of the GNSS system may decide to turn off, modify, remove free access to their system, without notice or consideration to the NTN service provider. This will impact UEs capability to access the network and their satisfaction. </w:t>
      </w:r>
    </w:p>
    <w:p w14:paraId="132A60CD" w14:textId="77FD9991" w:rsidR="13B054A8" w:rsidRDefault="13B054A8" w:rsidP="040A707E">
      <w:pPr>
        <w:pStyle w:val="ListParagraph"/>
        <w:numPr>
          <w:ilvl w:val="0"/>
          <w:numId w:val="1"/>
        </w:numPr>
        <w:rPr>
          <w:rFonts w:eastAsia="Times New Roman"/>
          <w:color w:val="000000" w:themeColor="text1"/>
          <w:sz w:val="20"/>
          <w:szCs w:val="20"/>
          <w:lang w:val="en-GB"/>
        </w:rPr>
      </w:pPr>
      <w:r w:rsidRPr="040A707E">
        <w:rPr>
          <w:rFonts w:eastAsia="Times New Roman"/>
          <w:color w:val="000000" w:themeColor="text1"/>
          <w:sz w:val="20"/>
          <w:szCs w:val="20"/>
        </w:rPr>
        <w:t xml:space="preserve">Hacking: The 3GPP cannot ensure the third part system is not subject to malicious attacks, as its security implementations are outside the 3GPP world. </w:t>
      </w:r>
    </w:p>
    <w:p w14:paraId="60544BC1" w14:textId="4B4B45E2" w:rsidR="040A707E" w:rsidRPr="00CC41A5" w:rsidRDefault="040A707E" w:rsidP="040A707E">
      <w:pPr>
        <w:rPr>
          <w:rFonts w:eastAsia="Times New Roman"/>
          <w:color w:val="000000" w:themeColor="text1"/>
        </w:rPr>
      </w:pPr>
    </w:p>
    <w:p w14:paraId="4723A8C8" w14:textId="1C72B437" w:rsidR="13B054A8" w:rsidRPr="00CC41A5" w:rsidRDefault="13B054A8" w:rsidP="040A707E">
      <w:pPr>
        <w:rPr>
          <w:rFonts w:eastAsia="Times New Roman"/>
          <w:color w:val="000000" w:themeColor="text1"/>
        </w:rPr>
      </w:pPr>
      <w:r w:rsidRPr="00CC41A5">
        <w:rPr>
          <w:rFonts w:eastAsia="Times New Roman"/>
          <w:color w:val="000000" w:themeColor="text1"/>
        </w:rPr>
        <w:t>Other applications utilize GNSS for implementing or refining their solutions, but NTN seems more vulnerable to faults in GNSS systems, as the entire connectivity (the Random Access procedure) is fully relying on GNSS.</w:t>
      </w:r>
    </w:p>
    <w:p w14:paraId="3AA2DD49" w14:textId="225C7A18" w:rsidR="13B054A8" w:rsidRPr="00CC41A5" w:rsidRDefault="13B054A8" w:rsidP="040A707E">
      <w:pPr>
        <w:rPr>
          <w:rFonts w:eastAsia="Times New Roman"/>
          <w:color w:val="000000" w:themeColor="text1"/>
        </w:rPr>
      </w:pPr>
      <w:r w:rsidRPr="00CC41A5">
        <w:rPr>
          <w:rFonts w:eastAsia="Times New Roman"/>
          <w:b/>
          <w:bCs/>
          <w:color w:val="000000" w:themeColor="text1"/>
        </w:rPr>
        <w:t>Observation 3: Full reliance on third part GNSS applications leave the 3GPP systems exposed to vulnerabilities that cannot be subject to enha</w:t>
      </w:r>
      <w:r w:rsidR="66ED3D3C" w:rsidRPr="00CC41A5">
        <w:rPr>
          <w:rFonts w:eastAsia="Times New Roman"/>
          <w:b/>
          <w:bCs/>
          <w:color w:val="000000" w:themeColor="text1"/>
        </w:rPr>
        <w:t>n</w:t>
      </w:r>
      <w:r w:rsidRPr="00CC41A5">
        <w:rPr>
          <w:rFonts w:eastAsia="Times New Roman"/>
          <w:b/>
          <w:bCs/>
          <w:color w:val="000000" w:themeColor="text1"/>
        </w:rPr>
        <w:t xml:space="preserve">cements or modifications by 3GPP standards or service provider will. </w:t>
      </w:r>
    </w:p>
    <w:p w14:paraId="04BF305F" w14:textId="61009695" w:rsidR="13B054A8" w:rsidRPr="00CC41A5" w:rsidRDefault="13B054A8" w:rsidP="040A707E">
      <w:pPr>
        <w:rPr>
          <w:rFonts w:eastAsia="Times New Roman"/>
          <w:color w:val="000000" w:themeColor="text1"/>
        </w:rPr>
      </w:pPr>
      <w:r w:rsidRPr="00CC41A5">
        <w:rPr>
          <w:rFonts w:eastAsia="Times New Roman"/>
          <w:b/>
          <w:bCs/>
          <w:color w:val="000000" w:themeColor="text1"/>
        </w:rPr>
        <w:t>Proposal 3: NTN systems must contain a fall-back conservative solution that allows UE to access the network in case of faulty or malfunctioning GNSS systems.</w:t>
      </w:r>
    </w:p>
    <w:p w14:paraId="3F75D1B8" w14:textId="12735B9D" w:rsidR="040A707E" w:rsidRDefault="040A707E" w:rsidP="040A707E">
      <w:pPr>
        <w:rPr>
          <w:i/>
          <w:iCs/>
        </w:rPr>
      </w:pPr>
    </w:p>
    <w:p w14:paraId="6E8E5007" w14:textId="77777777" w:rsidR="00831C62" w:rsidRDefault="00831C62" w:rsidP="040A707E">
      <w:pPr>
        <w:rPr>
          <w:i/>
          <w:iCs/>
        </w:rPr>
      </w:pPr>
    </w:p>
    <w:p w14:paraId="7778C97F" w14:textId="2286DD92" w:rsidR="00013472" w:rsidRDefault="00013472" w:rsidP="00013472">
      <w:pPr>
        <w:pStyle w:val="Heading1"/>
      </w:pPr>
      <w:r>
        <w:t>Polarization signalling aspects</w:t>
      </w:r>
    </w:p>
    <w:p w14:paraId="30634044" w14:textId="31AE4314" w:rsidR="00013472" w:rsidRPr="00CC41A5" w:rsidRDefault="00013472" w:rsidP="00290759">
      <w:pPr>
        <w:rPr>
          <w:rStyle w:val="normaltextrun"/>
          <w:color w:val="000000"/>
          <w:bdr w:val="none" w:sz="0" w:space="0" w:color="auto" w:frame="1"/>
        </w:rPr>
      </w:pPr>
      <w:r w:rsidRPr="00CC41A5">
        <w:rPr>
          <w:rStyle w:val="normaltextrun"/>
          <w:color w:val="000000"/>
          <w:bdr w:val="none" w:sz="0" w:space="0" w:color="auto" w:frame="1"/>
        </w:rPr>
        <w:t>As part of the discussions related to the 8.4.4 agenda item at previous RAN1 meeting on polarization aspects for NTN operation</w:t>
      </w:r>
      <w:r w:rsidR="00887C68" w:rsidRPr="00CC41A5">
        <w:rPr>
          <w:rStyle w:val="normaltextrun"/>
          <w:color w:val="000000"/>
          <w:bdr w:val="none" w:sz="0" w:space="0" w:color="auto" w:frame="1"/>
        </w:rPr>
        <w:t>, the following agreement has been reached</w:t>
      </w:r>
      <w:r w:rsidR="00275FF3" w:rsidRPr="00CC41A5">
        <w:rPr>
          <w:rStyle w:val="normaltextrun"/>
          <w:color w:val="000000"/>
          <w:bdr w:val="none" w:sz="0" w:space="0" w:color="auto" w:frame="1"/>
        </w:rPr>
        <w:t xml:space="preserve"> [103-e-NR-NTN-Other-Enh]</w:t>
      </w:r>
      <w:r w:rsidR="00E13909">
        <w:rPr>
          <w:rStyle w:val="normaltextrun"/>
          <w:color w:val="000000"/>
          <w:bdr w:val="none" w:sz="0" w:space="0" w:color="auto" w:frame="1"/>
        </w:rPr>
        <w:t xml:space="preserve"> and </w:t>
      </w:r>
      <w:r w:rsidR="00E13909">
        <w:rPr>
          <w:rStyle w:val="normaltextrun"/>
          <w:color w:val="000000"/>
          <w:bdr w:val="none" w:sz="0" w:space="0" w:color="auto" w:frame="1"/>
        </w:rPr>
        <w:fldChar w:fldCharType="begin"/>
      </w:r>
      <w:r w:rsidR="00E13909">
        <w:rPr>
          <w:rStyle w:val="normaltextrun"/>
          <w:color w:val="000000"/>
          <w:bdr w:val="none" w:sz="0" w:space="0" w:color="auto" w:frame="1"/>
        </w:rPr>
        <w:instrText xml:space="preserve"> REF _Ref61873908 \r \h </w:instrText>
      </w:r>
      <w:r w:rsidR="00E13909">
        <w:rPr>
          <w:rStyle w:val="normaltextrun"/>
          <w:color w:val="000000"/>
          <w:bdr w:val="none" w:sz="0" w:space="0" w:color="auto" w:frame="1"/>
        </w:rPr>
      </w:r>
      <w:r w:rsidR="00E13909">
        <w:rPr>
          <w:rStyle w:val="normaltextrun"/>
          <w:color w:val="000000"/>
          <w:bdr w:val="none" w:sz="0" w:space="0" w:color="auto" w:frame="1"/>
        </w:rPr>
        <w:fldChar w:fldCharType="separate"/>
      </w:r>
      <w:r w:rsidR="00E13909">
        <w:rPr>
          <w:rStyle w:val="normaltextrun"/>
          <w:color w:val="000000"/>
          <w:bdr w:val="none" w:sz="0" w:space="0" w:color="auto" w:frame="1"/>
        </w:rPr>
        <w:t>[5]</w:t>
      </w:r>
      <w:r w:rsidR="00E13909">
        <w:rPr>
          <w:rStyle w:val="normaltextrun"/>
          <w:color w:val="000000"/>
          <w:bdr w:val="none" w:sz="0" w:space="0" w:color="auto" w:frame="1"/>
        </w:rPr>
        <w:fldChar w:fldCharType="end"/>
      </w:r>
      <w:r w:rsidR="00887C68" w:rsidRPr="00CC41A5">
        <w:rPr>
          <w:rStyle w:val="normaltextrun"/>
          <w:color w:val="000000"/>
          <w:bdr w:val="none" w:sz="0" w:space="0" w:color="auto" w:frame="1"/>
        </w:rPr>
        <w:t>:</w:t>
      </w:r>
      <w:r w:rsidRPr="00CC41A5">
        <w:rPr>
          <w:rStyle w:val="normaltextrun"/>
          <w:color w:val="000000"/>
          <w:bdr w:val="none" w:sz="0" w:space="0" w:color="auto" w:frame="1"/>
        </w:rPr>
        <w:t xml:space="preserve"> </w:t>
      </w:r>
    </w:p>
    <w:p w14:paraId="0F765B14" w14:textId="77777777" w:rsidR="00887C68" w:rsidRPr="00CC41A5" w:rsidRDefault="00887C68" w:rsidP="00831C62">
      <w:pPr>
        <w:spacing w:after="0"/>
        <w:ind w:left="568"/>
        <w:rPr>
          <w:i/>
          <w:iCs/>
        </w:rPr>
      </w:pPr>
      <w:r w:rsidRPr="00CC41A5">
        <w:rPr>
          <w:i/>
          <w:iCs/>
        </w:rPr>
        <w:t>Indication of polarization information for DL and UL by the network is supported. ​</w:t>
      </w:r>
    </w:p>
    <w:p w14:paraId="4A90C7BC" w14:textId="77777777" w:rsidR="00887C68" w:rsidRPr="00CC41A5" w:rsidRDefault="00887C68" w:rsidP="00831C62">
      <w:pPr>
        <w:numPr>
          <w:ilvl w:val="0"/>
          <w:numId w:val="30"/>
        </w:numPr>
        <w:tabs>
          <w:tab w:val="clear" w:pos="720"/>
          <w:tab w:val="num" w:pos="1288"/>
        </w:tabs>
        <w:spacing w:after="0"/>
        <w:ind w:left="934" w:firstLine="0"/>
        <w:rPr>
          <w:i/>
          <w:iCs/>
        </w:rPr>
      </w:pPr>
      <w:r w:rsidRPr="00CC41A5">
        <w:rPr>
          <w:i/>
          <w:iCs/>
        </w:rPr>
        <w:t>FFS: Signaling detail</w:t>
      </w:r>
    </w:p>
    <w:p w14:paraId="34960E47" w14:textId="41C2495C" w:rsidR="00013472" w:rsidRPr="00CC41A5" w:rsidRDefault="00013472" w:rsidP="00290759">
      <w:pPr>
        <w:rPr>
          <w:rStyle w:val="normaltextrun"/>
          <w:color w:val="000000"/>
          <w:bdr w:val="none" w:sz="0" w:space="0" w:color="auto" w:frame="1"/>
        </w:rPr>
      </w:pPr>
    </w:p>
    <w:p w14:paraId="28929855" w14:textId="0145D944" w:rsidR="00887C68" w:rsidRPr="00CC41A5" w:rsidRDefault="00C500E3" w:rsidP="00887C68">
      <w:pPr>
        <w:rPr>
          <w:rStyle w:val="normaltextrun"/>
          <w:color w:val="000000"/>
          <w:bdr w:val="none" w:sz="0" w:space="0" w:color="auto" w:frame="1"/>
        </w:rPr>
      </w:pPr>
      <w:r w:rsidRPr="00CC41A5">
        <w:rPr>
          <w:rStyle w:val="normaltextrun"/>
          <w:color w:val="000000"/>
          <w:bdr w:val="none" w:sz="0" w:space="0" w:color="auto" w:frame="1"/>
        </w:rPr>
        <w:t>In this discussion we address the signalling details</w:t>
      </w:r>
      <w:r w:rsidR="00D604DA" w:rsidRPr="00CC41A5">
        <w:rPr>
          <w:rStyle w:val="normaltextrun"/>
          <w:color w:val="000000"/>
          <w:bdr w:val="none" w:sz="0" w:space="0" w:color="auto" w:frame="1"/>
        </w:rPr>
        <w:t xml:space="preserve">. </w:t>
      </w:r>
      <w:r w:rsidR="00887C68" w:rsidRPr="00CC41A5">
        <w:rPr>
          <w:rStyle w:val="normaltextrun"/>
          <w:color w:val="000000"/>
          <w:bdr w:val="none" w:sz="0" w:space="0" w:color="auto" w:frame="1"/>
        </w:rPr>
        <w:t>Th</w:t>
      </w:r>
      <w:r w:rsidR="00D604DA" w:rsidRPr="00CC41A5">
        <w:rPr>
          <w:rStyle w:val="normaltextrun"/>
          <w:color w:val="000000"/>
          <w:bdr w:val="none" w:sz="0" w:space="0" w:color="auto" w:frame="1"/>
        </w:rPr>
        <w:t>e</w:t>
      </w:r>
      <w:r w:rsidR="00887C68" w:rsidRPr="00CC41A5">
        <w:rPr>
          <w:rStyle w:val="normaltextrun"/>
          <w:color w:val="000000"/>
          <w:bdr w:val="none" w:sz="0" w:space="0" w:color="auto" w:frame="1"/>
        </w:rPr>
        <w:t xml:space="preserve"> agreement</w:t>
      </w:r>
      <w:r w:rsidR="00D604DA" w:rsidRPr="00CC41A5">
        <w:rPr>
          <w:rStyle w:val="normaltextrun"/>
          <w:color w:val="000000"/>
          <w:bdr w:val="none" w:sz="0" w:space="0" w:color="auto" w:frame="1"/>
        </w:rPr>
        <w:t xml:space="preserve"> from [103-e-NR-NTN-Other-Enh] </w:t>
      </w:r>
      <w:r w:rsidR="00887C68" w:rsidRPr="00CC41A5">
        <w:rPr>
          <w:rStyle w:val="normaltextrun"/>
          <w:color w:val="000000"/>
          <w:bdr w:val="none" w:sz="0" w:space="0" w:color="auto" w:frame="1"/>
        </w:rPr>
        <w:t>has two direct implications:</w:t>
      </w:r>
    </w:p>
    <w:p w14:paraId="05AB426A" w14:textId="4352F1E3" w:rsidR="00887C68" w:rsidRPr="00CC41A5" w:rsidRDefault="00887C68" w:rsidP="00887C68">
      <w:pPr>
        <w:pStyle w:val="ListParagraph"/>
        <w:numPr>
          <w:ilvl w:val="0"/>
          <w:numId w:val="31"/>
        </w:numPr>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The polarization indication is to be provided by the network, and</w:t>
      </w:r>
    </w:p>
    <w:p w14:paraId="11FA87AB" w14:textId="70870ABB" w:rsidR="00D0235F" w:rsidRPr="00CC41A5" w:rsidRDefault="00D0235F" w:rsidP="00887C68">
      <w:pPr>
        <w:pStyle w:val="ListParagraph"/>
        <w:numPr>
          <w:ilvl w:val="0"/>
          <w:numId w:val="31"/>
        </w:numPr>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 xml:space="preserve">A single </w:t>
      </w:r>
      <w:r w:rsidR="00887C68" w:rsidRPr="00CC41A5">
        <w:rPr>
          <w:rStyle w:val="normaltextrun"/>
          <w:color w:val="000000"/>
          <w:sz w:val="20"/>
          <w:szCs w:val="20"/>
          <w:bdr w:val="none" w:sz="0" w:space="0" w:color="auto" w:frame="1"/>
          <w:lang w:val="en-GB" w:eastAsia="en-US"/>
        </w:rPr>
        <w:t xml:space="preserve">polarization indication </w:t>
      </w:r>
      <w:r w:rsidRPr="00CC41A5">
        <w:rPr>
          <w:rStyle w:val="normaltextrun"/>
          <w:color w:val="000000"/>
          <w:sz w:val="20"/>
          <w:szCs w:val="20"/>
          <w:bdr w:val="none" w:sz="0" w:space="0" w:color="auto" w:frame="1"/>
          <w:lang w:val="en-GB" w:eastAsia="en-US"/>
        </w:rPr>
        <w:t>is used</w:t>
      </w:r>
      <w:r w:rsidR="00887C68" w:rsidRPr="00CC41A5">
        <w:rPr>
          <w:rStyle w:val="normaltextrun"/>
          <w:color w:val="000000"/>
          <w:sz w:val="20"/>
          <w:szCs w:val="20"/>
          <w:bdr w:val="none" w:sz="0" w:space="0" w:color="auto" w:frame="1"/>
          <w:lang w:val="en-GB" w:eastAsia="en-US"/>
        </w:rPr>
        <w:t xml:space="preserve"> for </w:t>
      </w:r>
      <w:r w:rsidR="00055B6F" w:rsidRPr="00CC41A5">
        <w:rPr>
          <w:rStyle w:val="normaltextrun"/>
          <w:color w:val="000000"/>
          <w:sz w:val="20"/>
          <w:szCs w:val="20"/>
          <w:bdr w:val="none" w:sz="0" w:space="0" w:color="auto" w:frame="1"/>
          <w:lang w:val="en-GB" w:eastAsia="en-US"/>
        </w:rPr>
        <w:t xml:space="preserve">the </w:t>
      </w:r>
      <w:r w:rsidR="00887C68" w:rsidRPr="00CC41A5">
        <w:rPr>
          <w:rStyle w:val="normaltextrun"/>
          <w:color w:val="000000"/>
          <w:sz w:val="20"/>
          <w:szCs w:val="20"/>
          <w:bdr w:val="none" w:sz="0" w:space="0" w:color="auto" w:frame="1"/>
          <w:lang w:val="en-GB" w:eastAsia="en-US"/>
        </w:rPr>
        <w:t>polarization to be used for both UL and DL</w:t>
      </w:r>
      <w:r w:rsidRPr="00CC41A5">
        <w:rPr>
          <w:rStyle w:val="normaltextrun"/>
          <w:color w:val="000000"/>
          <w:sz w:val="20"/>
          <w:szCs w:val="20"/>
          <w:bdr w:val="none" w:sz="0" w:space="0" w:color="auto" w:frame="1"/>
          <w:lang w:val="en-GB" w:eastAsia="en-US"/>
        </w:rPr>
        <w:t>, or</w:t>
      </w:r>
    </w:p>
    <w:p w14:paraId="161F8B1E" w14:textId="7C156FD6" w:rsidR="00887C68" w:rsidRPr="00CC41A5" w:rsidRDefault="00D0235F" w:rsidP="000A3B34">
      <w:pPr>
        <w:pStyle w:val="ListParagraph"/>
        <w:numPr>
          <w:ilvl w:val="0"/>
          <w:numId w:val="31"/>
        </w:numPr>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 xml:space="preserve">Separate </w:t>
      </w:r>
      <w:r w:rsidR="006579B7" w:rsidRPr="00CC41A5">
        <w:rPr>
          <w:rStyle w:val="normaltextrun"/>
          <w:color w:val="000000"/>
          <w:sz w:val="20"/>
          <w:szCs w:val="20"/>
          <w:bdr w:val="none" w:sz="0" w:space="0" w:color="auto" w:frame="1"/>
          <w:lang w:val="en-GB" w:eastAsia="en-US"/>
        </w:rPr>
        <w:t>polarization indication</w:t>
      </w:r>
      <w:r w:rsidRPr="00CC41A5">
        <w:rPr>
          <w:rStyle w:val="normaltextrun"/>
          <w:color w:val="000000"/>
          <w:sz w:val="20"/>
          <w:szCs w:val="20"/>
          <w:bdr w:val="none" w:sz="0" w:space="0" w:color="auto" w:frame="1"/>
          <w:lang w:val="en-GB" w:eastAsia="en-US"/>
        </w:rPr>
        <w:t xml:space="preserve">s are used for </w:t>
      </w:r>
      <w:r w:rsidR="00055B6F" w:rsidRPr="00CC41A5">
        <w:rPr>
          <w:rStyle w:val="normaltextrun"/>
          <w:color w:val="000000"/>
          <w:sz w:val="20"/>
          <w:szCs w:val="20"/>
          <w:bdr w:val="none" w:sz="0" w:space="0" w:color="auto" w:frame="1"/>
          <w:lang w:val="en-GB" w:eastAsia="en-US"/>
        </w:rPr>
        <w:t xml:space="preserve">the </w:t>
      </w:r>
      <w:r w:rsidRPr="00CC41A5">
        <w:rPr>
          <w:rStyle w:val="normaltextrun"/>
          <w:color w:val="000000"/>
          <w:sz w:val="20"/>
          <w:szCs w:val="20"/>
          <w:bdr w:val="none" w:sz="0" w:space="0" w:color="auto" w:frame="1"/>
          <w:lang w:val="en-GB" w:eastAsia="en-US"/>
        </w:rPr>
        <w:t>polarization</w:t>
      </w:r>
      <w:r w:rsidR="008B103C" w:rsidRPr="00CC41A5">
        <w:rPr>
          <w:rStyle w:val="normaltextrun"/>
          <w:color w:val="000000"/>
          <w:sz w:val="20"/>
          <w:szCs w:val="20"/>
          <w:bdr w:val="none" w:sz="0" w:space="0" w:color="auto" w:frame="1"/>
          <w:lang w:val="en-GB" w:eastAsia="en-US"/>
        </w:rPr>
        <w:t>s</w:t>
      </w:r>
      <w:r w:rsidRPr="00CC41A5">
        <w:rPr>
          <w:rStyle w:val="normaltextrun"/>
          <w:color w:val="000000"/>
          <w:sz w:val="20"/>
          <w:szCs w:val="20"/>
          <w:bdr w:val="none" w:sz="0" w:space="0" w:color="auto" w:frame="1"/>
          <w:lang w:val="en-GB" w:eastAsia="en-US"/>
        </w:rPr>
        <w:t xml:space="preserve"> to be used for UL and DL</w:t>
      </w:r>
    </w:p>
    <w:p w14:paraId="26015F89" w14:textId="5D08C5FA" w:rsidR="00887C68" w:rsidRPr="00CC41A5" w:rsidRDefault="00887C68" w:rsidP="00290759">
      <w:pPr>
        <w:rPr>
          <w:rStyle w:val="normaltextrun"/>
          <w:color w:val="000000"/>
          <w:bdr w:val="none" w:sz="0" w:space="0" w:color="auto" w:frame="1"/>
        </w:rPr>
      </w:pPr>
    </w:p>
    <w:p w14:paraId="7666D1AD" w14:textId="064DC0F9" w:rsidR="0008034F" w:rsidRPr="00CC41A5" w:rsidRDefault="00805F13" w:rsidP="00290759">
      <w:pPr>
        <w:rPr>
          <w:rStyle w:val="normaltextrun"/>
          <w:color w:val="000000"/>
          <w:bdr w:val="none" w:sz="0" w:space="0" w:color="auto" w:frame="1"/>
        </w:rPr>
      </w:pPr>
      <w:r w:rsidRPr="00CC41A5">
        <w:rPr>
          <w:rStyle w:val="normaltextrun"/>
          <w:color w:val="000000"/>
          <w:bdr w:val="none" w:sz="0" w:space="0" w:color="auto" w:frame="1"/>
        </w:rPr>
        <w:t>In practice, t</w:t>
      </w:r>
      <w:r w:rsidR="00A13B4E" w:rsidRPr="00CC41A5">
        <w:rPr>
          <w:rStyle w:val="normaltextrun"/>
          <w:color w:val="000000"/>
          <w:bdr w:val="none" w:sz="0" w:space="0" w:color="auto" w:frame="1"/>
        </w:rPr>
        <w:t>he</w:t>
      </w:r>
      <w:r w:rsidR="0008034F" w:rsidRPr="00CC41A5">
        <w:rPr>
          <w:rStyle w:val="normaltextrun"/>
          <w:color w:val="000000"/>
          <w:bdr w:val="none" w:sz="0" w:space="0" w:color="auto" w:frame="1"/>
        </w:rPr>
        <w:t xml:space="preserve"> polarization</w:t>
      </w:r>
      <w:r w:rsidR="00A13B4E" w:rsidRPr="00CC41A5">
        <w:rPr>
          <w:rStyle w:val="normaltextrun"/>
          <w:color w:val="000000"/>
          <w:bdr w:val="none" w:sz="0" w:space="0" w:color="auto" w:frame="1"/>
        </w:rPr>
        <w:t xml:space="preserve"> indication can be provided </w:t>
      </w:r>
      <w:r w:rsidRPr="00CC41A5">
        <w:rPr>
          <w:rStyle w:val="normaltextrun"/>
          <w:color w:val="000000"/>
          <w:bdr w:val="none" w:sz="0" w:space="0" w:color="auto" w:frame="1"/>
        </w:rPr>
        <w:t>using</w:t>
      </w:r>
      <w:r w:rsidR="0008034F" w:rsidRPr="00CC41A5">
        <w:rPr>
          <w:rStyle w:val="normaltextrun"/>
          <w:color w:val="000000"/>
          <w:bdr w:val="none" w:sz="0" w:space="0" w:color="auto" w:frame="1"/>
        </w:rPr>
        <w:t>:</w:t>
      </w:r>
    </w:p>
    <w:p w14:paraId="21414FA0" w14:textId="4A58A8C4" w:rsidR="00542B86" w:rsidRPr="00CC41A5" w:rsidRDefault="00BD2CD2" w:rsidP="00BD2CD2">
      <w:pPr>
        <w:pStyle w:val="ListParagraph"/>
        <w:numPr>
          <w:ilvl w:val="0"/>
          <w:numId w:val="35"/>
        </w:numPr>
        <w:rPr>
          <w:rStyle w:val="normaltextrun"/>
          <w:color w:val="000000"/>
          <w:sz w:val="20"/>
          <w:szCs w:val="20"/>
          <w:bdr w:val="none" w:sz="0" w:space="0" w:color="auto" w:frame="1"/>
        </w:rPr>
      </w:pPr>
      <w:r w:rsidRPr="00CC41A5">
        <w:rPr>
          <w:rStyle w:val="normaltextrun"/>
          <w:color w:val="000000"/>
          <w:sz w:val="20"/>
          <w:szCs w:val="20"/>
          <w:bdr w:val="none" w:sz="0" w:space="0" w:color="auto" w:frame="1"/>
        </w:rPr>
        <w:t>B</w:t>
      </w:r>
      <w:r w:rsidR="00A13B4E" w:rsidRPr="00CC41A5">
        <w:rPr>
          <w:rStyle w:val="normaltextrun"/>
          <w:color w:val="000000"/>
          <w:sz w:val="20"/>
          <w:szCs w:val="20"/>
          <w:bdr w:val="none" w:sz="0" w:space="0" w:color="auto" w:frame="1"/>
        </w:rPr>
        <w:t>roadcast information for IDLE mode UEs</w:t>
      </w:r>
      <w:r w:rsidR="00F84BA6" w:rsidRPr="00CC41A5">
        <w:rPr>
          <w:rStyle w:val="normaltextrun"/>
          <w:color w:val="000000"/>
          <w:sz w:val="20"/>
          <w:szCs w:val="20"/>
          <w:bdr w:val="none" w:sz="0" w:space="0" w:color="auto" w:frame="1"/>
        </w:rPr>
        <w:t xml:space="preserve">, </w:t>
      </w:r>
      <w:r w:rsidR="00A13B4E" w:rsidRPr="00CC41A5">
        <w:rPr>
          <w:rStyle w:val="normaltextrun"/>
          <w:color w:val="000000"/>
          <w:sz w:val="20"/>
          <w:szCs w:val="20"/>
          <w:bdr w:val="none" w:sz="0" w:space="0" w:color="auto" w:frame="1"/>
        </w:rPr>
        <w:t>and/or</w:t>
      </w:r>
    </w:p>
    <w:p w14:paraId="79C41220" w14:textId="0F93CE03" w:rsidR="0008034F" w:rsidRPr="00CC41A5" w:rsidRDefault="00A13B4E" w:rsidP="00BD2CD2">
      <w:pPr>
        <w:pStyle w:val="ListParagraph"/>
        <w:numPr>
          <w:ilvl w:val="0"/>
          <w:numId w:val="35"/>
        </w:numPr>
        <w:rPr>
          <w:rStyle w:val="normaltextrun"/>
          <w:color w:val="000000"/>
          <w:sz w:val="20"/>
          <w:szCs w:val="20"/>
          <w:bdr w:val="none" w:sz="0" w:space="0" w:color="auto" w:frame="1"/>
        </w:rPr>
      </w:pPr>
      <w:r w:rsidRPr="00CC41A5">
        <w:rPr>
          <w:rStyle w:val="normaltextrun"/>
          <w:color w:val="000000"/>
          <w:sz w:val="20"/>
          <w:szCs w:val="20"/>
          <w:bdr w:val="none" w:sz="0" w:space="0" w:color="auto" w:frame="1"/>
        </w:rPr>
        <w:t>RRC signalling for CONNECTED mode U</w:t>
      </w:r>
      <w:r w:rsidR="00DF6F47" w:rsidRPr="00CC41A5">
        <w:rPr>
          <w:rStyle w:val="normaltextrun"/>
          <w:color w:val="000000"/>
          <w:sz w:val="20"/>
          <w:szCs w:val="20"/>
          <w:bdr w:val="none" w:sz="0" w:space="0" w:color="auto" w:frame="1"/>
        </w:rPr>
        <w:t>E</w:t>
      </w:r>
      <w:r w:rsidRPr="00CC41A5">
        <w:rPr>
          <w:rStyle w:val="normaltextrun"/>
          <w:color w:val="000000"/>
          <w:sz w:val="20"/>
          <w:szCs w:val="20"/>
          <w:bdr w:val="none" w:sz="0" w:space="0" w:color="auto" w:frame="1"/>
        </w:rPr>
        <w:t>s.</w:t>
      </w:r>
      <w:r w:rsidR="00802B1D" w:rsidRPr="00CC41A5">
        <w:rPr>
          <w:rStyle w:val="normaltextrun"/>
          <w:color w:val="000000"/>
          <w:sz w:val="20"/>
          <w:szCs w:val="20"/>
          <w:bdr w:val="none" w:sz="0" w:space="0" w:color="auto" w:frame="1"/>
        </w:rPr>
        <w:t xml:space="preserve"> </w:t>
      </w:r>
    </w:p>
    <w:p w14:paraId="03E66838" w14:textId="77777777" w:rsidR="00BD2CD2" w:rsidRPr="00CC41A5" w:rsidRDefault="00BD2CD2" w:rsidP="0008034F">
      <w:pPr>
        <w:rPr>
          <w:rStyle w:val="normaltextrun"/>
          <w:color w:val="000000"/>
          <w:bdr w:val="none" w:sz="0" w:space="0" w:color="auto" w:frame="1"/>
        </w:rPr>
      </w:pPr>
    </w:p>
    <w:p w14:paraId="21FB5A3F" w14:textId="659F200F" w:rsidR="00B61318" w:rsidRPr="00CC41A5" w:rsidRDefault="00F13623" w:rsidP="00F0284F">
      <w:pPr>
        <w:rPr>
          <w:rStyle w:val="normaltextrun"/>
          <w:color w:val="000000"/>
          <w:bdr w:val="none" w:sz="0" w:space="0" w:color="auto" w:frame="1"/>
        </w:rPr>
      </w:pPr>
      <w:r w:rsidRPr="00CC41A5">
        <w:rPr>
          <w:rStyle w:val="normaltextrun"/>
          <w:color w:val="000000"/>
          <w:bdr w:val="none" w:sz="0" w:space="0" w:color="auto" w:frame="1"/>
        </w:rPr>
        <w:t>We assume</w:t>
      </w:r>
      <w:r w:rsidR="00C22B90" w:rsidRPr="00CC41A5">
        <w:rPr>
          <w:rStyle w:val="normaltextrun"/>
          <w:color w:val="000000"/>
          <w:bdr w:val="none" w:sz="0" w:space="0" w:color="auto" w:frame="1"/>
        </w:rPr>
        <w:t xml:space="preserve"> o</w:t>
      </w:r>
      <w:r w:rsidR="00F0284F" w:rsidRPr="00CC41A5">
        <w:rPr>
          <w:rStyle w:val="normaltextrun"/>
          <w:color w:val="000000"/>
          <w:bdr w:val="none" w:sz="0" w:space="0" w:color="auto" w:frame="1"/>
        </w:rPr>
        <w:t>ption i)</w:t>
      </w:r>
      <w:r w:rsidRPr="00CC41A5">
        <w:rPr>
          <w:rStyle w:val="normaltextrun"/>
          <w:color w:val="000000"/>
          <w:bdr w:val="none" w:sz="0" w:space="0" w:color="auto" w:frame="1"/>
        </w:rPr>
        <w:t xml:space="preserve"> </w:t>
      </w:r>
      <w:r w:rsidR="002F0EF3" w:rsidRPr="00CC41A5">
        <w:rPr>
          <w:rStyle w:val="normaltextrun"/>
          <w:color w:val="000000"/>
          <w:bdr w:val="none" w:sz="0" w:space="0" w:color="auto" w:frame="1"/>
        </w:rPr>
        <w:t xml:space="preserve">as the </w:t>
      </w:r>
      <w:r w:rsidR="005254AA" w:rsidRPr="00CC41A5">
        <w:rPr>
          <w:rStyle w:val="normaltextrun"/>
          <w:color w:val="000000"/>
          <w:bdr w:val="none" w:sz="0" w:space="0" w:color="auto" w:frame="1"/>
        </w:rPr>
        <w:t>default</w:t>
      </w:r>
      <w:r w:rsidR="002F0EF3" w:rsidRPr="00CC41A5">
        <w:rPr>
          <w:rStyle w:val="normaltextrun"/>
          <w:color w:val="000000"/>
          <w:bdr w:val="none" w:sz="0" w:space="0" w:color="auto" w:frame="1"/>
        </w:rPr>
        <w:t xml:space="preserve"> signalling mechanism for polarisation</w:t>
      </w:r>
      <w:r w:rsidR="005254AA" w:rsidRPr="00CC41A5">
        <w:rPr>
          <w:rStyle w:val="normaltextrun"/>
          <w:color w:val="000000"/>
          <w:bdr w:val="none" w:sz="0" w:space="0" w:color="auto" w:frame="1"/>
        </w:rPr>
        <w:t xml:space="preserve"> indication</w:t>
      </w:r>
      <w:r w:rsidR="002F0EF3" w:rsidRPr="00CC41A5">
        <w:rPr>
          <w:rStyle w:val="normaltextrun"/>
          <w:color w:val="000000"/>
          <w:bdr w:val="none" w:sz="0" w:space="0" w:color="auto" w:frame="1"/>
        </w:rPr>
        <w:t>.</w:t>
      </w:r>
      <w:r w:rsidR="00F0284F" w:rsidRPr="00CC41A5">
        <w:rPr>
          <w:rStyle w:val="normaltextrun"/>
          <w:color w:val="000000"/>
          <w:bdr w:val="none" w:sz="0" w:space="0" w:color="auto" w:frame="1"/>
        </w:rPr>
        <w:t xml:space="preserve"> </w:t>
      </w:r>
      <w:r w:rsidR="002F0EF3" w:rsidRPr="00CC41A5">
        <w:rPr>
          <w:rStyle w:val="normaltextrun"/>
          <w:color w:val="000000"/>
          <w:bdr w:val="none" w:sz="0" w:space="0" w:color="auto" w:frame="1"/>
        </w:rPr>
        <w:t xml:space="preserve">In option i) </w:t>
      </w:r>
      <w:r w:rsidR="00F0284F" w:rsidRPr="00CC41A5">
        <w:rPr>
          <w:rStyle w:val="normaltextrun"/>
          <w:color w:val="000000"/>
          <w:bdr w:val="none" w:sz="0" w:space="0" w:color="auto" w:frame="1"/>
        </w:rPr>
        <w:t xml:space="preserve">the polarization </w:t>
      </w:r>
      <w:r w:rsidR="00C22B90" w:rsidRPr="00CC41A5">
        <w:rPr>
          <w:rStyle w:val="normaltextrun"/>
          <w:color w:val="000000"/>
          <w:bdr w:val="none" w:sz="0" w:space="0" w:color="auto" w:frame="1"/>
        </w:rPr>
        <w:t>used for broadast transmission</w:t>
      </w:r>
      <w:r w:rsidR="00E605DB" w:rsidRPr="00CC41A5">
        <w:rPr>
          <w:rStyle w:val="normaltextrun"/>
          <w:color w:val="000000"/>
          <w:bdr w:val="none" w:sz="0" w:space="0" w:color="auto" w:frame="1"/>
        </w:rPr>
        <w:t xml:space="preserve"> from th</w:t>
      </w:r>
      <w:r w:rsidR="00843E99" w:rsidRPr="00CC41A5">
        <w:rPr>
          <w:rStyle w:val="normaltextrun"/>
          <w:color w:val="000000"/>
          <w:bdr w:val="none" w:sz="0" w:space="0" w:color="auto" w:frame="1"/>
        </w:rPr>
        <w:t>e</w:t>
      </w:r>
      <w:r w:rsidR="00E605DB" w:rsidRPr="00CC41A5">
        <w:rPr>
          <w:rStyle w:val="normaltextrun"/>
          <w:color w:val="000000"/>
          <w:bdr w:val="none" w:sz="0" w:space="0" w:color="auto" w:frame="1"/>
        </w:rPr>
        <w:t xml:space="preserve"> gNB</w:t>
      </w:r>
      <w:r w:rsidR="00C22B90" w:rsidRPr="00CC41A5">
        <w:rPr>
          <w:rStyle w:val="normaltextrun"/>
          <w:color w:val="000000"/>
          <w:bdr w:val="none" w:sz="0" w:space="0" w:color="auto" w:frame="1"/>
        </w:rPr>
        <w:t xml:space="preserve"> </w:t>
      </w:r>
      <w:r w:rsidR="00791576" w:rsidRPr="00CC41A5">
        <w:rPr>
          <w:rStyle w:val="normaltextrun"/>
          <w:color w:val="000000"/>
          <w:bdr w:val="none" w:sz="0" w:space="0" w:color="auto" w:frame="1"/>
        </w:rPr>
        <w:t xml:space="preserve">can </w:t>
      </w:r>
      <w:r w:rsidR="00F0284F" w:rsidRPr="00CC41A5">
        <w:rPr>
          <w:rStyle w:val="normaltextrun"/>
          <w:color w:val="000000"/>
          <w:bdr w:val="none" w:sz="0" w:space="0" w:color="auto" w:frame="1"/>
        </w:rPr>
        <w:t xml:space="preserve">be </w:t>
      </w:r>
      <w:r w:rsidR="00791576" w:rsidRPr="00CC41A5">
        <w:rPr>
          <w:rStyle w:val="normaltextrun"/>
          <w:color w:val="000000"/>
          <w:bdr w:val="none" w:sz="0" w:space="0" w:color="auto" w:frame="1"/>
        </w:rPr>
        <w:t xml:space="preserve">either </w:t>
      </w:r>
      <w:r w:rsidR="00B61318" w:rsidRPr="00CC41A5">
        <w:rPr>
          <w:rStyle w:val="normaltextrun"/>
          <w:color w:val="000000"/>
          <w:bdr w:val="none" w:sz="0" w:space="0" w:color="auto" w:frame="1"/>
        </w:rPr>
        <w:t xml:space="preserve">a system wide default configuration, such that </w:t>
      </w:r>
      <w:r w:rsidR="00E103AB" w:rsidRPr="00CC41A5">
        <w:rPr>
          <w:rStyle w:val="normaltextrun"/>
          <w:color w:val="000000"/>
          <w:bdr w:val="none" w:sz="0" w:space="0" w:color="auto" w:frame="1"/>
        </w:rPr>
        <w:t xml:space="preserve">any </w:t>
      </w:r>
      <w:r w:rsidR="00B61318" w:rsidRPr="00CC41A5">
        <w:rPr>
          <w:rStyle w:val="normaltextrun"/>
          <w:color w:val="000000"/>
          <w:bdr w:val="none" w:sz="0" w:space="0" w:color="auto" w:frame="1"/>
        </w:rPr>
        <w:t>UE can use it a</w:t>
      </w:r>
      <w:r w:rsidR="00730446" w:rsidRPr="00CC41A5">
        <w:rPr>
          <w:rStyle w:val="normaltextrun"/>
          <w:color w:val="000000"/>
          <w:bdr w:val="none" w:sz="0" w:space="0" w:color="auto" w:frame="1"/>
        </w:rPr>
        <w:t>s default or, it can be detecte</w:t>
      </w:r>
      <w:r w:rsidR="00774F95" w:rsidRPr="00CC41A5">
        <w:rPr>
          <w:rStyle w:val="normaltextrun"/>
          <w:color w:val="000000"/>
          <w:bdr w:val="none" w:sz="0" w:space="0" w:color="auto" w:frame="1"/>
        </w:rPr>
        <w:t>d</w:t>
      </w:r>
      <w:r w:rsidR="00730446" w:rsidRPr="00CC41A5">
        <w:rPr>
          <w:rStyle w:val="normaltextrun"/>
          <w:color w:val="000000"/>
          <w:bdr w:val="none" w:sz="0" w:space="0" w:color="auto" w:frame="1"/>
        </w:rPr>
        <w:t xml:space="preserve"> </w:t>
      </w:r>
      <w:r w:rsidR="003F2655" w:rsidRPr="00CC41A5">
        <w:rPr>
          <w:rStyle w:val="normaltextrun"/>
          <w:color w:val="000000"/>
          <w:bdr w:val="none" w:sz="0" w:space="0" w:color="auto" w:frame="1"/>
        </w:rPr>
        <w:t xml:space="preserve">autonomously </w:t>
      </w:r>
      <w:r w:rsidR="00730446" w:rsidRPr="00CC41A5">
        <w:rPr>
          <w:rStyle w:val="normaltextrun"/>
          <w:color w:val="000000"/>
          <w:bdr w:val="none" w:sz="0" w:space="0" w:color="auto" w:frame="1"/>
        </w:rPr>
        <w:t>by the UEs during the cell search procedure</w:t>
      </w:r>
      <w:r w:rsidR="00894E3A" w:rsidRPr="00CC41A5">
        <w:rPr>
          <w:rStyle w:val="normaltextrun"/>
          <w:color w:val="000000"/>
          <w:bdr w:val="none" w:sz="0" w:space="0" w:color="auto" w:frame="1"/>
        </w:rPr>
        <w:t xml:space="preserve"> </w:t>
      </w:r>
      <w:r w:rsidR="00894E3A" w:rsidRPr="00CC41A5">
        <w:rPr>
          <w:rStyle w:val="normaltextrun"/>
        </w:rPr>
        <w:t>by observing the received broadcast signals</w:t>
      </w:r>
      <w:r w:rsidR="00730446" w:rsidRPr="00CC41A5">
        <w:rPr>
          <w:rStyle w:val="normaltextrun"/>
          <w:color w:val="000000"/>
          <w:bdr w:val="none" w:sz="0" w:space="0" w:color="auto" w:frame="1"/>
        </w:rPr>
        <w:t>.</w:t>
      </w:r>
      <w:r w:rsidR="00791576" w:rsidRPr="00CC41A5">
        <w:rPr>
          <w:rStyle w:val="normaltextrun"/>
          <w:color w:val="000000"/>
          <w:bdr w:val="none" w:sz="0" w:space="0" w:color="auto" w:frame="1"/>
        </w:rPr>
        <w:t xml:space="preserve"> The latter solution might be feasible only for VSAT type UEs</w:t>
      </w:r>
      <w:r w:rsidR="008B29BA" w:rsidRPr="00CC41A5">
        <w:rPr>
          <w:rStyle w:val="normaltextrun"/>
          <w:color w:val="000000"/>
          <w:bdr w:val="none" w:sz="0" w:space="0" w:color="auto" w:frame="1"/>
        </w:rPr>
        <w:t xml:space="preserve"> (and associated frequency bands)</w:t>
      </w:r>
      <w:r w:rsidR="00A0244D" w:rsidRPr="00CC41A5">
        <w:rPr>
          <w:rStyle w:val="normaltextrun"/>
          <w:color w:val="000000"/>
          <w:bdr w:val="none" w:sz="0" w:space="0" w:color="auto" w:frame="1"/>
        </w:rPr>
        <w:t xml:space="preserve"> with LHP or CHP transmission,</w:t>
      </w:r>
      <w:r w:rsidR="008B29BA" w:rsidRPr="00CC41A5">
        <w:rPr>
          <w:rStyle w:val="normaltextrun"/>
          <w:color w:val="000000"/>
          <w:bdr w:val="none" w:sz="0" w:space="0" w:color="auto" w:frame="1"/>
        </w:rPr>
        <w:t xml:space="preserve"> while the former solution is more generally applicable also to handheld UEs and low frequency bands.</w:t>
      </w:r>
    </w:p>
    <w:p w14:paraId="2318DD98" w14:textId="13E28A29" w:rsidR="00B21610" w:rsidRPr="00CC41A5" w:rsidRDefault="00B21610" w:rsidP="00F0284F">
      <w:pPr>
        <w:rPr>
          <w:rStyle w:val="normaltextrun"/>
          <w:color w:val="000000"/>
          <w:bdr w:val="none" w:sz="0" w:space="0" w:color="auto" w:frame="1"/>
        </w:rPr>
      </w:pPr>
      <w:r w:rsidRPr="00CC41A5">
        <w:rPr>
          <w:rStyle w:val="normaltextrun"/>
          <w:b/>
          <w:bCs/>
          <w:color w:val="000000"/>
          <w:shd w:val="clear" w:color="auto" w:fill="FFFFFF"/>
        </w:rPr>
        <w:t xml:space="preserve">Proposal </w:t>
      </w:r>
      <w:r w:rsidR="005254AA" w:rsidRPr="00CC41A5">
        <w:rPr>
          <w:rStyle w:val="normaltextrun"/>
          <w:b/>
          <w:bCs/>
          <w:color w:val="000000"/>
          <w:shd w:val="clear" w:color="auto" w:fill="FFFFFF"/>
        </w:rPr>
        <w:t>3</w:t>
      </w:r>
      <w:r w:rsidRPr="00CC41A5">
        <w:rPr>
          <w:rStyle w:val="normaltextrun"/>
          <w:b/>
          <w:bCs/>
          <w:color w:val="000000"/>
          <w:shd w:val="clear" w:color="auto" w:fill="FFFFFF"/>
        </w:rPr>
        <w:t>:</w:t>
      </w:r>
      <w:r w:rsidR="00F340FE" w:rsidRPr="00CC41A5">
        <w:rPr>
          <w:rStyle w:val="normaltextrun"/>
          <w:b/>
          <w:bCs/>
          <w:color w:val="000000"/>
          <w:shd w:val="clear" w:color="auto" w:fill="FFFFFF"/>
        </w:rPr>
        <w:t xml:space="preserve"> Use broadcast transmission to provide the default polarisation indication</w:t>
      </w:r>
      <w:r w:rsidR="00A54F7A" w:rsidRPr="00CC41A5">
        <w:rPr>
          <w:rStyle w:val="normaltextrun"/>
          <w:b/>
          <w:bCs/>
          <w:color w:val="000000"/>
          <w:shd w:val="clear" w:color="auto" w:fill="FFFFFF"/>
        </w:rPr>
        <w:t xml:space="preserve"> for DL and UL</w:t>
      </w:r>
      <w:r w:rsidR="005254AA" w:rsidRPr="00CC41A5">
        <w:rPr>
          <w:rStyle w:val="normaltextrun"/>
          <w:b/>
          <w:bCs/>
          <w:color w:val="000000"/>
          <w:shd w:val="clear" w:color="auto" w:fill="FFFFFF"/>
        </w:rPr>
        <w:t>.</w:t>
      </w:r>
      <w:r w:rsidR="00F340FE" w:rsidRPr="00CC41A5">
        <w:rPr>
          <w:rStyle w:val="normaltextrun"/>
          <w:b/>
          <w:bCs/>
          <w:color w:val="000000"/>
          <w:shd w:val="clear" w:color="auto" w:fill="FFFFFF"/>
        </w:rPr>
        <w:t xml:space="preserve">  </w:t>
      </w:r>
    </w:p>
    <w:p w14:paraId="03DD8BBB" w14:textId="29889C2E" w:rsidR="00013472" w:rsidRPr="00CC41A5" w:rsidRDefault="00013472" w:rsidP="00013472">
      <w:pPr>
        <w:pStyle w:val="paragraph"/>
        <w:spacing w:before="0" w:beforeAutospacing="0" w:after="0" w:afterAutospacing="0"/>
        <w:textAlignment w:val="baseline"/>
        <w:rPr>
          <w:rFonts w:ascii="Segoe UI" w:hAnsi="Segoe UI" w:cs="Segoe UI"/>
          <w:sz w:val="20"/>
          <w:szCs w:val="20"/>
        </w:rPr>
      </w:pPr>
      <w:r w:rsidRPr="00CC41A5">
        <w:rPr>
          <w:rStyle w:val="normaltextrun"/>
          <w:sz w:val="20"/>
          <w:szCs w:val="20"/>
          <w:lang w:val="en-GB"/>
        </w:rPr>
        <w:t xml:space="preserve">With respect to the configuration for polarization used </w:t>
      </w:r>
      <w:r w:rsidR="001F0E9E" w:rsidRPr="00CC41A5">
        <w:rPr>
          <w:rStyle w:val="normaltextrun"/>
          <w:sz w:val="20"/>
          <w:szCs w:val="20"/>
          <w:lang w:val="en-GB"/>
        </w:rPr>
        <w:t>in the intial access</w:t>
      </w:r>
      <w:r w:rsidRPr="00CC41A5">
        <w:rPr>
          <w:rStyle w:val="normaltextrun"/>
          <w:sz w:val="20"/>
          <w:szCs w:val="20"/>
          <w:lang w:val="en-GB"/>
        </w:rPr>
        <w:t>, the UE should be using the gNB indicated polarization for UL transmissions</w:t>
      </w:r>
      <w:r w:rsidR="001E05F8" w:rsidRPr="00CC41A5">
        <w:rPr>
          <w:rStyle w:val="normaltextrun"/>
          <w:sz w:val="20"/>
          <w:szCs w:val="20"/>
          <w:lang w:val="en-GB"/>
        </w:rPr>
        <w:t xml:space="preserve">, or if this information is not present assume the same polarisation configuration as </w:t>
      </w:r>
      <w:r w:rsidR="001E05F8" w:rsidRPr="00CC41A5">
        <w:rPr>
          <w:rStyle w:val="normaltextrun"/>
          <w:sz w:val="20"/>
          <w:szCs w:val="20"/>
          <w:lang w:val="en-GB"/>
        </w:rPr>
        <w:lastRenderedPageBreak/>
        <w:t>for DL</w:t>
      </w:r>
      <w:r w:rsidRPr="00CC41A5">
        <w:rPr>
          <w:rStyle w:val="normaltextrun"/>
          <w:sz w:val="20"/>
          <w:szCs w:val="20"/>
          <w:lang w:val="en-GB"/>
        </w:rPr>
        <w:t>. Since initial access by the UE does not allow the UE to indicate any capability, the UE will have to adhere to any configuration for transmit operation that is indicated by the gNB.</w:t>
      </w:r>
      <w:r w:rsidRPr="00CC41A5">
        <w:rPr>
          <w:rStyle w:val="eop"/>
          <w:sz w:val="20"/>
          <w:szCs w:val="20"/>
        </w:rPr>
        <w:t> </w:t>
      </w:r>
    </w:p>
    <w:p w14:paraId="7369AA09" w14:textId="77777777" w:rsidR="00013472" w:rsidRPr="00CC41A5" w:rsidRDefault="00013472" w:rsidP="00013472">
      <w:pPr>
        <w:pStyle w:val="paragraph"/>
        <w:spacing w:before="0" w:beforeAutospacing="0" w:after="0" w:afterAutospacing="0"/>
        <w:textAlignment w:val="baseline"/>
        <w:rPr>
          <w:rStyle w:val="normaltextrun"/>
          <w:sz w:val="20"/>
          <w:szCs w:val="20"/>
          <w:lang w:val="en-GB"/>
        </w:rPr>
      </w:pPr>
    </w:p>
    <w:p w14:paraId="26B8E513" w14:textId="06294C89" w:rsidR="00013472" w:rsidRPr="00CC41A5" w:rsidRDefault="00013472" w:rsidP="00013472">
      <w:pPr>
        <w:pStyle w:val="paragraph"/>
        <w:spacing w:before="0" w:beforeAutospacing="0" w:after="0" w:afterAutospacing="0"/>
        <w:textAlignment w:val="baseline"/>
        <w:rPr>
          <w:rStyle w:val="normaltextrun"/>
          <w:sz w:val="20"/>
          <w:szCs w:val="20"/>
          <w:lang w:val="en-GB"/>
        </w:rPr>
      </w:pPr>
      <w:r w:rsidRPr="00CC41A5">
        <w:rPr>
          <w:rStyle w:val="normaltextrun"/>
          <w:sz w:val="20"/>
          <w:szCs w:val="20"/>
          <w:lang w:val="en-GB"/>
        </w:rPr>
        <w:t>As outlined in our input to the discussion at the last meeting, the polarization aspects for UL transmissions should rather not be left to UE capabilities, as this would (a) create segmentation between UEs, and (b) create potential problems in connection with initial access. Hence, we propose the following:</w:t>
      </w:r>
    </w:p>
    <w:p w14:paraId="60820E96" w14:textId="77777777" w:rsidR="00013472" w:rsidRPr="00CC41A5" w:rsidRDefault="00013472" w:rsidP="00013472">
      <w:pPr>
        <w:pStyle w:val="paragraph"/>
        <w:spacing w:before="0" w:beforeAutospacing="0" w:after="0" w:afterAutospacing="0"/>
        <w:textAlignment w:val="baseline"/>
        <w:rPr>
          <w:rStyle w:val="normaltextrun"/>
          <w:rFonts w:ascii="Segoe UI" w:hAnsi="Segoe UI" w:cs="Segoe UI"/>
          <w:sz w:val="20"/>
          <w:szCs w:val="20"/>
        </w:rPr>
      </w:pPr>
    </w:p>
    <w:p w14:paraId="72EED5D6" w14:textId="5482E627" w:rsidR="00013472" w:rsidRPr="00CC41A5" w:rsidRDefault="00013472" w:rsidP="00290759">
      <w:pPr>
        <w:rPr>
          <w:color w:val="000000"/>
          <w:bdr w:val="none" w:sz="0" w:space="0" w:color="auto" w:frame="1"/>
        </w:rPr>
      </w:pPr>
      <w:r w:rsidRPr="00CC41A5">
        <w:rPr>
          <w:rStyle w:val="normaltextrun"/>
          <w:b/>
          <w:bCs/>
          <w:color w:val="000000"/>
          <w:shd w:val="clear" w:color="auto" w:fill="FFFFFF"/>
        </w:rPr>
        <w:t>Proposal</w:t>
      </w:r>
      <w:r w:rsidR="00DF066E" w:rsidRPr="00CC41A5">
        <w:rPr>
          <w:rStyle w:val="normaltextrun"/>
          <w:b/>
          <w:bCs/>
          <w:color w:val="000000"/>
          <w:shd w:val="clear" w:color="auto" w:fill="FFFFFF"/>
        </w:rPr>
        <w:t xml:space="preserve"> </w:t>
      </w:r>
      <w:r w:rsidR="005254AA" w:rsidRPr="00CC41A5">
        <w:rPr>
          <w:rStyle w:val="normaltextrun"/>
          <w:b/>
          <w:bCs/>
          <w:color w:val="000000"/>
          <w:shd w:val="clear" w:color="auto" w:fill="FFFFFF"/>
        </w:rPr>
        <w:t>4</w:t>
      </w:r>
      <w:r w:rsidRPr="00CC41A5">
        <w:rPr>
          <w:rStyle w:val="normaltextrun"/>
          <w:b/>
          <w:bCs/>
          <w:color w:val="000000"/>
          <w:shd w:val="clear" w:color="auto" w:fill="FFFFFF"/>
        </w:rPr>
        <w:t xml:space="preserve">: Define a network configured basic polarization mode for </w:t>
      </w:r>
      <w:r w:rsidR="0043764F" w:rsidRPr="00CC41A5">
        <w:rPr>
          <w:rStyle w:val="normaltextrun"/>
          <w:b/>
          <w:bCs/>
          <w:color w:val="000000"/>
          <w:shd w:val="clear" w:color="auto" w:fill="FFFFFF"/>
        </w:rPr>
        <w:t xml:space="preserve">DL and </w:t>
      </w:r>
      <w:r w:rsidRPr="00CC41A5">
        <w:rPr>
          <w:rStyle w:val="normaltextrun"/>
          <w:b/>
          <w:bCs/>
          <w:color w:val="000000"/>
          <w:shd w:val="clear" w:color="auto" w:fill="FFFFFF"/>
        </w:rPr>
        <w:t>UL operation which is used for initial access.</w:t>
      </w:r>
      <w:r w:rsidRPr="00CC41A5">
        <w:rPr>
          <w:rStyle w:val="eop"/>
          <w:color w:val="000000"/>
          <w:shd w:val="clear" w:color="auto" w:fill="FFFFFF"/>
        </w:rPr>
        <w:t> </w:t>
      </w:r>
    </w:p>
    <w:p w14:paraId="4551B1EC" w14:textId="517E5C91" w:rsidR="00887C68" w:rsidRPr="00CC41A5" w:rsidRDefault="00F13623" w:rsidP="00290759">
      <w:pPr>
        <w:rPr>
          <w:rStyle w:val="normaltextrun"/>
          <w:rFonts w:eastAsia="Times New Roman"/>
        </w:rPr>
      </w:pPr>
      <w:r w:rsidRPr="00CC41A5">
        <w:rPr>
          <w:rStyle w:val="normaltextrun"/>
          <w:rFonts w:eastAsia="Times New Roman"/>
        </w:rPr>
        <w:t>With</w:t>
      </w:r>
      <w:r w:rsidR="00C175E3" w:rsidRPr="00CC41A5">
        <w:rPr>
          <w:rStyle w:val="normaltextrun"/>
          <w:rFonts w:eastAsia="Times New Roman"/>
        </w:rPr>
        <w:t xml:space="preserve"> option ii), the polarisation mode can be further adapted</w:t>
      </w:r>
      <w:r w:rsidR="0083425A" w:rsidRPr="00CC41A5">
        <w:rPr>
          <w:rStyle w:val="normaltextrun"/>
          <w:rFonts w:eastAsia="Times New Roman"/>
        </w:rPr>
        <w:t>, at least in theory,</w:t>
      </w:r>
      <w:r w:rsidR="00C175E3" w:rsidRPr="00CC41A5">
        <w:rPr>
          <w:rStyle w:val="normaltextrun"/>
          <w:rFonts w:eastAsia="Times New Roman"/>
        </w:rPr>
        <w:t xml:space="preserve"> to the capabilities of the UEs and </w:t>
      </w:r>
      <w:r w:rsidR="00D00403" w:rsidRPr="00CC41A5">
        <w:rPr>
          <w:rStyle w:val="normaltextrun"/>
          <w:rFonts w:eastAsia="Times New Roman"/>
        </w:rPr>
        <w:t>depending on the satellite transceiver</w:t>
      </w:r>
      <w:r w:rsidR="009E37C1" w:rsidRPr="00CC41A5">
        <w:rPr>
          <w:rStyle w:val="normaltextrun"/>
          <w:rFonts w:eastAsia="Times New Roman"/>
        </w:rPr>
        <w:t xml:space="preserve"> operating modes</w:t>
      </w:r>
      <w:r w:rsidRPr="00CC41A5">
        <w:rPr>
          <w:rStyle w:val="normaltextrun"/>
          <w:rFonts w:eastAsia="Times New Roman"/>
        </w:rPr>
        <w:t xml:space="preserve">. </w:t>
      </w:r>
      <w:r w:rsidR="0083425A" w:rsidRPr="00CC41A5">
        <w:rPr>
          <w:rStyle w:val="normaltextrun"/>
          <w:rFonts w:eastAsia="Times New Roman"/>
        </w:rPr>
        <w:t xml:space="preserve">However, it is important to clarify if this type of adaptation can really be supported in the </w:t>
      </w:r>
      <w:r w:rsidR="008301F7" w:rsidRPr="00CC41A5">
        <w:rPr>
          <w:rStyle w:val="normaltextrun"/>
          <w:rFonts w:eastAsia="Times New Roman"/>
        </w:rPr>
        <w:t>transparent paylod scenario, because:</w:t>
      </w:r>
    </w:p>
    <w:p w14:paraId="03036714" w14:textId="42ECD8BA" w:rsidR="008301F7" w:rsidRPr="00CC41A5" w:rsidRDefault="008301F7" w:rsidP="00805E3F">
      <w:pPr>
        <w:pStyle w:val="ListParagraph"/>
        <w:numPr>
          <w:ilvl w:val="0"/>
          <w:numId w:val="37"/>
        </w:numPr>
        <w:rPr>
          <w:rStyle w:val="normaltextrun"/>
          <w:rFonts w:eastAsia="Times New Roman"/>
          <w:sz w:val="20"/>
          <w:szCs w:val="20"/>
        </w:rPr>
      </w:pPr>
      <w:r w:rsidRPr="00CC41A5">
        <w:rPr>
          <w:rStyle w:val="normaltextrun"/>
          <w:rFonts w:eastAsia="Times New Roman"/>
          <w:sz w:val="20"/>
          <w:szCs w:val="20"/>
        </w:rPr>
        <w:t xml:space="preserve">The </w:t>
      </w:r>
      <w:r w:rsidR="00805E3F" w:rsidRPr="00CC41A5">
        <w:rPr>
          <w:rStyle w:val="normaltextrun"/>
          <w:rFonts w:eastAsia="Times New Roman"/>
          <w:sz w:val="20"/>
          <w:szCs w:val="20"/>
        </w:rPr>
        <w:t>NG-RAN</w:t>
      </w:r>
      <w:r w:rsidRPr="00CC41A5">
        <w:rPr>
          <w:rStyle w:val="normaltextrun"/>
          <w:rFonts w:eastAsia="Times New Roman"/>
          <w:sz w:val="20"/>
          <w:szCs w:val="20"/>
        </w:rPr>
        <w:t xml:space="preserve"> might not have full control over the radio tranceiver on-board the satellite</w:t>
      </w:r>
      <w:r w:rsidR="007C4BA2" w:rsidRPr="00CC41A5">
        <w:rPr>
          <w:rStyle w:val="normaltextrun"/>
          <w:rFonts w:eastAsia="Times New Roman"/>
          <w:sz w:val="20"/>
          <w:szCs w:val="20"/>
        </w:rPr>
        <w:t>, i.e. cannot include dynamically the relevant polariszation indication information in the RRC signalling to the UEs</w:t>
      </w:r>
    </w:p>
    <w:p w14:paraId="0A6370FC" w14:textId="66C5A911" w:rsidR="008301F7" w:rsidRPr="00CC41A5" w:rsidRDefault="00F074D0" w:rsidP="00805E3F">
      <w:pPr>
        <w:pStyle w:val="ListParagraph"/>
        <w:numPr>
          <w:ilvl w:val="0"/>
          <w:numId w:val="37"/>
        </w:numPr>
        <w:rPr>
          <w:rStyle w:val="normaltextrun"/>
          <w:rFonts w:eastAsia="Times New Roman"/>
          <w:sz w:val="20"/>
          <w:szCs w:val="20"/>
        </w:rPr>
      </w:pPr>
      <w:r w:rsidRPr="00CC41A5">
        <w:rPr>
          <w:rStyle w:val="normaltextrun"/>
          <w:rFonts w:eastAsia="Times New Roman"/>
          <w:sz w:val="20"/>
          <w:szCs w:val="20"/>
        </w:rPr>
        <w:t>The transceiver on-board the satellite might not have the polarisation reconfiguration capability at the</w:t>
      </w:r>
      <w:r w:rsidR="00344ABA" w:rsidRPr="00CC41A5">
        <w:rPr>
          <w:rStyle w:val="normaltextrun"/>
          <w:rFonts w:eastAsia="Times New Roman"/>
          <w:sz w:val="20"/>
          <w:szCs w:val="20"/>
        </w:rPr>
        <w:t xml:space="preserve"> transmission time scales </w:t>
      </w:r>
      <w:r w:rsidR="007C4BA2" w:rsidRPr="00CC41A5">
        <w:rPr>
          <w:rStyle w:val="normaltextrun"/>
          <w:rFonts w:eastAsia="Times New Roman"/>
          <w:sz w:val="20"/>
          <w:szCs w:val="20"/>
        </w:rPr>
        <w:t xml:space="preserve">at which the </w:t>
      </w:r>
      <w:r w:rsidR="00805E3F" w:rsidRPr="00CC41A5">
        <w:rPr>
          <w:rStyle w:val="normaltextrun"/>
          <w:rFonts w:eastAsia="Times New Roman"/>
          <w:sz w:val="20"/>
          <w:szCs w:val="20"/>
        </w:rPr>
        <w:t>NG-RAN operates</w:t>
      </w:r>
      <w:r w:rsidR="00F83CDC" w:rsidRPr="00CC41A5">
        <w:rPr>
          <w:rStyle w:val="normaltextrun"/>
          <w:rFonts w:eastAsia="Times New Roman"/>
          <w:sz w:val="20"/>
          <w:szCs w:val="20"/>
        </w:rPr>
        <w:t xml:space="preserve"> (10’ to 100’ ms)</w:t>
      </w:r>
      <w:r w:rsidR="007C4BA2" w:rsidRPr="00CC41A5">
        <w:rPr>
          <w:rStyle w:val="normaltextrun"/>
          <w:rFonts w:eastAsia="Times New Roman"/>
          <w:sz w:val="20"/>
          <w:szCs w:val="20"/>
        </w:rPr>
        <w:t xml:space="preserve">, i.e. dynamic </w:t>
      </w:r>
      <w:r w:rsidR="00D071A4" w:rsidRPr="00CC41A5">
        <w:rPr>
          <w:rStyle w:val="normaltextrun"/>
          <w:rFonts w:eastAsia="Times New Roman"/>
          <w:sz w:val="20"/>
          <w:szCs w:val="20"/>
        </w:rPr>
        <w:t>and UE specific (</w:t>
      </w:r>
      <w:r w:rsidR="00880A00" w:rsidRPr="00CC41A5">
        <w:rPr>
          <w:rStyle w:val="normaltextrun"/>
          <w:rFonts w:eastAsia="Times New Roman"/>
          <w:sz w:val="20"/>
          <w:szCs w:val="20"/>
        </w:rPr>
        <w:t xml:space="preserve">per </w:t>
      </w:r>
      <w:r w:rsidR="00D071A4" w:rsidRPr="00CC41A5">
        <w:rPr>
          <w:rStyle w:val="normaltextrun"/>
          <w:rFonts w:eastAsia="Times New Roman"/>
          <w:sz w:val="20"/>
          <w:szCs w:val="20"/>
        </w:rPr>
        <w:t xml:space="preserve">time-frequency resources) </w:t>
      </w:r>
      <w:r w:rsidR="007C4BA2" w:rsidRPr="00CC41A5">
        <w:rPr>
          <w:rStyle w:val="normaltextrun"/>
          <w:rFonts w:eastAsia="Times New Roman"/>
          <w:sz w:val="20"/>
          <w:szCs w:val="20"/>
        </w:rPr>
        <w:t>changes of polarization</w:t>
      </w:r>
      <w:r w:rsidR="00D071A4" w:rsidRPr="00CC41A5">
        <w:rPr>
          <w:rStyle w:val="normaltextrun"/>
          <w:rFonts w:eastAsia="Times New Roman"/>
          <w:sz w:val="20"/>
          <w:szCs w:val="20"/>
        </w:rPr>
        <w:t xml:space="preserve"> modes might not be supported by the satellite transceiver</w:t>
      </w:r>
    </w:p>
    <w:p w14:paraId="2C2F2F66" w14:textId="3E074D8A" w:rsidR="00F83CDC" w:rsidRPr="00CC41A5" w:rsidRDefault="005F64E4" w:rsidP="00805E3F">
      <w:pPr>
        <w:pStyle w:val="ListParagraph"/>
        <w:numPr>
          <w:ilvl w:val="0"/>
          <w:numId w:val="37"/>
        </w:numPr>
        <w:rPr>
          <w:rStyle w:val="normaltextrun"/>
          <w:rFonts w:eastAsia="Times New Roman"/>
          <w:sz w:val="20"/>
          <w:szCs w:val="20"/>
        </w:rPr>
      </w:pPr>
      <w:r w:rsidRPr="00CC41A5">
        <w:rPr>
          <w:rStyle w:val="normaltextrun"/>
          <w:rFonts w:eastAsia="Times New Roman"/>
          <w:sz w:val="20"/>
          <w:szCs w:val="20"/>
        </w:rPr>
        <w:t>Having transmission modes with different polarisation, would require additionally specified radio signalling (RRC, MAC, DCI)</w:t>
      </w:r>
      <w:r w:rsidR="00B84B18" w:rsidRPr="00CC41A5">
        <w:rPr>
          <w:rStyle w:val="normaltextrun"/>
          <w:rFonts w:eastAsia="Times New Roman"/>
          <w:sz w:val="20"/>
          <w:szCs w:val="20"/>
        </w:rPr>
        <w:t>, similar how MIMO modes are configured in 5G NR</w:t>
      </w:r>
      <w:r w:rsidR="00880A00" w:rsidRPr="00CC41A5">
        <w:rPr>
          <w:rStyle w:val="normaltextrun"/>
          <w:rFonts w:eastAsia="Times New Roman"/>
          <w:sz w:val="20"/>
          <w:szCs w:val="20"/>
        </w:rPr>
        <w:t>, i.e. new transmission modes need to be studied and introduced in combination with some of the ex</w:t>
      </w:r>
      <w:r w:rsidR="00890A2A" w:rsidRPr="00CC41A5">
        <w:rPr>
          <w:rStyle w:val="normaltextrun"/>
          <w:rFonts w:eastAsia="Times New Roman"/>
          <w:sz w:val="20"/>
          <w:szCs w:val="20"/>
        </w:rPr>
        <w:t xml:space="preserve">isting </w:t>
      </w:r>
      <w:r w:rsidR="00880A00" w:rsidRPr="00CC41A5">
        <w:rPr>
          <w:rStyle w:val="normaltextrun"/>
          <w:rFonts w:eastAsia="Times New Roman"/>
          <w:sz w:val="20"/>
          <w:szCs w:val="20"/>
        </w:rPr>
        <w:t>MIMO modes.</w:t>
      </w:r>
    </w:p>
    <w:p w14:paraId="74DFF794" w14:textId="1F1682F4" w:rsidR="00B84B18" w:rsidRPr="00CC41A5" w:rsidRDefault="00B84B18" w:rsidP="00B84B18">
      <w:pPr>
        <w:rPr>
          <w:rStyle w:val="normaltextrun"/>
          <w:rFonts w:eastAsia="Times New Roman"/>
        </w:rPr>
      </w:pPr>
    </w:p>
    <w:p w14:paraId="3DAA7C8B" w14:textId="6EA516E7" w:rsidR="00B84B18" w:rsidRPr="00CC41A5" w:rsidRDefault="00B84B18" w:rsidP="00B84B18">
      <w:pPr>
        <w:rPr>
          <w:rStyle w:val="normaltextrun"/>
          <w:rFonts w:eastAsia="Times New Roman"/>
          <w:b/>
          <w:bCs/>
        </w:rPr>
      </w:pPr>
      <w:r w:rsidRPr="00CC41A5">
        <w:rPr>
          <w:rStyle w:val="normaltextrun"/>
          <w:rFonts w:eastAsia="Times New Roman"/>
          <w:b/>
          <w:bCs/>
        </w:rPr>
        <w:t xml:space="preserve">Proposal 5: Clarify if signalling of polarization mode using </w:t>
      </w:r>
      <w:r w:rsidRPr="00CC41A5">
        <w:rPr>
          <w:rStyle w:val="normaltextrun"/>
          <w:b/>
          <w:bCs/>
          <w:color w:val="000000"/>
          <w:bdr w:val="none" w:sz="0" w:space="0" w:color="auto" w:frame="1"/>
        </w:rPr>
        <w:t xml:space="preserve">RRC signalling for </w:t>
      </w:r>
      <w:r w:rsidR="00E21C3F">
        <w:rPr>
          <w:rStyle w:val="normaltextrun"/>
          <w:b/>
          <w:bCs/>
          <w:color w:val="000000"/>
          <w:bdr w:val="none" w:sz="0" w:space="0" w:color="auto" w:frame="1"/>
        </w:rPr>
        <w:t>RRC_</w:t>
      </w:r>
      <w:r w:rsidRPr="00CC41A5">
        <w:rPr>
          <w:rStyle w:val="normaltextrun"/>
          <w:b/>
          <w:bCs/>
          <w:color w:val="000000"/>
          <w:bdr w:val="none" w:sz="0" w:space="0" w:color="auto" w:frame="1"/>
        </w:rPr>
        <w:t>CONNECTED mode UEs</w:t>
      </w:r>
      <w:r w:rsidRPr="00CC41A5">
        <w:rPr>
          <w:rStyle w:val="normaltextrun"/>
          <w:rFonts w:eastAsia="Times New Roman"/>
          <w:b/>
          <w:bCs/>
        </w:rPr>
        <w:t xml:space="preserve"> can really be supported in the transparent paylod scenarios.</w:t>
      </w:r>
    </w:p>
    <w:p w14:paraId="57B2AFC4" w14:textId="77777777" w:rsidR="00DB3FA7" w:rsidRPr="00CC41A5" w:rsidRDefault="00DB3FA7" w:rsidP="00B84B18">
      <w:pPr>
        <w:rPr>
          <w:rStyle w:val="normaltextrun"/>
          <w:rFonts w:eastAsia="Times New Roman"/>
          <w:b/>
          <w:bCs/>
        </w:rPr>
      </w:pPr>
    </w:p>
    <w:p w14:paraId="15E74790" w14:textId="77777777" w:rsidR="00DB3FA7" w:rsidRPr="00DB3FA7" w:rsidRDefault="00DB3FA7" w:rsidP="00DB3FA7">
      <w:pPr>
        <w:pStyle w:val="Heading1"/>
      </w:pPr>
      <w:r w:rsidRPr="00DB3FA7">
        <w:t>Transparent satellite aspects</w:t>
      </w:r>
    </w:p>
    <w:p w14:paraId="1048AC96" w14:textId="3CD16609" w:rsidR="00DB3FA7" w:rsidRDefault="00DB3FA7" w:rsidP="00DB3FA7">
      <w:r w:rsidRPr="00AC7B60">
        <w:rPr>
          <w:noProof/>
        </w:rPr>
        <mc:AlternateContent>
          <mc:Choice Requires="wps">
            <w:drawing>
              <wp:anchor distT="45720" distB="45720" distL="114300" distR="114300" simplePos="0" relativeHeight="251658240" behindDoc="0" locked="0" layoutInCell="1" allowOverlap="1" wp14:anchorId="2E89EEEA" wp14:editId="7C9F5109">
                <wp:simplePos x="0" y="0"/>
                <wp:positionH relativeFrom="column">
                  <wp:posOffset>41910</wp:posOffset>
                </wp:positionH>
                <wp:positionV relativeFrom="paragraph">
                  <wp:posOffset>236855</wp:posOffset>
                </wp:positionV>
                <wp:extent cx="5892800" cy="26098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609850"/>
                        </a:xfrm>
                        <a:prstGeom prst="rect">
                          <a:avLst/>
                        </a:prstGeom>
                        <a:solidFill>
                          <a:srgbClr val="FFFFFF"/>
                        </a:solidFill>
                        <a:ln w="9525">
                          <a:solidFill>
                            <a:srgbClr val="000000"/>
                          </a:solidFill>
                          <a:miter lim="800000"/>
                          <a:headEnd/>
                          <a:tailEnd/>
                        </a:ln>
                      </wps:spPr>
                      <wps:txbx>
                        <w:txbxContent>
                          <w:p w14:paraId="1E57DF0C" w14:textId="77777777" w:rsidR="00DB3FA7" w:rsidRPr="0050070F" w:rsidRDefault="00DB3FA7" w:rsidP="00DB3FA7">
                            <w:pPr>
                              <w:keepNext/>
                              <w:keepLines/>
                              <w:spacing w:before="180"/>
                              <w:ind w:left="1134" w:hanging="1134"/>
                              <w:outlineLvl w:val="1"/>
                              <w:rPr>
                                <w:rFonts w:ascii="Arial" w:eastAsia="Times New Roman" w:hAnsi="Arial"/>
                                <w:sz w:val="32"/>
                              </w:rPr>
                            </w:pPr>
                            <w:bookmarkStart w:id="5" w:name="_Toc26620913"/>
                            <w:r w:rsidRPr="0050070F">
                              <w:rPr>
                                <w:rFonts w:ascii="Arial" w:eastAsia="Times New Roman" w:hAnsi="Arial"/>
                                <w:sz w:val="32"/>
                              </w:rPr>
                              <w:t>5.1</w:t>
                            </w:r>
                            <w:r w:rsidRPr="0050070F">
                              <w:rPr>
                                <w:rFonts w:ascii="Arial" w:eastAsia="Times New Roman" w:hAnsi="Arial"/>
                                <w:sz w:val="32"/>
                              </w:rPr>
                              <w:tab/>
                              <w:t>Transparent satellite based NG-RAN architecture</w:t>
                            </w:r>
                            <w:bookmarkEnd w:id="5"/>
                          </w:p>
                          <w:p w14:paraId="2C149665" w14:textId="77777777" w:rsidR="00DB3FA7" w:rsidRPr="0050070F" w:rsidRDefault="00DB3FA7" w:rsidP="00DB3FA7">
                            <w:pPr>
                              <w:keepNext/>
                              <w:keepLines/>
                              <w:spacing w:before="120"/>
                              <w:ind w:left="1134" w:hanging="1134"/>
                              <w:outlineLvl w:val="2"/>
                              <w:rPr>
                                <w:rFonts w:ascii="Arial" w:eastAsia="Times New Roman" w:hAnsi="Arial"/>
                                <w:sz w:val="28"/>
                              </w:rPr>
                            </w:pPr>
                            <w:bookmarkStart w:id="6" w:name="_Toc26620914"/>
                            <w:r w:rsidRPr="0050070F">
                              <w:rPr>
                                <w:rFonts w:ascii="Arial" w:eastAsia="Times New Roman" w:hAnsi="Arial"/>
                                <w:sz w:val="28"/>
                              </w:rPr>
                              <w:t>5.1.1</w:t>
                            </w:r>
                            <w:r w:rsidRPr="0050070F">
                              <w:rPr>
                                <w:rFonts w:ascii="Arial" w:eastAsia="Times New Roman" w:hAnsi="Arial"/>
                                <w:sz w:val="28"/>
                              </w:rPr>
                              <w:tab/>
                              <w:t>Overview</w:t>
                            </w:r>
                            <w:bookmarkEnd w:id="6"/>
                          </w:p>
                          <w:p w14:paraId="2CDA5BA9" w14:textId="77777777" w:rsidR="00DB3FA7" w:rsidRPr="0050070F" w:rsidRDefault="00DB3FA7" w:rsidP="00DB3FA7">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4FFB3A5C" w14:textId="77777777" w:rsidR="00DB3FA7" w:rsidRPr="0050070F" w:rsidRDefault="00DB3FA7" w:rsidP="00DB3FA7">
                            <w:pPr>
                              <w:rPr>
                                <w:rFonts w:eastAsia="Times New Roman"/>
                              </w:rPr>
                            </w:pPr>
                            <w:r w:rsidRPr="0050070F">
                              <w:rPr>
                                <w:rFonts w:eastAsia="Times New Roman"/>
                              </w:rPr>
                              <w:t>Hence the satellite repeats the NR-Uu radio interface from the feeder link (between the NTN gateway and the satellite) to the service link (between the satellite and the UE) and vice versa.</w:t>
                            </w:r>
                          </w:p>
                          <w:p w14:paraId="73FABEB3" w14:textId="77777777" w:rsidR="00DB3FA7" w:rsidRPr="0050070F" w:rsidRDefault="00DB3FA7" w:rsidP="00DB3FA7">
                            <w:pPr>
                              <w:rPr>
                                <w:rFonts w:eastAsia="Times New Roman"/>
                              </w:rPr>
                            </w:pPr>
                            <w:r w:rsidRPr="0050070F">
                              <w:rPr>
                                <w:rFonts w:eastAsia="Times New Roman"/>
                              </w:rPr>
                              <w:t>The Satellite Radio Interface (SRI) on the feeder link is the NR-Uu. In other words, the satellite does not terminate NR-Uu.</w:t>
                            </w:r>
                          </w:p>
                          <w:p w14:paraId="7572CCB7" w14:textId="77777777" w:rsidR="00DB3FA7" w:rsidRPr="0050070F" w:rsidRDefault="00DB3FA7" w:rsidP="00DB3FA7">
                            <w:pPr>
                              <w:rPr>
                                <w:rFonts w:eastAsia="Times New Roman"/>
                              </w:rPr>
                            </w:pPr>
                            <w:r w:rsidRPr="0050070F">
                              <w:rPr>
                                <w:rFonts w:eastAsia="Times New Roman"/>
                              </w:rPr>
                              <w:t>The NTN GW supports all necessary functions to forward the signal of NR-Uu interface.</w:t>
                            </w:r>
                          </w:p>
                          <w:p w14:paraId="502473B4" w14:textId="77777777" w:rsidR="00DB3FA7" w:rsidRPr="0050070F" w:rsidRDefault="00DB3FA7" w:rsidP="00DB3FA7">
                            <w:pPr>
                              <w:rPr>
                                <w:rFonts w:eastAsia="Times New Roman"/>
                              </w:rPr>
                            </w:pPr>
                            <w:r w:rsidRPr="0050070F">
                              <w:rPr>
                                <w:rFonts w:eastAsia="Times New Roman"/>
                              </w:rPr>
                              <w:t>Different transparent satellites may be connected to the same gNB on the ground.</w:t>
                            </w:r>
                          </w:p>
                          <w:p w14:paraId="21779789" w14:textId="77777777" w:rsidR="00DB3FA7" w:rsidRDefault="00DB3FA7" w:rsidP="00DB3F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89EEEA" id="_x0000_t202" coordsize="21600,21600" o:spt="202" path="m,l,21600r21600,l21600,xe">
                <v:stroke joinstyle="miter"/>
                <v:path gradientshapeok="t" o:connecttype="rect"/>
              </v:shapetype>
              <v:shape id="Text Box 2" o:spid="_x0000_s1026" type="#_x0000_t202" style="position:absolute;margin-left:3.3pt;margin-top:18.65pt;width:464pt;height:20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">
                <v:textbox>
                  <w:txbxContent>
                    <w:p w14:paraId="1E57DF0C" w14:textId="77777777" w:rsidR="00DB3FA7" w:rsidRPr="0050070F" w:rsidRDefault="00DB3FA7" w:rsidP="00DB3FA7">
                      <w:pPr>
                        <w:keepNext/>
                        <w:keepLines/>
                        <w:spacing w:before="180"/>
                        <w:ind w:left="1134" w:hanging="1134"/>
                        <w:outlineLvl w:val="1"/>
                        <w:rPr>
                          <w:rFonts w:ascii="Arial" w:eastAsia="Times New Roman" w:hAnsi="Arial"/>
                          <w:sz w:val="32"/>
                        </w:rPr>
                      </w:pPr>
                      <w:bookmarkStart w:id="7" w:name="_Toc26620913"/>
                      <w:r w:rsidRPr="0050070F">
                        <w:rPr>
                          <w:rFonts w:ascii="Arial" w:eastAsia="Times New Roman" w:hAnsi="Arial"/>
                          <w:sz w:val="32"/>
                        </w:rPr>
                        <w:t>5.1</w:t>
                      </w:r>
                      <w:r w:rsidRPr="0050070F">
                        <w:rPr>
                          <w:rFonts w:ascii="Arial" w:eastAsia="Times New Roman" w:hAnsi="Arial"/>
                          <w:sz w:val="32"/>
                        </w:rPr>
                        <w:tab/>
                        <w:t>Transparent satellite based NG-RAN architecture</w:t>
                      </w:r>
                      <w:bookmarkEnd w:id="7"/>
                    </w:p>
                    <w:p w14:paraId="2C149665" w14:textId="77777777" w:rsidR="00DB3FA7" w:rsidRPr="0050070F" w:rsidRDefault="00DB3FA7" w:rsidP="00DB3FA7">
                      <w:pPr>
                        <w:keepNext/>
                        <w:keepLines/>
                        <w:spacing w:before="120"/>
                        <w:ind w:left="1134" w:hanging="1134"/>
                        <w:outlineLvl w:val="2"/>
                        <w:rPr>
                          <w:rFonts w:ascii="Arial" w:eastAsia="Times New Roman" w:hAnsi="Arial"/>
                          <w:sz w:val="28"/>
                        </w:rPr>
                      </w:pPr>
                      <w:bookmarkStart w:id="8" w:name="_Toc26620914"/>
                      <w:r w:rsidRPr="0050070F">
                        <w:rPr>
                          <w:rFonts w:ascii="Arial" w:eastAsia="Times New Roman" w:hAnsi="Arial"/>
                          <w:sz w:val="28"/>
                        </w:rPr>
                        <w:t>5.1.1</w:t>
                      </w:r>
                      <w:r w:rsidRPr="0050070F">
                        <w:rPr>
                          <w:rFonts w:ascii="Arial" w:eastAsia="Times New Roman" w:hAnsi="Arial"/>
                          <w:sz w:val="28"/>
                        </w:rPr>
                        <w:tab/>
                        <w:t>Overview</w:t>
                      </w:r>
                      <w:bookmarkEnd w:id="8"/>
                    </w:p>
                    <w:p w14:paraId="2CDA5BA9" w14:textId="77777777" w:rsidR="00DB3FA7" w:rsidRPr="0050070F" w:rsidRDefault="00DB3FA7" w:rsidP="00DB3FA7">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4FFB3A5C" w14:textId="77777777" w:rsidR="00DB3FA7" w:rsidRPr="0050070F" w:rsidRDefault="00DB3FA7" w:rsidP="00DB3FA7">
                      <w:pPr>
                        <w:rPr>
                          <w:rFonts w:eastAsia="Times New Roman"/>
                        </w:rPr>
                      </w:pPr>
                      <w:r w:rsidRPr="0050070F">
                        <w:rPr>
                          <w:rFonts w:eastAsia="Times New Roman"/>
                        </w:rPr>
                        <w:t>Hence the satellite repeats the NR-Uu radio interface from the feeder link (between the NTN gateway and the satellite) to the service link (between the satellite and the UE) and vice versa.</w:t>
                      </w:r>
                    </w:p>
                    <w:p w14:paraId="73FABEB3" w14:textId="77777777" w:rsidR="00DB3FA7" w:rsidRPr="0050070F" w:rsidRDefault="00DB3FA7" w:rsidP="00DB3FA7">
                      <w:pPr>
                        <w:rPr>
                          <w:rFonts w:eastAsia="Times New Roman"/>
                        </w:rPr>
                      </w:pPr>
                      <w:r w:rsidRPr="0050070F">
                        <w:rPr>
                          <w:rFonts w:eastAsia="Times New Roman"/>
                        </w:rPr>
                        <w:t>The Satellite Radio Interface (SRI) on the feeder link is the NR-Uu. In other words, the satellite does not terminate NR-Uu.</w:t>
                      </w:r>
                    </w:p>
                    <w:p w14:paraId="7572CCB7" w14:textId="77777777" w:rsidR="00DB3FA7" w:rsidRPr="0050070F" w:rsidRDefault="00DB3FA7" w:rsidP="00DB3FA7">
                      <w:pPr>
                        <w:rPr>
                          <w:rFonts w:eastAsia="Times New Roman"/>
                        </w:rPr>
                      </w:pPr>
                      <w:r w:rsidRPr="0050070F">
                        <w:rPr>
                          <w:rFonts w:eastAsia="Times New Roman"/>
                        </w:rPr>
                        <w:t>The NTN GW supports all necessary functions to forward the signal of NR-Uu interface.</w:t>
                      </w:r>
                    </w:p>
                    <w:p w14:paraId="502473B4" w14:textId="77777777" w:rsidR="00DB3FA7" w:rsidRPr="0050070F" w:rsidRDefault="00DB3FA7" w:rsidP="00DB3FA7">
                      <w:pPr>
                        <w:rPr>
                          <w:rFonts w:eastAsia="Times New Roman"/>
                        </w:rPr>
                      </w:pPr>
                      <w:r w:rsidRPr="0050070F">
                        <w:rPr>
                          <w:rFonts w:eastAsia="Times New Roman"/>
                        </w:rPr>
                        <w:t>Different transparent satellites may be connected to the same gNB on the ground.</w:t>
                      </w:r>
                    </w:p>
                    <w:p w14:paraId="21779789" w14:textId="77777777" w:rsidR="00DB3FA7" w:rsidRDefault="00DB3FA7" w:rsidP="00DB3FA7"/>
                  </w:txbxContent>
                </v:textbox>
                <w10:wrap type="square"/>
              </v:shape>
            </w:pict>
          </mc:Fallback>
        </mc:AlternateContent>
      </w:r>
      <w:r w:rsidRPr="00AC7B60">
        <w:t>T</w:t>
      </w:r>
      <w:r>
        <w:t xml:space="preserve">he TR 38.821 </w:t>
      </w:r>
      <w:r w:rsidR="00914B20">
        <w:fldChar w:fldCharType="begin"/>
      </w:r>
      <w:r w:rsidR="00914B20">
        <w:instrText xml:space="preserve"> REF _Ref61519034 \r \h </w:instrText>
      </w:r>
      <w:r w:rsidR="00914B20">
        <w:fldChar w:fldCharType="separate"/>
      </w:r>
      <w:r w:rsidR="00914B20">
        <w:t>[2]</w:t>
      </w:r>
      <w:r w:rsidR="00914B20">
        <w:fldChar w:fldCharType="end"/>
      </w:r>
      <w:r>
        <w:t xml:space="preserve"> defines a transparent satellite as follows:</w:t>
      </w:r>
    </w:p>
    <w:p w14:paraId="4F11A8FE" w14:textId="52FE250D" w:rsidR="00DB3FA7" w:rsidRPr="00D704F1" w:rsidRDefault="00DB3FA7" w:rsidP="00DB3FA7">
      <w:r w:rsidRPr="00D704F1">
        <w:t xml:space="preserve">The text of section 5.1.1 </w:t>
      </w:r>
      <w:r w:rsidR="00DB57B8" w:rsidRPr="00D704F1">
        <w:fldChar w:fldCharType="begin"/>
      </w:r>
      <w:r w:rsidR="00DB57B8" w:rsidRPr="00D704F1">
        <w:instrText xml:space="preserve"> REF _Ref61519034 \r \h </w:instrText>
      </w:r>
      <w:r w:rsidR="00D704F1">
        <w:instrText xml:space="preserve"> \* MERGEFORMAT </w:instrText>
      </w:r>
      <w:r w:rsidR="00DB57B8" w:rsidRPr="00D704F1">
        <w:fldChar w:fldCharType="separate"/>
      </w:r>
      <w:r w:rsidR="00DB57B8" w:rsidRPr="00D704F1">
        <w:t>[2]</w:t>
      </w:r>
      <w:r w:rsidR="00DB57B8" w:rsidRPr="00D704F1">
        <w:fldChar w:fldCharType="end"/>
      </w:r>
      <w:r w:rsidR="00DB57B8" w:rsidRPr="00D704F1">
        <w:t xml:space="preserve"> </w:t>
      </w:r>
      <w:r w:rsidRPr="00D704F1">
        <w:t xml:space="preserve">defines the transparent satellite implements amplification of uplink and downlink. However, the exact type of amplification is not defined. This is an issue, e.g. because the satellite downlink output power impacts link adaptation (interpretation of CQI, SRS), mobility mechanisms (handover and cell selection) and UE uplink power control. Thus, it is necessary to define the type of satellite amplification, both for the downlink (i.e. feeder link to service link) and uplink (i.e. service link to </w:t>
      </w:r>
      <w:r w:rsidRPr="00D704F1">
        <w:lastRenderedPageBreak/>
        <w:t>feeder link) – note that each link is composed of a receiving and transmitting gain factor. The potential amplification types include:</w:t>
      </w:r>
    </w:p>
    <w:p w14:paraId="738D0272" w14:textId="77777777" w:rsidR="00DB3FA7" w:rsidRPr="00D704F1" w:rsidRDefault="00DB3FA7" w:rsidP="00DB3FA7">
      <w:pPr>
        <w:pStyle w:val="ListParagraph"/>
        <w:numPr>
          <w:ilvl w:val="0"/>
          <w:numId w:val="38"/>
        </w:numPr>
        <w:spacing w:after="160"/>
        <w:rPr>
          <w:sz w:val="20"/>
          <w:szCs w:val="20"/>
        </w:rPr>
      </w:pPr>
      <w:r w:rsidRPr="00D704F1">
        <w:rPr>
          <w:sz w:val="20"/>
          <w:szCs w:val="20"/>
        </w:rPr>
        <w:t>Constant gain. The combined receive and transmit gain is a constant, independent of the received signal.</w:t>
      </w:r>
    </w:p>
    <w:p w14:paraId="03A3B805" w14:textId="77777777" w:rsidR="00DB3FA7" w:rsidRPr="00D704F1" w:rsidRDefault="00DB3FA7" w:rsidP="00DB3FA7">
      <w:pPr>
        <w:pStyle w:val="ListParagraph"/>
        <w:numPr>
          <w:ilvl w:val="0"/>
          <w:numId w:val="38"/>
        </w:numPr>
        <w:spacing w:after="160"/>
        <w:rPr>
          <w:sz w:val="20"/>
          <w:szCs w:val="20"/>
        </w:rPr>
      </w:pPr>
      <w:r w:rsidRPr="00D704F1">
        <w:rPr>
          <w:sz w:val="20"/>
          <w:szCs w:val="20"/>
        </w:rPr>
        <w:t>Constant Emitted Isotropic Radiated Power (EIRP). The satellite will adjust the combined receive and transmit gain based on the received signal and a target EIRP. This may potentially make the feeder link gain equal to one.</w:t>
      </w:r>
    </w:p>
    <w:p w14:paraId="3AD73ACF" w14:textId="77777777" w:rsidR="00DB3FA7" w:rsidRPr="00D704F1" w:rsidRDefault="00DB3FA7" w:rsidP="00DB3FA7">
      <w:pPr>
        <w:pStyle w:val="ListParagraph"/>
        <w:numPr>
          <w:ilvl w:val="0"/>
          <w:numId w:val="38"/>
        </w:numPr>
        <w:spacing w:after="160"/>
        <w:rPr>
          <w:sz w:val="20"/>
          <w:szCs w:val="20"/>
        </w:rPr>
      </w:pPr>
      <w:r w:rsidRPr="00D704F1">
        <w:rPr>
          <w:sz w:val="20"/>
          <w:szCs w:val="20"/>
        </w:rPr>
        <w:t xml:space="preserve">Constant power at receiver. The satellite will attempt to compensate for the radio channel. </w:t>
      </w:r>
    </w:p>
    <w:p w14:paraId="6DF7EA5E" w14:textId="3B95D811" w:rsidR="00DB3FA7" w:rsidRPr="00D704F1" w:rsidRDefault="00DB3FA7" w:rsidP="00DB3FA7">
      <w:r w:rsidRPr="00D704F1">
        <w:t xml:space="preserve">As an example of the implications, consider the scenario of </w:t>
      </w:r>
      <w:r w:rsidRPr="00D704F1">
        <w:fldChar w:fldCharType="begin"/>
      </w:r>
      <w:r w:rsidRPr="00D704F1">
        <w:instrText xml:space="preserve"> REF _Ref30426839 \h  \* MERGEFORMAT </w:instrText>
      </w:r>
      <w:r w:rsidRPr="00D704F1">
        <w:fldChar w:fldCharType="separate"/>
      </w:r>
      <w:r w:rsidR="002A6C33" w:rsidRPr="00D704F1">
        <w:t xml:space="preserve">Figure </w:t>
      </w:r>
      <w:r w:rsidR="002A6C33" w:rsidRPr="00D704F1">
        <w:rPr>
          <w:noProof/>
        </w:rPr>
        <w:t>4</w:t>
      </w:r>
      <w:r w:rsidRPr="00D704F1">
        <w:fldChar w:fldCharType="end"/>
      </w:r>
      <w:r w:rsidRPr="00D704F1">
        <w:t xml:space="preserve">. 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since service link sl2&lt;&lt;sl1, but SAT2 will also consume more power, because the required gain from feeder link to service link is larger (fl1&lt;&lt;fl2). </w:t>
      </w:r>
      <w:r w:rsidRPr="00D704F1">
        <w:fldChar w:fldCharType="begin"/>
      </w:r>
      <w:r w:rsidRPr="00D704F1">
        <w:instrText xml:space="preserve"> REF _Ref31275908 \h </w:instrText>
      </w:r>
      <w:r w:rsidR="00AC7B60" w:rsidRPr="00D704F1">
        <w:instrText xml:space="preserve"> \* MERGEFORMAT </w:instrText>
      </w:r>
      <w:r w:rsidRPr="00D704F1">
        <w:fldChar w:fldCharType="separate"/>
      </w:r>
      <w:r w:rsidR="00534CDE" w:rsidRPr="00D704F1">
        <w:t xml:space="preserve">Figure </w:t>
      </w:r>
      <w:r w:rsidR="00534CDE" w:rsidRPr="00D704F1">
        <w:rPr>
          <w:noProof/>
        </w:rPr>
        <w:t>5</w:t>
      </w:r>
      <w:r w:rsidRPr="00D704F1">
        <w:fldChar w:fldCharType="end"/>
      </w:r>
      <w:r w:rsidRPr="00D704F1">
        <w:t xml:space="preserve"> provides another example, where the transparent satellite is connected to two different feeder links (i.e. a feeder link switch may be imminent). One feeder link (fl1) experiences significantly larger propagation delay and loss compared to the other (fl2). However, if the satellite fully compensates for the feeder link propagation loss in downlink, the UE will see two equal power service links (sl1 and sl2).</w:t>
      </w:r>
    </w:p>
    <w:p w14:paraId="5AE709D0" w14:textId="77777777" w:rsidR="00DB3FA7" w:rsidRPr="00AC7B60" w:rsidRDefault="00DB3FA7" w:rsidP="00DB3FA7">
      <w:pPr>
        <w:keepNext/>
        <w:jc w:val="center"/>
      </w:pPr>
      <w:r>
        <w:rPr>
          <w:noProof/>
        </w:rPr>
        <w:drawing>
          <wp:inline distT="0" distB="0" distL="0" distR="0" wp14:anchorId="06F4B1CC" wp14:editId="5F8B7B06">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6C705F87" w14:textId="3FF05E6F" w:rsidR="00DB3FA7" w:rsidRPr="00AC7B60" w:rsidRDefault="00DB3FA7" w:rsidP="00DB3FA7">
      <w:pPr>
        <w:pStyle w:val="Caption"/>
        <w:jc w:val="center"/>
      </w:pPr>
      <w:bookmarkStart w:id="9" w:name="_Ref30426839"/>
      <w:r w:rsidRPr="00AC7B60">
        <w:t xml:space="preserve">Figure </w:t>
      </w:r>
      <w:fldSimple w:instr=" SEQ Figure \* ARABIC ">
        <w:r w:rsidR="002A6C33">
          <w:rPr>
            <w:noProof/>
          </w:rPr>
          <w:t>4</w:t>
        </w:r>
      </w:fldSimple>
      <w:bookmarkEnd w:id="9"/>
      <w:r w:rsidRPr="00AC7B60">
        <w:t xml:space="preserve"> Scenario where transparent satellite amplification type impacts UE mobility.</w:t>
      </w:r>
    </w:p>
    <w:p w14:paraId="2E0DBE9F" w14:textId="77777777" w:rsidR="00DB3FA7" w:rsidRPr="00AC7B60" w:rsidRDefault="00DB3FA7" w:rsidP="00DB3FA7">
      <w:pPr>
        <w:keepNext/>
        <w:jc w:val="center"/>
      </w:pPr>
      <w:r>
        <w:rPr>
          <w:noProof/>
        </w:rPr>
        <w:drawing>
          <wp:inline distT="0" distB="0" distL="0" distR="0" wp14:anchorId="0FEB6CEE" wp14:editId="5FEA8882">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6056A7E9" w14:textId="531F91BA" w:rsidR="00DB3FA7" w:rsidRPr="00AC7B60" w:rsidRDefault="00DB3FA7" w:rsidP="00DB3FA7">
      <w:pPr>
        <w:pStyle w:val="Caption"/>
        <w:jc w:val="center"/>
      </w:pPr>
      <w:bookmarkStart w:id="10" w:name="_Ref31275908"/>
      <w:r w:rsidRPr="00AC7B60">
        <w:t xml:space="preserve">Figure </w:t>
      </w:r>
      <w:fldSimple w:instr=" SEQ Figure \* ARABIC ">
        <w:r w:rsidR="002A6C33">
          <w:rPr>
            <w:noProof/>
          </w:rPr>
          <w:t>5</w:t>
        </w:r>
      </w:fldSimple>
      <w:bookmarkEnd w:id="10"/>
      <w:r w:rsidRPr="00AC7B60">
        <w:t xml:space="preserve"> Another scenario where transparent satellite amplification type impacts UE mobility.</w:t>
      </w:r>
    </w:p>
    <w:p w14:paraId="777480CA" w14:textId="500D6AE4" w:rsidR="00DB3FA7" w:rsidRPr="00D704F1" w:rsidRDefault="00DB3FA7" w:rsidP="00DB3FA7">
      <w:r w:rsidRPr="00D704F1">
        <w:t>In addition to the amplification types, it will also be beneficial to clarify, whether the target of the selected amplification type can always be achieved or certain events (e.g. lack of battery power, high load of users) will result in variations over time.</w:t>
      </w:r>
      <w:r w:rsidR="00AE0D78" w:rsidRPr="00D704F1">
        <w:t xml:space="preserve"> Given the above options of transparent satellite amplification it is observed that it will be beneficial for the gNB to be aware of the transparent satellite mechanisms. This is e.g. useful for interpreting measurement reports and configuring UE uplink transmit power control. As an example, the UE considers the radio path loss to be reciprocal and it thus relies on downlink RSRP measurements, when determining its uplink transmit power. However, the satellite may apply different </w:t>
      </w:r>
      <w:r w:rsidR="00AE0D78" w:rsidRPr="00D704F1">
        <w:lastRenderedPageBreak/>
        <w:t xml:space="preserve">gain factors in the feeder link to service link and the service link to feeder link, which results in suboptimal UE uplink transmit power. Therefore, it is beneficial for the gNB to be aware of the transparent satellite’s gain factors and to potentially adjust certain UE parameters including transmit power control </w:t>
      </w:r>
      <w:r w:rsidR="00AE0D78" w:rsidRPr="00D704F1">
        <w:fldChar w:fldCharType="begin"/>
      </w:r>
      <w:r w:rsidR="00AE0D78" w:rsidRPr="00D704F1">
        <w:instrText xml:space="preserve"> REF _Ref31184866 \r \h </w:instrText>
      </w:r>
      <w:r w:rsidR="00AC7B60" w:rsidRPr="00D704F1">
        <w:instrText xml:space="preserve"> \* MERGEFORMAT </w:instrText>
      </w:r>
      <w:r w:rsidR="00AE0D78" w:rsidRPr="00D704F1">
        <w:fldChar w:fldCharType="separate"/>
      </w:r>
      <w:r w:rsidR="00534CDE" w:rsidRPr="00D704F1">
        <w:t>[4]</w:t>
      </w:r>
      <w:r w:rsidR="00AE0D78" w:rsidRPr="00D704F1">
        <w:fldChar w:fldCharType="end"/>
      </w:r>
      <w:r w:rsidR="00AE0D78" w:rsidRPr="00D704F1">
        <w:t>. From complexity point of view, it would be beneficial if the system would define the feeder link (fl1 and fl2) as having unity gain, thereby transforming the transparent satellite into the form of a remote radio head.</w:t>
      </w:r>
    </w:p>
    <w:p w14:paraId="4B7DBBD8" w14:textId="66EA9115" w:rsidR="00DB3FA7" w:rsidRPr="00D704F1" w:rsidRDefault="00DB3FA7" w:rsidP="00DB3FA7">
      <w:pPr>
        <w:rPr>
          <w:b/>
        </w:rPr>
      </w:pPr>
      <w:r w:rsidRPr="00D704F1">
        <w:rPr>
          <w:b/>
        </w:rPr>
        <w:t xml:space="preserve">Proposal </w:t>
      </w:r>
      <w:r w:rsidR="00AE0D78" w:rsidRPr="00D704F1">
        <w:rPr>
          <w:b/>
        </w:rPr>
        <w:t>6</w:t>
      </w:r>
      <w:r w:rsidRPr="00D704F1">
        <w:rPr>
          <w:b/>
        </w:rPr>
        <w:t xml:space="preserve">: RAN1 </w:t>
      </w:r>
      <w:r w:rsidR="00AE0D78" w:rsidRPr="00D704F1">
        <w:rPr>
          <w:b/>
        </w:rPr>
        <w:t xml:space="preserve">may assume that the </w:t>
      </w:r>
      <w:r w:rsidRPr="00D704F1">
        <w:rPr>
          <w:b/>
        </w:rPr>
        <w:t xml:space="preserve">feeder link </w:t>
      </w:r>
      <w:r w:rsidR="00AE0D78" w:rsidRPr="00D704F1">
        <w:rPr>
          <w:b/>
        </w:rPr>
        <w:t xml:space="preserve">is having unity gain for </w:t>
      </w:r>
      <w:r w:rsidR="00AC7B60" w:rsidRPr="00D704F1">
        <w:rPr>
          <w:b/>
        </w:rPr>
        <w:t>both UL and DL</w:t>
      </w:r>
      <w:r w:rsidRPr="00D704F1">
        <w:rPr>
          <w:b/>
        </w:rPr>
        <w:t>.</w:t>
      </w:r>
    </w:p>
    <w:p w14:paraId="763114C1" w14:textId="77777777" w:rsidR="00DB3FA7" w:rsidRPr="00AC7B60" w:rsidRDefault="00DB3FA7" w:rsidP="00290759">
      <w:pPr>
        <w:rPr>
          <w:iCs/>
        </w:rPr>
      </w:pPr>
    </w:p>
    <w:p w14:paraId="10445A01" w14:textId="480CC7E1" w:rsidR="00885580" w:rsidRDefault="007820D0" w:rsidP="00885580">
      <w:pPr>
        <w:pStyle w:val="Heading1"/>
      </w:pPr>
      <w:r>
        <w:t>Conclusion</w:t>
      </w:r>
    </w:p>
    <w:p w14:paraId="7934BDA1" w14:textId="43FB1C18" w:rsidR="00DB57B8" w:rsidRPr="00D704F1" w:rsidRDefault="00DB57B8" w:rsidP="00DB57B8">
      <w:r w:rsidRPr="00D704F1">
        <w:t>In this contribution we have the following observations and proposals:</w:t>
      </w:r>
    </w:p>
    <w:p w14:paraId="1CD304E6" w14:textId="77777777" w:rsidR="004F61B1" w:rsidRPr="00D704F1" w:rsidRDefault="004F61B1" w:rsidP="004F61B1">
      <w:pPr>
        <w:rPr>
          <w:rFonts w:eastAsia="Times New Roman"/>
          <w:color w:val="000000" w:themeColor="text1"/>
        </w:rPr>
      </w:pPr>
      <w:r w:rsidRPr="00D704F1">
        <w:rPr>
          <w:rFonts w:eastAsia="Times New Roman"/>
          <w:b/>
          <w:bCs/>
          <w:color w:val="000000" w:themeColor="text1"/>
        </w:rPr>
        <w:t xml:space="preserve">Observation 1: As GNSS is external to 3GPP, the standard cannot dictate how the UE implements its GNSS solution nor the system chosen (GPS, </w:t>
      </w:r>
      <w:proofErr w:type="gramStart"/>
      <w:r w:rsidRPr="00D704F1">
        <w:rPr>
          <w:rFonts w:eastAsia="Times New Roman"/>
          <w:b/>
          <w:bCs/>
          <w:color w:val="000000" w:themeColor="text1"/>
        </w:rPr>
        <w:t>GLONASS,Galileo</w:t>
      </w:r>
      <w:proofErr w:type="gramEnd"/>
      <w:r w:rsidRPr="00D704F1">
        <w:rPr>
          <w:rFonts w:eastAsia="Times New Roman"/>
          <w:b/>
          <w:bCs/>
          <w:color w:val="000000" w:themeColor="text1"/>
        </w:rPr>
        <w:t xml:space="preserve">, Others). </w:t>
      </w:r>
    </w:p>
    <w:p w14:paraId="666FBCA0" w14:textId="77777777" w:rsidR="004F61B1" w:rsidRPr="00D704F1" w:rsidRDefault="004F61B1" w:rsidP="004F61B1">
      <w:pPr>
        <w:rPr>
          <w:rFonts w:eastAsia="Times New Roman"/>
          <w:color w:val="000000" w:themeColor="text1"/>
        </w:rPr>
      </w:pPr>
      <w:r w:rsidRPr="00D704F1">
        <w:rPr>
          <w:rFonts w:eastAsia="Times New Roman"/>
          <w:b/>
          <w:bCs/>
          <w:color w:val="000000" w:themeColor="text1"/>
        </w:rPr>
        <w:t>Observation 2: The precision and availability provided by different systems may vary significantly.</w:t>
      </w:r>
    </w:p>
    <w:p w14:paraId="217EB4F8" w14:textId="77777777" w:rsidR="004F61B1" w:rsidRPr="00D704F1" w:rsidRDefault="004F61B1" w:rsidP="004F61B1">
      <w:pPr>
        <w:rPr>
          <w:rFonts w:eastAsia="Times New Roman"/>
          <w:color w:val="000000" w:themeColor="text1"/>
        </w:rPr>
      </w:pPr>
      <w:r w:rsidRPr="00D704F1">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093001E0" w14:textId="77777777" w:rsidR="00DB57B8" w:rsidRPr="00D704F1" w:rsidRDefault="00DB57B8" w:rsidP="00DB57B8"/>
    <w:p w14:paraId="2128D4DE" w14:textId="3A8A09BE" w:rsidR="00290759" w:rsidRPr="00D704F1" w:rsidRDefault="00290759" w:rsidP="00290759">
      <w:pPr>
        <w:jc w:val="both"/>
        <w:rPr>
          <w:rStyle w:val="normaltextrun"/>
          <w:rFonts w:eastAsia="Times New Roman"/>
          <w:b/>
          <w:bCs/>
        </w:rPr>
      </w:pPr>
      <w:r w:rsidRPr="00D704F1">
        <w:rPr>
          <w:rStyle w:val="normaltextrun"/>
          <w:rFonts w:eastAsia="Times New Roman"/>
          <w:b/>
          <w:bCs/>
        </w:rPr>
        <w:t>Proposal 1: Enable additional SCS scaling factors for all formats defined in TS 38.211 table 6.3.3.1-2</w:t>
      </w:r>
      <w:r w:rsidR="007C729A" w:rsidRPr="00D704F1">
        <w:rPr>
          <w:rStyle w:val="normaltextrun"/>
          <w:rFonts w:eastAsia="Times New Roman"/>
          <w:b/>
          <w:bCs/>
        </w:rPr>
        <w:t>.</w:t>
      </w:r>
    </w:p>
    <w:p w14:paraId="367B1407" w14:textId="77777777" w:rsidR="00290759" w:rsidRPr="00D704F1" w:rsidRDefault="00290759" w:rsidP="00290759">
      <w:pPr>
        <w:jc w:val="both"/>
        <w:rPr>
          <w:rStyle w:val="normaltextrun"/>
          <w:rFonts w:eastAsia="Times New Roman"/>
          <w:b/>
          <w:bCs/>
        </w:rPr>
      </w:pPr>
      <w:r w:rsidRPr="00D704F1">
        <w:rPr>
          <w:rStyle w:val="normaltextrun"/>
          <w:rFonts w:eastAsia="Times New Roman"/>
          <w:b/>
          <w:bCs/>
        </w:rPr>
        <w:t>Proposal 2: Support restricted set type A for formats defined in TS 38.211 table 6.3.3.1-2</w:t>
      </w:r>
    </w:p>
    <w:p w14:paraId="5F3AB553" w14:textId="77777777" w:rsidR="00E94691" w:rsidRPr="00D704F1" w:rsidRDefault="00E94691" w:rsidP="00E94691">
      <w:pPr>
        <w:rPr>
          <w:rStyle w:val="normaltextrun"/>
          <w:rFonts w:eastAsia="Times New Roman"/>
          <w:b/>
          <w:bCs/>
        </w:rPr>
      </w:pPr>
      <w:r w:rsidRPr="00D704F1">
        <w:rPr>
          <w:rStyle w:val="normaltextrun"/>
          <w:rFonts w:eastAsia="Times New Roman"/>
          <w:b/>
          <w:bCs/>
        </w:rPr>
        <w:t xml:space="preserve">Proposal 3: Use broadcast transmission to provide the default polarisation indication for DL and UL.  </w:t>
      </w:r>
    </w:p>
    <w:p w14:paraId="5D673322" w14:textId="77777777" w:rsidR="00E94691" w:rsidRPr="00D704F1" w:rsidRDefault="00E94691" w:rsidP="00E94691">
      <w:pPr>
        <w:rPr>
          <w:rStyle w:val="normaltextrun"/>
          <w:rFonts w:eastAsia="Times New Roman"/>
          <w:b/>
          <w:bCs/>
        </w:rPr>
      </w:pPr>
      <w:r w:rsidRPr="00D704F1">
        <w:rPr>
          <w:rStyle w:val="normaltextrun"/>
          <w:rFonts w:eastAsia="Times New Roman"/>
          <w:b/>
          <w:bCs/>
        </w:rPr>
        <w:t>Proposal 4: Define a network configured basic polarization mode for DL and UL operation which is used for initial access. </w:t>
      </w:r>
    </w:p>
    <w:p w14:paraId="2E559CEC" w14:textId="31DB6AE4" w:rsidR="00E94691" w:rsidRPr="00D704F1" w:rsidRDefault="00E94691" w:rsidP="00E94691">
      <w:pPr>
        <w:rPr>
          <w:rStyle w:val="normaltextrun"/>
          <w:rFonts w:eastAsia="Times New Roman"/>
          <w:b/>
          <w:bCs/>
        </w:rPr>
      </w:pPr>
      <w:r w:rsidRPr="00D704F1">
        <w:rPr>
          <w:rStyle w:val="normaltextrun"/>
          <w:rFonts w:eastAsia="Times New Roman"/>
          <w:b/>
          <w:bCs/>
        </w:rPr>
        <w:t xml:space="preserve">Proposal 5: Clarify if signalling of polarization mode using </w:t>
      </w:r>
      <w:r w:rsidRPr="00D704F1">
        <w:rPr>
          <w:rStyle w:val="normaltextrun"/>
          <w:b/>
          <w:bCs/>
          <w:color w:val="000000"/>
          <w:bdr w:val="none" w:sz="0" w:space="0" w:color="auto" w:frame="1"/>
        </w:rPr>
        <w:t>RRC signalling for CONNECTED mode UEs</w:t>
      </w:r>
      <w:r w:rsidRPr="00D704F1">
        <w:rPr>
          <w:rStyle w:val="normaltextrun"/>
          <w:rFonts w:eastAsia="Times New Roman"/>
          <w:b/>
          <w:bCs/>
        </w:rPr>
        <w:t xml:space="preserve"> can really be supported in the transparent paylod scenarios.</w:t>
      </w:r>
    </w:p>
    <w:p w14:paraId="7D5FA277" w14:textId="75988209" w:rsidR="00AC7B60" w:rsidRDefault="00AC7B60" w:rsidP="00AC7B60">
      <w:pPr>
        <w:rPr>
          <w:b/>
        </w:rPr>
      </w:pPr>
      <w:r w:rsidRPr="00D704F1">
        <w:rPr>
          <w:b/>
        </w:rPr>
        <w:t>Proposal 6: RAN1 may assume that the feeder link is having unity gain for both UL and DL.</w:t>
      </w:r>
    </w:p>
    <w:p w14:paraId="76C196FE" w14:textId="77777777" w:rsidR="00D704F1" w:rsidRPr="00D704F1" w:rsidRDefault="00D704F1" w:rsidP="00AC7B60">
      <w:pPr>
        <w:rPr>
          <w:b/>
        </w:rPr>
      </w:pPr>
    </w:p>
    <w:p w14:paraId="53CD9119" w14:textId="5206E1F5" w:rsidR="00885580" w:rsidRDefault="00885580" w:rsidP="00885580">
      <w:pPr>
        <w:pStyle w:val="Heading1"/>
        <w:numPr>
          <w:ilvl w:val="0"/>
          <w:numId w:val="0"/>
        </w:numPr>
      </w:pPr>
      <w:r>
        <w:t>References</w:t>
      </w:r>
    </w:p>
    <w:p w14:paraId="474717F2" w14:textId="77777777" w:rsidR="00290759" w:rsidRPr="00533024" w:rsidRDefault="00290759" w:rsidP="00290759">
      <w:pPr>
        <w:pStyle w:val="ListParagraph"/>
        <w:numPr>
          <w:ilvl w:val="0"/>
          <w:numId w:val="29"/>
        </w:numPr>
        <w:rPr>
          <w:rFonts w:eastAsia="Times New Roman"/>
          <w:bCs/>
          <w:sz w:val="20"/>
          <w:szCs w:val="20"/>
        </w:rPr>
      </w:pPr>
      <w:bookmarkStart w:id="11" w:name="_Ref53750729"/>
      <w:bookmarkStart w:id="12" w:name="_Ref53659306"/>
      <w:r>
        <w:rPr>
          <w:rFonts w:eastAsia="Times New Roman"/>
          <w:sz w:val="20"/>
          <w:szCs w:val="20"/>
        </w:rPr>
        <w:t>RP-193234, Thales ”</w:t>
      </w:r>
      <w:r w:rsidRPr="00533024">
        <w:rPr>
          <w:rFonts w:eastAsia="Batang"/>
          <w:bCs/>
          <w:sz w:val="20"/>
          <w:szCs w:val="20"/>
        </w:rPr>
        <w:t>Solutions for NR to support non-terrestrial networks (NTN)</w:t>
      </w:r>
      <w:r w:rsidRPr="00533024">
        <w:rPr>
          <w:rFonts w:eastAsia="Times New Roman"/>
          <w:bCs/>
          <w:sz w:val="20"/>
          <w:szCs w:val="20"/>
        </w:rPr>
        <w:t>”</w:t>
      </w:r>
      <w:bookmarkEnd w:id="11"/>
    </w:p>
    <w:p w14:paraId="0D6E8C3D" w14:textId="77777777" w:rsidR="00290759" w:rsidRPr="00205A4B" w:rsidRDefault="00290759" w:rsidP="00290759">
      <w:pPr>
        <w:pStyle w:val="ListParagraph"/>
        <w:numPr>
          <w:ilvl w:val="0"/>
          <w:numId w:val="29"/>
        </w:numPr>
        <w:rPr>
          <w:rFonts w:eastAsia="Times New Roman"/>
          <w:sz w:val="20"/>
          <w:szCs w:val="20"/>
        </w:rPr>
      </w:pPr>
      <w:bookmarkStart w:id="13" w:name="_Ref61519034"/>
      <w:r w:rsidRPr="7BD9B08B">
        <w:rPr>
          <w:sz w:val="20"/>
          <w:szCs w:val="20"/>
        </w:rPr>
        <w:t>3GPP TR 38.821 V16.0.0 “</w:t>
      </w:r>
      <w:r w:rsidRPr="7BD9B08B">
        <w:rPr>
          <w:rFonts w:eastAsia="Times New Roman"/>
          <w:sz w:val="20"/>
          <w:szCs w:val="20"/>
        </w:rPr>
        <w:t>Solutions for NR to support non-terrestrial networks (NTN)</w:t>
      </w:r>
      <w:r w:rsidRPr="7BD9B08B">
        <w:rPr>
          <w:sz w:val="20"/>
          <w:szCs w:val="20"/>
        </w:rPr>
        <w:t>”</w:t>
      </w:r>
      <w:bookmarkEnd w:id="12"/>
      <w:bookmarkEnd w:id="13"/>
    </w:p>
    <w:p w14:paraId="6506B429" w14:textId="276B693F" w:rsidR="00290759" w:rsidRDefault="00290759" w:rsidP="00290759">
      <w:pPr>
        <w:pStyle w:val="ListParagraph"/>
        <w:numPr>
          <w:ilvl w:val="0"/>
          <w:numId w:val="29"/>
        </w:numPr>
        <w:rPr>
          <w:sz w:val="20"/>
          <w:szCs w:val="20"/>
        </w:rPr>
      </w:pPr>
      <w:bookmarkStart w:id="14" w:name="_Ref61519062"/>
      <w:r>
        <w:rPr>
          <w:sz w:val="20"/>
          <w:szCs w:val="20"/>
        </w:rPr>
        <w:t>3GPP TS 38.211 V16.3.0 ”Physical channels and modulation”</w:t>
      </w:r>
      <w:bookmarkEnd w:id="14"/>
    </w:p>
    <w:p w14:paraId="73F288BD" w14:textId="5BDAD068" w:rsidR="00AE0D78" w:rsidRDefault="00AE0D78" w:rsidP="00AE0D78">
      <w:pPr>
        <w:pStyle w:val="ListParagraph"/>
        <w:numPr>
          <w:ilvl w:val="0"/>
          <w:numId w:val="29"/>
        </w:numPr>
        <w:rPr>
          <w:sz w:val="20"/>
          <w:lang w:val="en-US"/>
        </w:rPr>
      </w:pPr>
      <w:bookmarkStart w:id="15" w:name="_Ref31184866"/>
      <w:r w:rsidRPr="00F63846">
        <w:rPr>
          <w:sz w:val="20"/>
          <w:lang w:val="en-US"/>
        </w:rPr>
        <w:t>R1-1908251, Nokia, “Considerations on UL Power Control, AMC and CSI in NTN”, RAN1 #98, 2019</w:t>
      </w:r>
      <w:bookmarkEnd w:id="15"/>
    </w:p>
    <w:p w14:paraId="747A1353" w14:textId="1C6AC34F" w:rsidR="0094245A" w:rsidRDefault="00953855" w:rsidP="00AE0D78">
      <w:pPr>
        <w:pStyle w:val="ListParagraph"/>
        <w:numPr>
          <w:ilvl w:val="0"/>
          <w:numId w:val="29"/>
        </w:numPr>
        <w:rPr>
          <w:sz w:val="20"/>
          <w:lang w:val="en-US"/>
        </w:rPr>
      </w:pPr>
      <w:bookmarkStart w:id="16" w:name="_Ref61873908"/>
      <w:r>
        <w:rPr>
          <w:sz w:val="20"/>
          <w:lang w:val="en-US"/>
        </w:rPr>
        <w:t>R1-2009736, “</w:t>
      </w:r>
      <w:r w:rsidRPr="00953855">
        <w:rPr>
          <w:sz w:val="20"/>
          <w:lang w:val="en-US"/>
        </w:rPr>
        <w:t>Summary #4 of 8.4.4 Other Aspects of NR-NTN</w:t>
      </w:r>
      <w:r>
        <w:rPr>
          <w:sz w:val="20"/>
          <w:lang w:val="en-US"/>
        </w:rPr>
        <w:t>”, MediaTek</w:t>
      </w:r>
      <w:r w:rsidR="00E13909">
        <w:rPr>
          <w:sz w:val="20"/>
          <w:lang w:val="en-US"/>
        </w:rPr>
        <w:t xml:space="preserve"> Inc</w:t>
      </w:r>
      <w:bookmarkEnd w:id="16"/>
    </w:p>
    <w:p w14:paraId="5EB15786" w14:textId="77777777" w:rsidR="00AE0D78" w:rsidRPr="00AE0D78" w:rsidRDefault="00AE0D78" w:rsidP="00AE0D78"/>
    <w:p w14:paraId="093EE10C" w14:textId="77777777" w:rsidR="00205A4B" w:rsidRPr="00205A4B" w:rsidRDefault="00205A4B" w:rsidP="00290759">
      <w:pPr>
        <w:pStyle w:val="ListParagraph"/>
        <w:ind w:left="360"/>
        <w:rPr>
          <w:sz w:val="20"/>
          <w:szCs w:val="20"/>
        </w:rPr>
      </w:pPr>
    </w:p>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A73BF1C" w16cex:dateUtc="2021-01-11T13:15:00Z"/>
  <w16cex:commentExtensible w16cex:durableId="4CF1EAB7" w16cex:dateUtc="2021-01-11T11: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C519" w14:textId="77777777" w:rsidR="00F8542E" w:rsidRDefault="00F8542E">
      <w:r>
        <w:separator/>
      </w:r>
    </w:p>
  </w:endnote>
  <w:endnote w:type="continuationSeparator" w:id="0">
    <w:p w14:paraId="6A373268" w14:textId="77777777" w:rsidR="00F8542E" w:rsidRDefault="00F8542E">
      <w:r>
        <w:continuationSeparator/>
      </w:r>
    </w:p>
  </w:endnote>
  <w:endnote w:type="continuationNotice" w:id="1">
    <w:p w14:paraId="256EBE2B" w14:textId="77777777" w:rsidR="00F8542E" w:rsidRDefault="00F85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Cambria"/>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2A691" w14:textId="77777777" w:rsidR="00F8542E" w:rsidRDefault="00F8542E">
      <w:r>
        <w:separator/>
      </w:r>
    </w:p>
  </w:footnote>
  <w:footnote w:type="continuationSeparator" w:id="0">
    <w:p w14:paraId="27699FEA" w14:textId="77777777" w:rsidR="00F8542E" w:rsidRDefault="00F8542E">
      <w:r>
        <w:continuationSeparator/>
      </w:r>
    </w:p>
  </w:footnote>
  <w:footnote w:type="continuationNotice" w:id="1">
    <w:p w14:paraId="20FF04EB" w14:textId="77777777" w:rsidR="00F8542E" w:rsidRDefault="00F854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A41F0"/>
    <w:multiLevelType w:val="hybridMultilevel"/>
    <w:tmpl w:val="CD84FA30"/>
    <w:lvl w:ilvl="0" w:tplc="C6CE4E02">
      <w:start w:val="3"/>
      <w:numFmt w:val="decimal"/>
      <w:lvlText w:val="%1"/>
      <w:lvlJc w:val="left"/>
      <w:pPr>
        <w:ind w:left="720" w:hanging="360"/>
      </w:pPr>
    </w:lvl>
    <w:lvl w:ilvl="1" w:tplc="23C82606">
      <w:start w:val="1"/>
      <w:numFmt w:val="lowerLetter"/>
      <w:lvlText w:val="%2."/>
      <w:lvlJc w:val="left"/>
      <w:pPr>
        <w:ind w:left="1440" w:hanging="360"/>
      </w:pPr>
    </w:lvl>
    <w:lvl w:ilvl="2" w:tplc="17C8A0E8">
      <w:start w:val="1"/>
      <w:numFmt w:val="lowerRoman"/>
      <w:lvlText w:val="%3."/>
      <w:lvlJc w:val="right"/>
      <w:pPr>
        <w:ind w:left="2160" w:hanging="180"/>
      </w:pPr>
    </w:lvl>
    <w:lvl w:ilvl="3" w:tplc="7BD633F2">
      <w:start w:val="1"/>
      <w:numFmt w:val="decimal"/>
      <w:lvlText w:val="%4."/>
      <w:lvlJc w:val="left"/>
      <w:pPr>
        <w:ind w:left="2880" w:hanging="360"/>
      </w:pPr>
    </w:lvl>
    <w:lvl w:ilvl="4" w:tplc="17DCA312">
      <w:start w:val="1"/>
      <w:numFmt w:val="lowerLetter"/>
      <w:lvlText w:val="%5."/>
      <w:lvlJc w:val="left"/>
      <w:pPr>
        <w:ind w:left="3600" w:hanging="360"/>
      </w:pPr>
    </w:lvl>
    <w:lvl w:ilvl="5" w:tplc="7360C0B2">
      <w:start w:val="1"/>
      <w:numFmt w:val="lowerRoman"/>
      <w:lvlText w:val="%6."/>
      <w:lvlJc w:val="right"/>
      <w:pPr>
        <w:ind w:left="4320" w:hanging="180"/>
      </w:pPr>
    </w:lvl>
    <w:lvl w:ilvl="6" w:tplc="E38861A8">
      <w:start w:val="1"/>
      <w:numFmt w:val="decimal"/>
      <w:lvlText w:val="%7."/>
      <w:lvlJc w:val="left"/>
      <w:pPr>
        <w:ind w:left="5040" w:hanging="360"/>
      </w:pPr>
    </w:lvl>
    <w:lvl w:ilvl="7" w:tplc="CF66147C">
      <w:start w:val="1"/>
      <w:numFmt w:val="lowerLetter"/>
      <w:lvlText w:val="%8."/>
      <w:lvlJc w:val="left"/>
      <w:pPr>
        <w:ind w:left="5760" w:hanging="360"/>
      </w:pPr>
    </w:lvl>
    <w:lvl w:ilvl="8" w:tplc="1910E1D6">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915A9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A000A"/>
    <w:multiLevelType w:val="hybridMultilevel"/>
    <w:tmpl w:val="F368964A"/>
    <w:lvl w:ilvl="0" w:tplc="0406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974169"/>
    <w:multiLevelType w:val="hybridMultilevel"/>
    <w:tmpl w:val="384E755E"/>
    <w:lvl w:ilvl="0" w:tplc="0406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1D0576C"/>
    <w:multiLevelType w:val="hybridMultilevel"/>
    <w:tmpl w:val="11229E14"/>
    <w:lvl w:ilvl="0" w:tplc="0652F858">
      <w:start w:val="1"/>
      <w:numFmt w:val="decimal"/>
      <w:lvlText w:val="%1)"/>
      <w:lvlJc w:val="left"/>
      <w:pPr>
        <w:ind w:left="720" w:hanging="360"/>
      </w:pPr>
    </w:lvl>
    <w:lvl w:ilvl="1" w:tplc="F5E612EA">
      <w:start w:val="1"/>
      <w:numFmt w:val="lowerLetter"/>
      <w:lvlText w:val="%2."/>
      <w:lvlJc w:val="left"/>
      <w:pPr>
        <w:ind w:left="1440" w:hanging="360"/>
      </w:pPr>
    </w:lvl>
    <w:lvl w:ilvl="2" w:tplc="EE5862E6">
      <w:start w:val="1"/>
      <w:numFmt w:val="lowerRoman"/>
      <w:lvlText w:val="%3."/>
      <w:lvlJc w:val="right"/>
      <w:pPr>
        <w:ind w:left="2160" w:hanging="180"/>
      </w:pPr>
    </w:lvl>
    <w:lvl w:ilvl="3" w:tplc="8D1AC3B4">
      <w:start w:val="1"/>
      <w:numFmt w:val="decimal"/>
      <w:lvlText w:val="%4."/>
      <w:lvlJc w:val="left"/>
      <w:pPr>
        <w:ind w:left="2880" w:hanging="360"/>
      </w:pPr>
    </w:lvl>
    <w:lvl w:ilvl="4" w:tplc="659C9EFA">
      <w:start w:val="1"/>
      <w:numFmt w:val="lowerLetter"/>
      <w:lvlText w:val="%5."/>
      <w:lvlJc w:val="left"/>
      <w:pPr>
        <w:ind w:left="3600" w:hanging="360"/>
      </w:pPr>
    </w:lvl>
    <w:lvl w:ilvl="5" w:tplc="58981100">
      <w:start w:val="1"/>
      <w:numFmt w:val="lowerRoman"/>
      <w:lvlText w:val="%6."/>
      <w:lvlJc w:val="right"/>
      <w:pPr>
        <w:ind w:left="4320" w:hanging="180"/>
      </w:pPr>
    </w:lvl>
    <w:lvl w:ilvl="6" w:tplc="8E5CE716">
      <w:start w:val="1"/>
      <w:numFmt w:val="decimal"/>
      <w:lvlText w:val="%7."/>
      <w:lvlJc w:val="left"/>
      <w:pPr>
        <w:ind w:left="5040" w:hanging="360"/>
      </w:pPr>
    </w:lvl>
    <w:lvl w:ilvl="7" w:tplc="EEE20ADC">
      <w:start w:val="1"/>
      <w:numFmt w:val="lowerLetter"/>
      <w:lvlText w:val="%8."/>
      <w:lvlJc w:val="left"/>
      <w:pPr>
        <w:ind w:left="5760" w:hanging="360"/>
      </w:pPr>
    </w:lvl>
    <w:lvl w:ilvl="8" w:tplc="E3DE62F8">
      <w:start w:val="1"/>
      <w:numFmt w:val="lowerRoman"/>
      <w:lvlText w:val="%9."/>
      <w:lvlJc w:val="right"/>
      <w:pPr>
        <w:ind w:left="6480" w:hanging="180"/>
      </w:pPr>
    </w:lvl>
  </w:abstractNum>
  <w:abstractNum w:abstractNumId="25" w15:restartNumberingAfterBreak="0">
    <w:nsid w:val="5AA12BDD"/>
    <w:multiLevelType w:val="hybridMultilevel"/>
    <w:tmpl w:val="F4CCF6B2"/>
    <w:lvl w:ilvl="0" w:tplc="C316AAC8">
      <w:start w:val="1"/>
      <w:numFmt w:val="decimal"/>
      <w:lvlText w:val="%1."/>
      <w:lvlJc w:val="left"/>
      <w:pPr>
        <w:tabs>
          <w:tab w:val="num" w:pos="720"/>
        </w:tabs>
        <w:ind w:left="720" w:hanging="360"/>
      </w:pPr>
      <w:rPr>
        <w:rFonts w:hint="default"/>
        <w:sz w:val="20"/>
      </w:rPr>
    </w:lvl>
    <w:lvl w:ilvl="1" w:tplc="30D0E7E6">
      <w:start w:val="1"/>
      <w:numFmt w:val="lowerLetter"/>
      <w:lvlText w:val="%2)"/>
      <w:lvlJc w:val="left"/>
      <w:pPr>
        <w:ind w:left="1440" w:hanging="360"/>
      </w:pPr>
      <w:rPr>
        <w:rFonts w:ascii="Times New Roman" w:eastAsia="SimSun" w:hAnsi="Times New Roman" w:cs="Times New Roman"/>
        <w:color w:val="273142"/>
        <w:sz w:val="16"/>
      </w:rPr>
    </w:lvl>
    <w:lvl w:ilvl="2" w:tplc="DFC41B24">
      <w:start w:val="1"/>
      <w:numFmt w:val="decimal"/>
      <w:lvlText w:val="%3."/>
      <w:lvlJc w:val="left"/>
      <w:pPr>
        <w:ind w:left="2160" w:hanging="360"/>
      </w:pPr>
      <w:rPr>
        <w:rFonts w:hint="default"/>
      </w:rPr>
    </w:lvl>
    <w:lvl w:ilvl="3" w:tplc="9CDAC544" w:tentative="1">
      <w:start w:val="1"/>
      <w:numFmt w:val="bullet"/>
      <w:lvlText w:val=""/>
      <w:lvlJc w:val="left"/>
      <w:pPr>
        <w:tabs>
          <w:tab w:val="num" w:pos="2880"/>
        </w:tabs>
        <w:ind w:left="2880" w:hanging="360"/>
      </w:pPr>
      <w:rPr>
        <w:rFonts w:ascii="Symbol" w:hAnsi="Symbol" w:hint="default"/>
        <w:sz w:val="20"/>
      </w:rPr>
    </w:lvl>
    <w:lvl w:ilvl="4" w:tplc="6E92363C" w:tentative="1">
      <w:start w:val="1"/>
      <w:numFmt w:val="bullet"/>
      <w:lvlText w:val=""/>
      <w:lvlJc w:val="left"/>
      <w:pPr>
        <w:tabs>
          <w:tab w:val="num" w:pos="3600"/>
        </w:tabs>
        <w:ind w:left="3600" w:hanging="360"/>
      </w:pPr>
      <w:rPr>
        <w:rFonts w:ascii="Symbol" w:hAnsi="Symbol" w:hint="default"/>
        <w:sz w:val="20"/>
      </w:rPr>
    </w:lvl>
    <w:lvl w:ilvl="5" w:tplc="13B0B84C" w:tentative="1">
      <w:start w:val="1"/>
      <w:numFmt w:val="bullet"/>
      <w:lvlText w:val=""/>
      <w:lvlJc w:val="left"/>
      <w:pPr>
        <w:tabs>
          <w:tab w:val="num" w:pos="4320"/>
        </w:tabs>
        <w:ind w:left="4320" w:hanging="360"/>
      </w:pPr>
      <w:rPr>
        <w:rFonts w:ascii="Symbol" w:hAnsi="Symbol" w:hint="default"/>
        <w:sz w:val="20"/>
      </w:rPr>
    </w:lvl>
    <w:lvl w:ilvl="6" w:tplc="CBB68AE8" w:tentative="1">
      <w:start w:val="1"/>
      <w:numFmt w:val="bullet"/>
      <w:lvlText w:val=""/>
      <w:lvlJc w:val="left"/>
      <w:pPr>
        <w:tabs>
          <w:tab w:val="num" w:pos="5040"/>
        </w:tabs>
        <w:ind w:left="5040" w:hanging="360"/>
      </w:pPr>
      <w:rPr>
        <w:rFonts w:ascii="Symbol" w:hAnsi="Symbol" w:hint="default"/>
        <w:sz w:val="20"/>
      </w:rPr>
    </w:lvl>
    <w:lvl w:ilvl="7" w:tplc="4ABC5ADE" w:tentative="1">
      <w:start w:val="1"/>
      <w:numFmt w:val="bullet"/>
      <w:lvlText w:val=""/>
      <w:lvlJc w:val="left"/>
      <w:pPr>
        <w:tabs>
          <w:tab w:val="num" w:pos="5760"/>
        </w:tabs>
        <w:ind w:left="5760" w:hanging="360"/>
      </w:pPr>
      <w:rPr>
        <w:rFonts w:ascii="Symbol" w:hAnsi="Symbol" w:hint="default"/>
        <w:sz w:val="20"/>
      </w:rPr>
    </w:lvl>
    <w:lvl w:ilvl="8" w:tplc="685E5BEA"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632B18"/>
    <w:multiLevelType w:val="hybridMultilevel"/>
    <w:tmpl w:val="C09CDB4A"/>
    <w:lvl w:ilvl="0" w:tplc="0406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431A5"/>
    <w:multiLevelType w:val="hybridMultilevel"/>
    <w:tmpl w:val="A07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8A6A45"/>
    <w:multiLevelType w:val="hybridMultilevel"/>
    <w:tmpl w:val="3FC86B28"/>
    <w:lvl w:ilvl="0" w:tplc="0406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13B39"/>
    <w:multiLevelType w:val="hybridMultilevel"/>
    <w:tmpl w:val="C678770C"/>
    <w:lvl w:ilvl="0" w:tplc="0F80DF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9A87DD4"/>
    <w:multiLevelType w:val="hybridMultilevel"/>
    <w:tmpl w:val="F4CCF6B2"/>
    <w:lvl w:ilvl="0" w:tplc="D9285EB4">
      <w:start w:val="1"/>
      <w:numFmt w:val="decimal"/>
      <w:lvlText w:val="%1."/>
      <w:lvlJc w:val="left"/>
      <w:pPr>
        <w:tabs>
          <w:tab w:val="num" w:pos="720"/>
        </w:tabs>
        <w:ind w:left="720" w:hanging="360"/>
      </w:pPr>
      <w:rPr>
        <w:rFonts w:hint="default"/>
        <w:sz w:val="20"/>
      </w:rPr>
    </w:lvl>
    <w:lvl w:ilvl="1" w:tplc="8F089BB6">
      <w:start w:val="1"/>
      <w:numFmt w:val="lowerLetter"/>
      <w:lvlText w:val="%2)"/>
      <w:lvlJc w:val="left"/>
      <w:pPr>
        <w:ind w:left="1440" w:hanging="360"/>
      </w:pPr>
      <w:rPr>
        <w:rFonts w:ascii="Times New Roman" w:eastAsia="SimSun" w:hAnsi="Times New Roman" w:cs="Times New Roman"/>
        <w:color w:val="273142"/>
        <w:sz w:val="16"/>
      </w:rPr>
    </w:lvl>
    <w:lvl w:ilvl="2" w:tplc="29249BBC">
      <w:start w:val="1"/>
      <w:numFmt w:val="decimal"/>
      <w:lvlText w:val="%3."/>
      <w:lvlJc w:val="left"/>
      <w:pPr>
        <w:ind w:left="2160" w:hanging="360"/>
      </w:pPr>
      <w:rPr>
        <w:rFonts w:hint="default"/>
      </w:rPr>
    </w:lvl>
    <w:lvl w:ilvl="3" w:tplc="F0DCA8CC" w:tentative="1">
      <w:start w:val="1"/>
      <w:numFmt w:val="bullet"/>
      <w:lvlText w:val=""/>
      <w:lvlJc w:val="left"/>
      <w:pPr>
        <w:tabs>
          <w:tab w:val="num" w:pos="2880"/>
        </w:tabs>
        <w:ind w:left="2880" w:hanging="360"/>
      </w:pPr>
      <w:rPr>
        <w:rFonts w:ascii="Symbol" w:hAnsi="Symbol" w:hint="default"/>
        <w:sz w:val="20"/>
      </w:rPr>
    </w:lvl>
    <w:lvl w:ilvl="4" w:tplc="2A08BBA0" w:tentative="1">
      <w:start w:val="1"/>
      <w:numFmt w:val="bullet"/>
      <w:lvlText w:val=""/>
      <w:lvlJc w:val="left"/>
      <w:pPr>
        <w:tabs>
          <w:tab w:val="num" w:pos="3600"/>
        </w:tabs>
        <w:ind w:left="3600" w:hanging="360"/>
      </w:pPr>
      <w:rPr>
        <w:rFonts w:ascii="Symbol" w:hAnsi="Symbol" w:hint="default"/>
        <w:sz w:val="20"/>
      </w:rPr>
    </w:lvl>
    <w:lvl w:ilvl="5" w:tplc="900E12D8" w:tentative="1">
      <w:start w:val="1"/>
      <w:numFmt w:val="bullet"/>
      <w:lvlText w:val=""/>
      <w:lvlJc w:val="left"/>
      <w:pPr>
        <w:tabs>
          <w:tab w:val="num" w:pos="4320"/>
        </w:tabs>
        <w:ind w:left="4320" w:hanging="360"/>
      </w:pPr>
      <w:rPr>
        <w:rFonts w:ascii="Symbol" w:hAnsi="Symbol" w:hint="default"/>
        <w:sz w:val="20"/>
      </w:rPr>
    </w:lvl>
    <w:lvl w:ilvl="6" w:tplc="666EF892" w:tentative="1">
      <w:start w:val="1"/>
      <w:numFmt w:val="bullet"/>
      <w:lvlText w:val=""/>
      <w:lvlJc w:val="left"/>
      <w:pPr>
        <w:tabs>
          <w:tab w:val="num" w:pos="5040"/>
        </w:tabs>
        <w:ind w:left="5040" w:hanging="360"/>
      </w:pPr>
      <w:rPr>
        <w:rFonts w:ascii="Symbol" w:hAnsi="Symbol" w:hint="default"/>
        <w:sz w:val="20"/>
      </w:rPr>
    </w:lvl>
    <w:lvl w:ilvl="7" w:tplc="86584616" w:tentative="1">
      <w:start w:val="1"/>
      <w:numFmt w:val="bullet"/>
      <w:lvlText w:val=""/>
      <w:lvlJc w:val="left"/>
      <w:pPr>
        <w:tabs>
          <w:tab w:val="num" w:pos="5760"/>
        </w:tabs>
        <w:ind w:left="5760" w:hanging="360"/>
      </w:pPr>
      <w:rPr>
        <w:rFonts w:ascii="Symbol" w:hAnsi="Symbol" w:hint="default"/>
        <w:sz w:val="20"/>
      </w:rPr>
    </w:lvl>
    <w:lvl w:ilvl="8" w:tplc="4A7CD412"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4"/>
  </w:num>
  <w:num w:numId="2">
    <w:abstractNumId w:val="3"/>
  </w:num>
  <w:num w:numId="3">
    <w:abstractNumId w:val="7"/>
  </w:num>
  <w:num w:numId="4">
    <w:abstractNumId w:val="28"/>
  </w:num>
  <w:num w:numId="5">
    <w:abstractNumId w:val="0"/>
  </w:num>
  <w:num w:numId="6">
    <w:abstractNumId w:val="2"/>
  </w:num>
  <w:num w:numId="7">
    <w:abstractNumId w:val="15"/>
  </w:num>
  <w:num w:numId="8">
    <w:abstractNumId w:val="29"/>
  </w:num>
  <w:num w:numId="9">
    <w:abstractNumId w:val="18"/>
  </w:num>
  <w:num w:numId="10">
    <w:abstractNumId w:val="14"/>
  </w:num>
  <w:num w:numId="11">
    <w:abstractNumId w:val="36"/>
  </w:num>
  <w:num w:numId="12">
    <w:abstractNumId w:val="5"/>
  </w:num>
  <w:num w:numId="13">
    <w:abstractNumId w:val="20"/>
  </w:num>
  <w:num w:numId="14">
    <w:abstractNumId w:val="4"/>
  </w:num>
  <w:num w:numId="15">
    <w:abstractNumId w:val="10"/>
  </w:num>
  <w:num w:numId="16">
    <w:abstractNumId w:val="23"/>
  </w:num>
  <w:num w:numId="17">
    <w:abstractNumId w:val="16"/>
  </w:num>
  <w:num w:numId="18">
    <w:abstractNumId w:val="1"/>
  </w:num>
  <w:num w:numId="19">
    <w:abstractNumId w:val="22"/>
  </w:num>
  <w:num w:numId="20">
    <w:abstractNumId w:val="11"/>
  </w:num>
  <w:num w:numId="21">
    <w:abstractNumId w:val="19"/>
  </w:num>
  <w:num w:numId="22">
    <w:abstractNumId w:val="34"/>
  </w:num>
  <w:num w:numId="23">
    <w:abstractNumId w:val="37"/>
  </w:num>
  <w:num w:numId="24">
    <w:abstractNumId w:val="21"/>
  </w:num>
  <w:num w:numId="25">
    <w:abstractNumId w:val="9"/>
  </w:num>
  <w:num w:numId="26">
    <w:abstractNumId w:val="6"/>
  </w:num>
  <w:num w:numId="27">
    <w:abstractNumId w:val="30"/>
  </w:num>
  <w:num w:numId="28">
    <w:abstractNumId w:val="27"/>
  </w:num>
  <w:num w:numId="29">
    <w:abstractNumId w:val="8"/>
  </w:num>
  <w:num w:numId="30">
    <w:abstractNumId w:val="35"/>
  </w:num>
  <w:num w:numId="31">
    <w:abstractNumId w:val="32"/>
  </w:num>
  <w:num w:numId="32">
    <w:abstractNumId w:val="17"/>
  </w:num>
  <w:num w:numId="33">
    <w:abstractNumId w:val="33"/>
  </w:num>
  <w:num w:numId="34">
    <w:abstractNumId w:val="13"/>
  </w:num>
  <w:num w:numId="35">
    <w:abstractNumId w:val="26"/>
  </w:num>
  <w:num w:numId="36">
    <w:abstractNumId w:val="25"/>
  </w:num>
  <w:num w:numId="37">
    <w:abstractNumId w:val="31"/>
  </w:num>
  <w:num w:numId="3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02"/>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72"/>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206"/>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EA6"/>
    <w:rsid w:val="00053588"/>
    <w:rsid w:val="00054B05"/>
    <w:rsid w:val="00054D9D"/>
    <w:rsid w:val="00055676"/>
    <w:rsid w:val="00055B6F"/>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34F"/>
    <w:rsid w:val="00081EC2"/>
    <w:rsid w:val="00082154"/>
    <w:rsid w:val="000824CE"/>
    <w:rsid w:val="00082BCB"/>
    <w:rsid w:val="00083800"/>
    <w:rsid w:val="00084A65"/>
    <w:rsid w:val="0008559A"/>
    <w:rsid w:val="000902C2"/>
    <w:rsid w:val="00091A92"/>
    <w:rsid w:val="00093C49"/>
    <w:rsid w:val="00095A80"/>
    <w:rsid w:val="000973E1"/>
    <w:rsid w:val="000A1402"/>
    <w:rsid w:val="000A20BA"/>
    <w:rsid w:val="000A262C"/>
    <w:rsid w:val="000A3B34"/>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F1C"/>
    <w:rsid w:val="000C501D"/>
    <w:rsid w:val="000C5B5B"/>
    <w:rsid w:val="000C5CBA"/>
    <w:rsid w:val="000C74BA"/>
    <w:rsid w:val="000C7531"/>
    <w:rsid w:val="000C7929"/>
    <w:rsid w:val="000C7BA7"/>
    <w:rsid w:val="000C7C3F"/>
    <w:rsid w:val="000D0BD6"/>
    <w:rsid w:val="000D0C61"/>
    <w:rsid w:val="000D1440"/>
    <w:rsid w:val="000D27AD"/>
    <w:rsid w:val="000D29D1"/>
    <w:rsid w:val="000D2B0A"/>
    <w:rsid w:val="000D3286"/>
    <w:rsid w:val="000D344D"/>
    <w:rsid w:val="000D40E7"/>
    <w:rsid w:val="000D5345"/>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04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073C8"/>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9A4"/>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37DA4"/>
    <w:rsid w:val="0014060C"/>
    <w:rsid w:val="001409A0"/>
    <w:rsid w:val="00141E40"/>
    <w:rsid w:val="00141F08"/>
    <w:rsid w:val="00141FF2"/>
    <w:rsid w:val="0014287A"/>
    <w:rsid w:val="00142DE2"/>
    <w:rsid w:val="00143E6A"/>
    <w:rsid w:val="00144C87"/>
    <w:rsid w:val="001467B1"/>
    <w:rsid w:val="00150175"/>
    <w:rsid w:val="001502C8"/>
    <w:rsid w:val="00151011"/>
    <w:rsid w:val="00151224"/>
    <w:rsid w:val="0015130F"/>
    <w:rsid w:val="001526E0"/>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15D"/>
    <w:rsid w:val="001A02F6"/>
    <w:rsid w:val="001A15C6"/>
    <w:rsid w:val="001A5510"/>
    <w:rsid w:val="001A5BAC"/>
    <w:rsid w:val="001A5C7B"/>
    <w:rsid w:val="001A5E19"/>
    <w:rsid w:val="001A63D8"/>
    <w:rsid w:val="001B01FA"/>
    <w:rsid w:val="001B0832"/>
    <w:rsid w:val="001B18A7"/>
    <w:rsid w:val="001B1ACE"/>
    <w:rsid w:val="001B2762"/>
    <w:rsid w:val="001B36FC"/>
    <w:rsid w:val="001B41ED"/>
    <w:rsid w:val="001B4607"/>
    <w:rsid w:val="001B7E0C"/>
    <w:rsid w:val="001C0270"/>
    <w:rsid w:val="001C0674"/>
    <w:rsid w:val="001C1405"/>
    <w:rsid w:val="001C1B93"/>
    <w:rsid w:val="001C226F"/>
    <w:rsid w:val="001C5296"/>
    <w:rsid w:val="001C66AC"/>
    <w:rsid w:val="001C6754"/>
    <w:rsid w:val="001C77F0"/>
    <w:rsid w:val="001D2D14"/>
    <w:rsid w:val="001D30C9"/>
    <w:rsid w:val="001D445B"/>
    <w:rsid w:val="001D46A0"/>
    <w:rsid w:val="001D50C2"/>
    <w:rsid w:val="001D753C"/>
    <w:rsid w:val="001D7CA4"/>
    <w:rsid w:val="001D7E58"/>
    <w:rsid w:val="001E0425"/>
    <w:rsid w:val="001E05F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0E9E"/>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908"/>
    <w:rsid w:val="00216F5F"/>
    <w:rsid w:val="00220615"/>
    <w:rsid w:val="00221985"/>
    <w:rsid w:val="00221EC5"/>
    <w:rsid w:val="00222A7A"/>
    <w:rsid w:val="00224388"/>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F2C"/>
    <w:rsid w:val="00267587"/>
    <w:rsid w:val="002675C8"/>
    <w:rsid w:val="00267760"/>
    <w:rsid w:val="00271589"/>
    <w:rsid w:val="00273177"/>
    <w:rsid w:val="0027455B"/>
    <w:rsid w:val="00275074"/>
    <w:rsid w:val="00275FF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759"/>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C33"/>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5DC"/>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EF3"/>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4E"/>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ABA"/>
    <w:rsid w:val="00344BCA"/>
    <w:rsid w:val="00345405"/>
    <w:rsid w:val="00345DDD"/>
    <w:rsid w:val="00346FED"/>
    <w:rsid w:val="00351E01"/>
    <w:rsid w:val="0035270C"/>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391"/>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DB7"/>
    <w:rsid w:val="00386053"/>
    <w:rsid w:val="00387459"/>
    <w:rsid w:val="0038771D"/>
    <w:rsid w:val="00390935"/>
    <w:rsid w:val="0039241F"/>
    <w:rsid w:val="00392491"/>
    <w:rsid w:val="003935B0"/>
    <w:rsid w:val="00393E44"/>
    <w:rsid w:val="00394301"/>
    <w:rsid w:val="0039747B"/>
    <w:rsid w:val="00397AB6"/>
    <w:rsid w:val="00397ACA"/>
    <w:rsid w:val="003A10C3"/>
    <w:rsid w:val="003A25C2"/>
    <w:rsid w:val="003A3F0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827"/>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655"/>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64F"/>
    <w:rsid w:val="00440FED"/>
    <w:rsid w:val="00441B92"/>
    <w:rsid w:val="00443A9F"/>
    <w:rsid w:val="0044474B"/>
    <w:rsid w:val="00445B28"/>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DE0"/>
    <w:rsid w:val="0049070D"/>
    <w:rsid w:val="00490A39"/>
    <w:rsid w:val="00490B43"/>
    <w:rsid w:val="00490E82"/>
    <w:rsid w:val="00491BE4"/>
    <w:rsid w:val="00491DB2"/>
    <w:rsid w:val="00492877"/>
    <w:rsid w:val="00495634"/>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EFC"/>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1B1"/>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E9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4AA"/>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CDE"/>
    <w:rsid w:val="00536698"/>
    <w:rsid w:val="005375FE"/>
    <w:rsid w:val="00540BFC"/>
    <w:rsid w:val="0054195A"/>
    <w:rsid w:val="005420DE"/>
    <w:rsid w:val="00542249"/>
    <w:rsid w:val="00542B86"/>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44B"/>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4E4"/>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2CA"/>
    <w:rsid w:val="00610747"/>
    <w:rsid w:val="00610E03"/>
    <w:rsid w:val="00610E45"/>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7D5"/>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4BC"/>
    <w:rsid w:val="006565D8"/>
    <w:rsid w:val="00656B96"/>
    <w:rsid w:val="00656F79"/>
    <w:rsid w:val="0065736B"/>
    <w:rsid w:val="006578E4"/>
    <w:rsid w:val="006579B7"/>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AE8"/>
    <w:rsid w:val="006B008D"/>
    <w:rsid w:val="006B05B5"/>
    <w:rsid w:val="006B1545"/>
    <w:rsid w:val="006B23B9"/>
    <w:rsid w:val="006B2DA7"/>
    <w:rsid w:val="006B2F4D"/>
    <w:rsid w:val="006B306B"/>
    <w:rsid w:val="006B3682"/>
    <w:rsid w:val="006B3974"/>
    <w:rsid w:val="006B48CB"/>
    <w:rsid w:val="006B564D"/>
    <w:rsid w:val="006B5DEC"/>
    <w:rsid w:val="006C1445"/>
    <w:rsid w:val="006C3AB0"/>
    <w:rsid w:val="006C4FC1"/>
    <w:rsid w:val="006C51A5"/>
    <w:rsid w:val="006C529D"/>
    <w:rsid w:val="006C6798"/>
    <w:rsid w:val="006C6DF7"/>
    <w:rsid w:val="006C73B3"/>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446"/>
    <w:rsid w:val="0073124A"/>
    <w:rsid w:val="00731B79"/>
    <w:rsid w:val="007320A2"/>
    <w:rsid w:val="007327CE"/>
    <w:rsid w:val="00733893"/>
    <w:rsid w:val="0073499D"/>
    <w:rsid w:val="00734A05"/>
    <w:rsid w:val="00734ECC"/>
    <w:rsid w:val="00735C6F"/>
    <w:rsid w:val="00737A31"/>
    <w:rsid w:val="00742A6A"/>
    <w:rsid w:val="00742B44"/>
    <w:rsid w:val="00743278"/>
    <w:rsid w:val="0074656E"/>
    <w:rsid w:val="007472D5"/>
    <w:rsid w:val="007500FA"/>
    <w:rsid w:val="00752B03"/>
    <w:rsid w:val="00753454"/>
    <w:rsid w:val="00753BB5"/>
    <w:rsid w:val="00753C3D"/>
    <w:rsid w:val="007544F1"/>
    <w:rsid w:val="00755E4A"/>
    <w:rsid w:val="00756832"/>
    <w:rsid w:val="00757F0B"/>
    <w:rsid w:val="007626D0"/>
    <w:rsid w:val="007651CA"/>
    <w:rsid w:val="00767519"/>
    <w:rsid w:val="007704E1"/>
    <w:rsid w:val="00770E5C"/>
    <w:rsid w:val="00772569"/>
    <w:rsid w:val="00772E8C"/>
    <w:rsid w:val="00772FDB"/>
    <w:rsid w:val="0077316B"/>
    <w:rsid w:val="00773596"/>
    <w:rsid w:val="007736D3"/>
    <w:rsid w:val="00774F95"/>
    <w:rsid w:val="0077500F"/>
    <w:rsid w:val="0077548E"/>
    <w:rsid w:val="00777315"/>
    <w:rsid w:val="0077748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576"/>
    <w:rsid w:val="00791A00"/>
    <w:rsid w:val="00791DDB"/>
    <w:rsid w:val="00792CEE"/>
    <w:rsid w:val="007936A8"/>
    <w:rsid w:val="007962B4"/>
    <w:rsid w:val="00796F15"/>
    <w:rsid w:val="00797E22"/>
    <w:rsid w:val="007A138F"/>
    <w:rsid w:val="007A1640"/>
    <w:rsid w:val="007A1AE4"/>
    <w:rsid w:val="007A39DF"/>
    <w:rsid w:val="007A43ED"/>
    <w:rsid w:val="007A4BDD"/>
    <w:rsid w:val="007A4C64"/>
    <w:rsid w:val="007A6CFD"/>
    <w:rsid w:val="007A72EE"/>
    <w:rsid w:val="007B0397"/>
    <w:rsid w:val="007B07D0"/>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BA2"/>
    <w:rsid w:val="007C4DAD"/>
    <w:rsid w:val="007C5830"/>
    <w:rsid w:val="007C5933"/>
    <w:rsid w:val="007C599E"/>
    <w:rsid w:val="007C5DB8"/>
    <w:rsid w:val="007C5DCE"/>
    <w:rsid w:val="007C6CA2"/>
    <w:rsid w:val="007C729A"/>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2B1D"/>
    <w:rsid w:val="0080329D"/>
    <w:rsid w:val="008055A9"/>
    <w:rsid w:val="00805E3F"/>
    <w:rsid w:val="00805F13"/>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1F7"/>
    <w:rsid w:val="008307ED"/>
    <w:rsid w:val="00830B3B"/>
    <w:rsid w:val="00831C62"/>
    <w:rsid w:val="0083350F"/>
    <w:rsid w:val="0083425A"/>
    <w:rsid w:val="00834358"/>
    <w:rsid w:val="008346BD"/>
    <w:rsid w:val="00834923"/>
    <w:rsid w:val="008359EB"/>
    <w:rsid w:val="00836B7A"/>
    <w:rsid w:val="00837B90"/>
    <w:rsid w:val="00840975"/>
    <w:rsid w:val="008409AA"/>
    <w:rsid w:val="00840FB8"/>
    <w:rsid w:val="00842E0C"/>
    <w:rsid w:val="0084370D"/>
    <w:rsid w:val="00843A7A"/>
    <w:rsid w:val="00843E99"/>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598"/>
    <w:rsid w:val="008659FB"/>
    <w:rsid w:val="0086709D"/>
    <w:rsid w:val="00867651"/>
    <w:rsid w:val="00867B5A"/>
    <w:rsid w:val="00874009"/>
    <w:rsid w:val="00874158"/>
    <w:rsid w:val="008743F3"/>
    <w:rsid w:val="0087444A"/>
    <w:rsid w:val="00875139"/>
    <w:rsid w:val="00875410"/>
    <w:rsid w:val="00880A00"/>
    <w:rsid w:val="00880EDF"/>
    <w:rsid w:val="008811FD"/>
    <w:rsid w:val="00882DE6"/>
    <w:rsid w:val="00883A20"/>
    <w:rsid w:val="00883D4D"/>
    <w:rsid w:val="00884B59"/>
    <w:rsid w:val="008850BA"/>
    <w:rsid w:val="00885580"/>
    <w:rsid w:val="00885876"/>
    <w:rsid w:val="00886185"/>
    <w:rsid w:val="008861D9"/>
    <w:rsid w:val="0088638C"/>
    <w:rsid w:val="00886EDF"/>
    <w:rsid w:val="00887C68"/>
    <w:rsid w:val="008908E5"/>
    <w:rsid w:val="00890A2A"/>
    <w:rsid w:val="00891216"/>
    <w:rsid w:val="00894B58"/>
    <w:rsid w:val="00894E3A"/>
    <w:rsid w:val="00894FDC"/>
    <w:rsid w:val="008957D3"/>
    <w:rsid w:val="00896414"/>
    <w:rsid w:val="0089716F"/>
    <w:rsid w:val="00897C71"/>
    <w:rsid w:val="008A0F54"/>
    <w:rsid w:val="008A16F9"/>
    <w:rsid w:val="008A1D3E"/>
    <w:rsid w:val="008A3038"/>
    <w:rsid w:val="008A4AFF"/>
    <w:rsid w:val="008A4B16"/>
    <w:rsid w:val="008A4D63"/>
    <w:rsid w:val="008A4E11"/>
    <w:rsid w:val="008A6D62"/>
    <w:rsid w:val="008B0CE6"/>
    <w:rsid w:val="008B103C"/>
    <w:rsid w:val="008B13E9"/>
    <w:rsid w:val="008B2257"/>
    <w:rsid w:val="008B2436"/>
    <w:rsid w:val="008B29BA"/>
    <w:rsid w:val="008B3B51"/>
    <w:rsid w:val="008B4057"/>
    <w:rsid w:val="008B4145"/>
    <w:rsid w:val="008B5071"/>
    <w:rsid w:val="008B5290"/>
    <w:rsid w:val="008B557A"/>
    <w:rsid w:val="008B6A40"/>
    <w:rsid w:val="008B72EC"/>
    <w:rsid w:val="008C02DD"/>
    <w:rsid w:val="008C2CFD"/>
    <w:rsid w:val="008C3FDC"/>
    <w:rsid w:val="008C47AD"/>
    <w:rsid w:val="008C603A"/>
    <w:rsid w:val="008C71C8"/>
    <w:rsid w:val="008D0E99"/>
    <w:rsid w:val="008D167D"/>
    <w:rsid w:val="008D3116"/>
    <w:rsid w:val="008D492A"/>
    <w:rsid w:val="008D4B58"/>
    <w:rsid w:val="008D4B7F"/>
    <w:rsid w:val="008D4B8A"/>
    <w:rsid w:val="008D4BE6"/>
    <w:rsid w:val="008D5B59"/>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B20"/>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45A"/>
    <w:rsid w:val="0094409C"/>
    <w:rsid w:val="00944159"/>
    <w:rsid w:val="009449B2"/>
    <w:rsid w:val="00944A82"/>
    <w:rsid w:val="00944BA5"/>
    <w:rsid w:val="00946C4D"/>
    <w:rsid w:val="0095019A"/>
    <w:rsid w:val="0095285B"/>
    <w:rsid w:val="00953855"/>
    <w:rsid w:val="00953FE9"/>
    <w:rsid w:val="009543AB"/>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3EDA"/>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89"/>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0D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39"/>
    <w:rsid w:val="009B7A72"/>
    <w:rsid w:val="009B7BB8"/>
    <w:rsid w:val="009C0E9B"/>
    <w:rsid w:val="009C126A"/>
    <w:rsid w:val="009C1C11"/>
    <w:rsid w:val="009C1D4C"/>
    <w:rsid w:val="009C28E5"/>
    <w:rsid w:val="009C2DD2"/>
    <w:rsid w:val="009C3982"/>
    <w:rsid w:val="009C441F"/>
    <w:rsid w:val="009C4A07"/>
    <w:rsid w:val="009C4B8E"/>
    <w:rsid w:val="009C51D5"/>
    <w:rsid w:val="009C543C"/>
    <w:rsid w:val="009C599A"/>
    <w:rsid w:val="009C5EFF"/>
    <w:rsid w:val="009C6141"/>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7C1"/>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44D"/>
    <w:rsid w:val="00A027F3"/>
    <w:rsid w:val="00A03978"/>
    <w:rsid w:val="00A03AB1"/>
    <w:rsid w:val="00A04D7E"/>
    <w:rsid w:val="00A051D9"/>
    <w:rsid w:val="00A05DF3"/>
    <w:rsid w:val="00A07E08"/>
    <w:rsid w:val="00A10D79"/>
    <w:rsid w:val="00A11535"/>
    <w:rsid w:val="00A11E56"/>
    <w:rsid w:val="00A11FFC"/>
    <w:rsid w:val="00A12798"/>
    <w:rsid w:val="00A13A09"/>
    <w:rsid w:val="00A13B4E"/>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9DF"/>
    <w:rsid w:val="00A324CF"/>
    <w:rsid w:val="00A32E8B"/>
    <w:rsid w:val="00A32ED6"/>
    <w:rsid w:val="00A33776"/>
    <w:rsid w:val="00A344A5"/>
    <w:rsid w:val="00A346C3"/>
    <w:rsid w:val="00A34D4A"/>
    <w:rsid w:val="00A34F22"/>
    <w:rsid w:val="00A36155"/>
    <w:rsid w:val="00A3629E"/>
    <w:rsid w:val="00A365AD"/>
    <w:rsid w:val="00A42A85"/>
    <w:rsid w:val="00A42D07"/>
    <w:rsid w:val="00A44B43"/>
    <w:rsid w:val="00A4503E"/>
    <w:rsid w:val="00A450C0"/>
    <w:rsid w:val="00A45468"/>
    <w:rsid w:val="00A45FF2"/>
    <w:rsid w:val="00A471A8"/>
    <w:rsid w:val="00A4791B"/>
    <w:rsid w:val="00A50A48"/>
    <w:rsid w:val="00A51180"/>
    <w:rsid w:val="00A51242"/>
    <w:rsid w:val="00A51522"/>
    <w:rsid w:val="00A51573"/>
    <w:rsid w:val="00A51A5E"/>
    <w:rsid w:val="00A52895"/>
    <w:rsid w:val="00A52D7D"/>
    <w:rsid w:val="00A539A5"/>
    <w:rsid w:val="00A53DA0"/>
    <w:rsid w:val="00A5404D"/>
    <w:rsid w:val="00A54F7A"/>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B60"/>
    <w:rsid w:val="00AC7D98"/>
    <w:rsid w:val="00AD00C5"/>
    <w:rsid w:val="00AD165F"/>
    <w:rsid w:val="00AD2794"/>
    <w:rsid w:val="00AD2DC5"/>
    <w:rsid w:val="00AD3455"/>
    <w:rsid w:val="00AD3CAD"/>
    <w:rsid w:val="00AD5A99"/>
    <w:rsid w:val="00AD69FF"/>
    <w:rsid w:val="00AD702B"/>
    <w:rsid w:val="00AD72E6"/>
    <w:rsid w:val="00AD7C95"/>
    <w:rsid w:val="00AD7FCD"/>
    <w:rsid w:val="00AE0D78"/>
    <w:rsid w:val="00AE2BED"/>
    <w:rsid w:val="00AE3DE1"/>
    <w:rsid w:val="00AE4B85"/>
    <w:rsid w:val="00AE4BDB"/>
    <w:rsid w:val="00AE5439"/>
    <w:rsid w:val="00AE61B2"/>
    <w:rsid w:val="00AE78D1"/>
    <w:rsid w:val="00AE7F89"/>
    <w:rsid w:val="00AF2D54"/>
    <w:rsid w:val="00AF3458"/>
    <w:rsid w:val="00AF3F7B"/>
    <w:rsid w:val="00AF42B4"/>
    <w:rsid w:val="00AF4B8A"/>
    <w:rsid w:val="00AF4F1B"/>
    <w:rsid w:val="00AF5095"/>
    <w:rsid w:val="00AF5EC6"/>
    <w:rsid w:val="00AF6C38"/>
    <w:rsid w:val="00AF6E8A"/>
    <w:rsid w:val="00AF7213"/>
    <w:rsid w:val="00AF7771"/>
    <w:rsid w:val="00AF7D92"/>
    <w:rsid w:val="00B011CC"/>
    <w:rsid w:val="00B037A6"/>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610"/>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7AF"/>
    <w:rsid w:val="00B548C2"/>
    <w:rsid w:val="00B54B6A"/>
    <w:rsid w:val="00B55428"/>
    <w:rsid w:val="00B56AB0"/>
    <w:rsid w:val="00B570BF"/>
    <w:rsid w:val="00B60471"/>
    <w:rsid w:val="00B60B8F"/>
    <w:rsid w:val="00B61318"/>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B18"/>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29D"/>
    <w:rsid w:val="00BB2F36"/>
    <w:rsid w:val="00BB3E2B"/>
    <w:rsid w:val="00BB5D1C"/>
    <w:rsid w:val="00BB6552"/>
    <w:rsid w:val="00BB65E0"/>
    <w:rsid w:val="00BB6B9B"/>
    <w:rsid w:val="00BB754F"/>
    <w:rsid w:val="00BC0058"/>
    <w:rsid w:val="00BC07D4"/>
    <w:rsid w:val="00BC0A5D"/>
    <w:rsid w:val="00BC0A9C"/>
    <w:rsid w:val="00BC0BE3"/>
    <w:rsid w:val="00BC1AD9"/>
    <w:rsid w:val="00BC3257"/>
    <w:rsid w:val="00BC32E7"/>
    <w:rsid w:val="00BC4F81"/>
    <w:rsid w:val="00BC5670"/>
    <w:rsid w:val="00BC58B9"/>
    <w:rsid w:val="00BD2CD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0BB0"/>
    <w:rsid w:val="00C11ADE"/>
    <w:rsid w:val="00C126E0"/>
    <w:rsid w:val="00C128BC"/>
    <w:rsid w:val="00C12E39"/>
    <w:rsid w:val="00C13D47"/>
    <w:rsid w:val="00C14164"/>
    <w:rsid w:val="00C14C53"/>
    <w:rsid w:val="00C15D8E"/>
    <w:rsid w:val="00C17012"/>
    <w:rsid w:val="00C175E3"/>
    <w:rsid w:val="00C17762"/>
    <w:rsid w:val="00C178FB"/>
    <w:rsid w:val="00C17DF9"/>
    <w:rsid w:val="00C201EB"/>
    <w:rsid w:val="00C20ACC"/>
    <w:rsid w:val="00C22B28"/>
    <w:rsid w:val="00C22B90"/>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0E3"/>
    <w:rsid w:val="00C5099B"/>
    <w:rsid w:val="00C50A4E"/>
    <w:rsid w:val="00C51C37"/>
    <w:rsid w:val="00C520B1"/>
    <w:rsid w:val="00C522D6"/>
    <w:rsid w:val="00C52C52"/>
    <w:rsid w:val="00C54020"/>
    <w:rsid w:val="00C5406F"/>
    <w:rsid w:val="00C545C5"/>
    <w:rsid w:val="00C54817"/>
    <w:rsid w:val="00C54F35"/>
    <w:rsid w:val="00C55328"/>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032"/>
    <w:rsid w:val="00CB6795"/>
    <w:rsid w:val="00CB71F8"/>
    <w:rsid w:val="00CB7284"/>
    <w:rsid w:val="00CC180A"/>
    <w:rsid w:val="00CC26DB"/>
    <w:rsid w:val="00CC300C"/>
    <w:rsid w:val="00CC35AE"/>
    <w:rsid w:val="00CC3DAA"/>
    <w:rsid w:val="00CC41A5"/>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03"/>
    <w:rsid w:val="00D00BB7"/>
    <w:rsid w:val="00D01EAD"/>
    <w:rsid w:val="00D0235F"/>
    <w:rsid w:val="00D035B9"/>
    <w:rsid w:val="00D040B7"/>
    <w:rsid w:val="00D060FF"/>
    <w:rsid w:val="00D064E8"/>
    <w:rsid w:val="00D06546"/>
    <w:rsid w:val="00D06572"/>
    <w:rsid w:val="00D065CD"/>
    <w:rsid w:val="00D071A4"/>
    <w:rsid w:val="00D0724B"/>
    <w:rsid w:val="00D12325"/>
    <w:rsid w:val="00D12761"/>
    <w:rsid w:val="00D14487"/>
    <w:rsid w:val="00D15E7E"/>
    <w:rsid w:val="00D16058"/>
    <w:rsid w:val="00D16FDD"/>
    <w:rsid w:val="00D20016"/>
    <w:rsid w:val="00D207A7"/>
    <w:rsid w:val="00D2279F"/>
    <w:rsid w:val="00D22AF1"/>
    <w:rsid w:val="00D22E93"/>
    <w:rsid w:val="00D23BF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E49"/>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4DA"/>
    <w:rsid w:val="00D61815"/>
    <w:rsid w:val="00D627E3"/>
    <w:rsid w:val="00D62ECD"/>
    <w:rsid w:val="00D64426"/>
    <w:rsid w:val="00D64475"/>
    <w:rsid w:val="00D65D78"/>
    <w:rsid w:val="00D66AAA"/>
    <w:rsid w:val="00D66B04"/>
    <w:rsid w:val="00D67BC5"/>
    <w:rsid w:val="00D67DC0"/>
    <w:rsid w:val="00D70031"/>
    <w:rsid w:val="00D7021B"/>
    <w:rsid w:val="00D704F1"/>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6E"/>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FA7"/>
    <w:rsid w:val="00DB46D0"/>
    <w:rsid w:val="00DB46DF"/>
    <w:rsid w:val="00DB49B6"/>
    <w:rsid w:val="00DB4E06"/>
    <w:rsid w:val="00DB57B8"/>
    <w:rsid w:val="00DB6A80"/>
    <w:rsid w:val="00DB6C06"/>
    <w:rsid w:val="00DB7B06"/>
    <w:rsid w:val="00DC043D"/>
    <w:rsid w:val="00DC2CCF"/>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306"/>
    <w:rsid w:val="00DE18A3"/>
    <w:rsid w:val="00DE1904"/>
    <w:rsid w:val="00DE1DAA"/>
    <w:rsid w:val="00DE3DBB"/>
    <w:rsid w:val="00DE43A2"/>
    <w:rsid w:val="00DE4A74"/>
    <w:rsid w:val="00DE4B05"/>
    <w:rsid w:val="00DE4EE9"/>
    <w:rsid w:val="00DE541C"/>
    <w:rsid w:val="00DE737B"/>
    <w:rsid w:val="00DF066E"/>
    <w:rsid w:val="00DF100B"/>
    <w:rsid w:val="00DF11B7"/>
    <w:rsid w:val="00DF4359"/>
    <w:rsid w:val="00DF6F47"/>
    <w:rsid w:val="00DF73C1"/>
    <w:rsid w:val="00DF7511"/>
    <w:rsid w:val="00DF7751"/>
    <w:rsid w:val="00E009B1"/>
    <w:rsid w:val="00E00BC3"/>
    <w:rsid w:val="00E011D7"/>
    <w:rsid w:val="00E031BB"/>
    <w:rsid w:val="00E0417B"/>
    <w:rsid w:val="00E0576C"/>
    <w:rsid w:val="00E068BC"/>
    <w:rsid w:val="00E073F0"/>
    <w:rsid w:val="00E103AB"/>
    <w:rsid w:val="00E10761"/>
    <w:rsid w:val="00E11D7A"/>
    <w:rsid w:val="00E11EEB"/>
    <w:rsid w:val="00E128F2"/>
    <w:rsid w:val="00E13909"/>
    <w:rsid w:val="00E13E5A"/>
    <w:rsid w:val="00E13EE4"/>
    <w:rsid w:val="00E16463"/>
    <w:rsid w:val="00E16F82"/>
    <w:rsid w:val="00E17F6F"/>
    <w:rsid w:val="00E20B20"/>
    <w:rsid w:val="00E21C3F"/>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5DB"/>
    <w:rsid w:val="00E60809"/>
    <w:rsid w:val="00E60862"/>
    <w:rsid w:val="00E61300"/>
    <w:rsid w:val="00E635B9"/>
    <w:rsid w:val="00E65D15"/>
    <w:rsid w:val="00E66CD8"/>
    <w:rsid w:val="00E67802"/>
    <w:rsid w:val="00E67EE5"/>
    <w:rsid w:val="00E7013A"/>
    <w:rsid w:val="00E72C6B"/>
    <w:rsid w:val="00E73AB7"/>
    <w:rsid w:val="00E74F5D"/>
    <w:rsid w:val="00E76034"/>
    <w:rsid w:val="00E7776B"/>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91"/>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0EDF"/>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9F"/>
    <w:rsid w:val="00F00CD1"/>
    <w:rsid w:val="00F01E6B"/>
    <w:rsid w:val="00F0241C"/>
    <w:rsid w:val="00F0284F"/>
    <w:rsid w:val="00F031EE"/>
    <w:rsid w:val="00F05759"/>
    <w:rsid w:val="00F064EC"/>
    <w:rsid w:val="00F074D0"/>
    <w:rsid w:val="00F07F39"/>
    <w:rsid w:val="00F10CB9"/>
    <w:rsid w:val="00F110CD"/>
    <w:rsid w:val="00F110D5"/>
    <w:rsid w:val="00F12351"/>
    <w:rsid w:val="00F1362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0FE"/>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AA7"/>
    <w:rsid w:val="00F75B66"/>
    <w:rsid w:val="00F76BD9"/>
    <w:rsid w:val="00F80318"/>
    <w:rsid w:val="00F803D0"/>
    <w:rsid w:val="00F80703"/>
    <w:rsid w:val="00F80948"/>
    <w:rsid w:val="00F81387"/>
    <w:rsid w:val="00F82134"/>
    <w:rsid w:val="00F822E3"/>
    <w:rsid w:val="00F82866"/>
    <w:rsid w:val="00F83CDC"/>
    <w:rsid w:val="00F841FB"/>
    <w:rsid w:val="00F84421"/>
    <w:rsid w:val="00F8449B"/>
    <w:rsid w:val="00F84B44"/>
    <w:rsid w:val="00F84BA6"/>
    <w:rsid w:val="00F8542E"/>
    <w:rsid w:val="00F85691"/>
    <w:rsid w:val="00F87032"/>
    <w:rsid w:val="00F87094"/>
    <w:rsid w:val="00F87AB3"/>
    <w:rsid w:val="00F913DC"/>
    <w:rsid w:val="00F91DDA"/>
    <w:rsid w:val="00F9397A"/>
    <w:rsid w:val="00F93A37"/>
    <w:rsid w:val="00F94182"/>
    <w:rsid w:val="00F9431F"/>
    <w:rsid w:val="00F944D9"/>
    <w:rsid w:val="00F94DB3"/>
    <w:rsid w:val="00F96500"/>
    <w:rsid w:val="00F9732A"/>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7A7A"/>
    <w:rsid w:val="00FF033A"/>
    <w:rsid w:val="00FF0964"/>
    <w:rsid w:val="00FF0F67"/>
    <w:rsid w:val="00FF16F2"/>
    <w:rsid w:val="00FF1F9B"/>
    <w:rsid w:val="00FF2B42"/>
    <w:rsid w:val="00FF2D5B"/>
    <w:rsid w:val="00FF3B7F"/>
    <w:rsid w:val="00FF4F92"/>
    <w:rsid w:val="00FF54EB"/>
    <w:rsid w:val="00FF6822"/>
    <w:rsid w:val="00FF73D0"/>
    <w:rsid w:val="040A707E"/>
    <w:rsid w:val="10E807B4"/>
    <w:rsid w:val="1252BBFF"/>
    <w:rsid w:val="13B054A8"/>
    <w:rsid w:val="141204DA"/>
    <w:rsid w:val="16512788"/>
    <w:rsid w:val="1A219784"/>
    <w:rsid w:val="209A1DC3"/>
    <w:rsid w:val="24DEA9D5"/>
    <w:rsid w:val="283E1441"/>
    <w:rsid w:val="32975CEE"/>
    <w:rsid w:val="3D61384A"/>
    <w:rsid w:val="3E61DC49"/>
    <w:rsid w:val="514C3D53"/>
    <w:rsid w:val="5BC489DB"/>
    <w:rsid w:val="65865764"/>
    <w:rsid w:val="66ED3D3C"/>
    <w:rsid w:val="76AD2BF2"/>
    <w:rsid w:val="776A07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93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B79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793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List Paragraph - Bullets,Task Body,3 Txt tabla,목록 단"/>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7"/>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8"/>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013472"/>
  </w:style>
  <w:style w:type="character" w:customStyle="1" w:styleId="eop">
    <w:name w:val="eop"/>
    <w:basedOn w:val="DefaultParagraphFont"/>
    <w:rsid w:val="00013472"/>
  </w:style>
  <w:style w:type="paragraph" w:customStyle="1" w:styleId="paragraph">
    <w:name w:val="paragraph"/>
    <w:basedOn w:val="Normal"/>
    <w:rsid w:val="00013472"/>
    <w:pPr>
      <w:spacing w:before="100" w:beforeAutospacing="1" w:after="100" w:afterAutospacing="1"/>
    </w:pPr>
    <w:rPr>
      <w:rFonts w:eastAsia="Times New Roman"/>
      <w:sz w:val="24"/>
      <w:szCs w:val="24"/>
    </w:rPr>
  </w:style>
  <w:style w:type="character" w:styleId="Mention">
    <w:name w:val="Mention"/>
    <w:basedOn w:val="DefaultParagraphFont"/>
    <w:uiPriority w:val="99"/>
    <w:unhideWhenUsed/>
    <w:rsid w:val="00137D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954389">
      <w:bodyDiv w:val="1"/>
      <w:marLeft w:val="0"/>
      <w:marRight w:val="0"/>
      <w:marTop w:val="0"/>
      <w:marBottom w:val="0"/>
      <w:divBdr>
        <w:top w:val="none" w:sz="0" w:space="0" w:color="auto"/>
        <w:left w:val="none" w:sz="0" w:space="0" w:color="auto"/>
        <w:bottom w:val="none" w:sz="0" w:space="0" w:color="auto"/>
        <w:right w:val="none" w:sz="0" w:space="0" w:color="auto"/>
      </w:divBdr>
      <w:divsChild>
        <w:div w:id="161436257">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881691">
      <w:bodyDiv w:val="1"/>
      <w:marLeft w:val="0"/>
      <w:marRight w:val="0"/>
      <w:marTop w:val="0"/>
      <w:marBottom w:val="0"/>
      <w:divBdr>
        <w:top w:val="none" w:sz="0" w:space="0" w:color="auto"/>
        <w:left w:val="none" w:sz="0" w:space="0" w:color="auto"/>
        <w:bottom w:val="none" w:sz="0" w:space="0" w:color="auto"/>
        <w:right w:val="none" w:sz="0" w:space="0" w:color="auto"/>
      </w:divBdr>
      <w:divsChild>
        <w:div w:id="1495293224">
          <w:marLeft w:val="0"/>
          <w:marRight w:val="0"/>
          <w:marTop w:val="0"/>
          <w:marBottom w:val="0"/>
          <w:divBdr>
            <w:top w:val="none" w:sz="0" w:space="0" w:color="auto"/>
            <w:left w:val="none" w:sz="0" w:space="0" w:color="auto"/>
            <w:bottom w:val="none" w:sz="0" w:space="0" w:color="auto"/>
            <w:right w:val="none" w:sz="0" w:space="0" w:color="auto"/>
          </w:divBdr>
        </w:div>
        <w:div w:id="1567958184">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878870">
      <w:bodyDiv w:val="1"/>
      <w:marLeft w:val="0"/>
      <w:marRight w:val="0"/>
      <w:marTop w:val="0"/>
      <w:marBottom w:val="0"/>
      <w:divBdr>
        <w:top w:val="none" w:sz="0" w:space="0" w:color="auto"/>
        <w:left w:val="none" w:sz="0" w:space="0" w:color="auto"/>
        <w:bottom w:val="none" w:sz="0" w:space="0" w:color="auto"/>
        <w:right w:val="none" w:sz="0" w:space="0" w:color="auto"/>
      </w:divBdr>
      <w:divsChild>
        <w:div w:id="1105230582">
          <w:marLeft w:val="0"/>
          <w:marRight w:val="0"/>
          <w:marTop w:val="0"/>
          <w:marBottom w:val="0"/>
          <w:divBdr>
            <w:top w:val="none" w:sz="0" w:space="0" w:color="auto"/>
            <w:left w:val="none" w:sz="0" w:space="0" w:color="auto"/>
            <w:bottom w:val="none" w:sz="0" w:space="0" w:color="auto"/>
            <w:right w:val="none" w:sz="0" w:space="0" w:color="auto"/>
          </w:divBdr>
        </w:div>
        <w:div w:id="129698965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s://nakedsecurity.sophos.com/2013/07/31/80-million-yacht-hijacked-by-students-spoofing-gps-signals/"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image" Target="media/image8.png"/><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541C9-5EB4-4215-AD2D-611C4D25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2426</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2021-01-18T14:14:00Z</dcterms:created>
  <dcterms:modified xsi:type="dcterms:W3CDTF">2021-01-18T14:58:00Z</dcterms:modified>
</cp:coreProperties>
</file>