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1BD32" w14:textId="4EB3B788" w:rsidR="00BE0A48" w:rsidRDefault="00855E10">
      <w:pPr>
        <w:widowControl w:val="0"/>
        <w:tabs>
          <w:tab w:val="right" w:pos="8280"/>
          <w:tab w:val="right" w:pos="9781"/>
        </w:tabs>
        <w:ind w:right="-58"/>
        <w:jc w:val="both"/>
        <w:rPr>
          <w:rFonts w:ascii="Arial" w:hAnsi="Arial" w:cs="Arial"/>
          <w:b/>
          <w:bCs/>
          <w:sz w:val="24"/>
          <w:szCs w:val="24"/>
          <w:lang w:val="de-DE" w:eastAsia="ja-JP"/>
        </w:rPr>
      </w:pPr>
      <w:bookmarkStart w:id="0" w:name="_GoBack"/>
      <w:bookmarkEnd w:id="0"/>
      <w:r>
        <w:rPr>
          <w:rFonts w:ascii="Arial" w:hAnsi="Arial" w:cs="Arial"/>
          <w:b/>
          <w:bCs/>
          <w:sz w:val="24"/>
          <w:szCs w:val="24"/>
          <w:lang w:val="de-DE"/>
        </w:rPr>
        <w:t>3GPP TSG RAN WG1</w:t>
      </w:r>
      <w:r>
        <w:rPr>
          <w:rFonts w:ascii="Arial" w:hAnsi="Arial" w:cs="Arial"/>
          <w:b/>
          <w:bCs/>
          <w:sz w:val="24"/>
          <w:szCs w:val="24"/>
          <w:lang w:val="de-DE" w:eastAsia="ja-JP"/>
        </w:rPr>
        <w:t xml:space="preserve"> #104-e</w:t>
      </w:r>
      <w:r>
        <w:rPr>
          <w:rFonts w:ascii="Arial" w:hAnsi="Arial" w:cs="Arial"/>
          <w:b/>
          <w:bCs/>
          <w:sz w:val="24"/>
          <w:szCs w:val="24"/>
          <w:lang w:val="de-DE" w:eastAsia="ja-JP"/>
        </w:rPr>
        <w:tab/>
      </w:r>
      <w:r>
        <w:rPr>
          <w:rFonts w:ascii="Arial" w:hAnsi="Arial" w:cs="Arial"/>
          <w:b/>
          <w:bCs/>
          <w:sz w:val="24"/>
          <w:szCs w:val="24"/>
          <w:lang w:val="de-DE" w:eastAsia="ja-JP"/>
        </w:rPr>
        <w:tab/>
      </w:r>
      <w:r>
        <w:rPr>
          <w:rFonts w:ascii="Arial" w:hAnsi="Arial"/>
          <w:b/>
          <w:sz w:val="24"/>
          <w:szCs w:val="24"/>
          <w:lang w:val="de-DE"/>
        </w:rPr>
        <w:t>R1-2</w:t>
      </w:r>
      <w:r w:rsidR="00047726">
        <w:rPr>
          <w:rFonts w:ascii="Arial" w:hAnsi="Arial"/>
          <w:b/>
          <w:sz w:val="24"/>
          <w:szCs w:val="24"/>
          <w:lang w:val="de-DE"/>
        </w:rPr>
        <w:t>101286</w:t>
      </w:r>
    </w:p>
    <w:p w14:paraId="6CA3E8E0" w14:textId="77777777" w:rsidR="00BE0A48" w:rsidRDefault="00855E10">
      <w:pPr>
        <w:widowControl w:val="0"/>
        <w:tabs>
          <w:tab w:val="left" w:pos="1701"/>
          <w:tab w:val="right" w:pos="9072"/>
          <w:tab w:val="right" w:pos="10206"/>
        </w:tabs>
        <w:jc w:val="both"/>
        <w:rPr>
          <w:rFonts w:ascii="Arial" w:hAnsi="Arial"/>
          <w:b/>
          <w:sz w:val="24"/>
          <w:szCs w:val="24"/>
        </w:rPr>
      </w:pPr>
      <w:proofErr w:type="gramStart"/>
      <w:r>
        <w:rPr>
          <w:rFonts w:ascii="Arial" w:hAnsi="Arial" w:cs="Arial"/>
          <w:b/>
          <w:bCs/>
          <w:sz w:val="24"/>
          <w:szCs w:val="24"/>
          <w:lang w:eastAsia="ja-JP"/>
        </w:rPr>
        <w:t>e-meeting</w:t>
      </w:r>
      <w:proofErr w:type="gramEnd"/>
      <w:r>
        <w:rPr>
          <w:rFonts w:ascii="Arial" w:hAnsi="Arial" w:cs="Arial"/>
          <w:b/>
          <w:bCs/>
          <w:sz w:val="24"/>
          <w:szCs w:val="24"/>
          <w:lang w:eastAsia="ja-JP"/>
        </w:rPr>
        <w:t>, January 25</w:t>
      </w:r>
      <w:r>
        <w:rPr>
          <w:rFonts w:ascii="Arial" w:hAnsi="Arial" w:cs="Arial"/>
          <w:b/>
          <w:bCs/>
          <w:sz w:val="24"/>
          <w:szCs w:val="24"/>
          <w:vertAlign w:val="superscript"/>
          <w:lang w:eastAsia="ja-JP"/>
        </w:rPr>
        <w:t>th</w:t>
      </w:r>
      <w:r>
        <w:rPr>
          <w:rFonts w:ascii="Arial" w:hAnsi="Arial" w:cs="Arial"/>
          <w:b/>
          <w:bCs/>
          <w:sz w:val="24"/>
          <w:szCs w:val="24"/>
          <w:lang w:eastAsia="ja-JP"/>
        </w:rPr>
        <w:t xml:space="preserve"> – February 5</w:t>
      </w:r>
      <w:r>
        <w:rPr>
          <w:rFonts w:ascii="Arial" w:hAnsi="Arial" w:cs="Arial"/>
          <w:b/>
          <w:bCs/>
          <w:sz w:val="24"/>
          <w:szCs w:val="24"/>
          <w:vertAlign w:val="superscript"/>
          <w:lang w:eastAsia="ja-JP"/>
        </w:rPr>
        <w:t>th</w:t>
      </w:r>
      <w:r>
        <w:rPr>
          <w:rFonts w:ascii="Arial" w:hAnsi="Arial" w:cs="Arial"/>
          <w:b/>
          <w:bCs/>
          <w:sz w:val="24"/>
          <w:szCs w:val="24"/>
          <w:lang w:eastAsia="ja-JP"/>
        </w:rPr>
        <w:t>,</w:t>
      </w:r>
      <w:r>
        <w:rPr>
          <w:rFonts w:ascii="Arial" w:eastAsia="Batang" w:hAnsi="Arial" w:cs="Arial"/>
          <w:b/>
          <w:bCs/>
          <w:sz w:val="24"/>
          <w:szCs w:val="24"/>
          <w:lang w:eastAsia="ja-JP"/>
        </w:rPr>
        <w:t xml:space="preserve"> </w:t>
      </w:r>
      <w:r>
        <w:rPr>
          <w:rFonts w:ascii="Arial" w:hAnsi="Arial" w:cs="Arial"/>
          <w:b/>
          <w:bCs/>
          <w:sz w:val="24"/>
          <w:szCs w:val="24"/>
          <w:lang w:eastAsia="ja-JP"/>
        </w:rPr>
        <w:t>2021</w:t>
      </w:r>
    </w:p>
    <w:p w14:paraId="6729BEAD" w14:textId="77777777" w:rsidR="00BE0A48" w:rsidRDefault="00BE0A48">
      <w:pPr>
        <w:keepLines/>
        <w:widowControl w:val="0"/>
        <w:ind w:left="454" w:hanging="454"/>
        <w:jc w:val="both"/>
        <w:rPr>
          <w:rFonts w:eastAsia="MS Mincho"/>
          <w:sz w:val="24"/>
          <w:szCs w:val="24"/>
        </w:rPr>
      </w:pPr>
    </w:p>
    <w:p w14:paraId="4784E2DE" w14:textId="77777777" w:rsidR="00BE0A48" w:rsidRDefault="00855E10">
      <w:pPr>
        <w:widowControl w:val="0"/>
        <w:tabs>
          <w:tab w:val="left" w:pos="1701"/>
          <w:tab w:val="right" w:pos="9072"/>
          <w:tab w:val="right" w:pos="10206"/>
        </w:tabs>
        <w:jc w:val="both"/>
        <w:rPr>
          <w:rFonts w:ascii="Arial" w:eastAsia="MS Mincho" w:hAnsi="Arial"/>
          <w:b/>
          <w:sz w:val="24"/>
          <w:szCs w:val="24"/>
          <w:lang w:eastAsia="ja-JP"/>
        </w:rPr>
      </w:pPr>
      <w:r>
        <w:rPr>
          <w:rFonts w:ascii="Arial" w:eastAsia="Batang" w:hAnsi="Arial"/>
          <w:b/>
          <w:sz w:val="24"/>
          <w:szCs w:val="24"/>
        </w:rPr>
        <w:t>Source:</w:t>
      </w:r>
      <w:r>
        <w:rPr>
          <w:rFonts w:ascii="Arial" w:eastAsia="Batang" w:hAnsi="Arial"/>
          <w:b/>
          <w:sz w:val="24"/>
          <w:szCs w:val="24"/>
        </w:rPr>
        <w:tab/>
      </w:r>
      <w:r>
        <w:rPr>
          <w:rFonts w:ascii="Arial" w:eastAsia="Batang" w:hAnsi="Arial"/>
          <w:sz w:val="24"/>
          <w:szCs w:val="24"/>
        </w:rPr>
        <w:t>CEWiT</w:t>
      </w:r>
    </w:p>
    <w:p w14:paraId="50002754" w14:textId="77777777" w:rsidR="00BE0A48" w:rsidRDefault="00855E10">
      <w:pPr>
        <w:widowControl w:val="0"/>
        <w:tabs>
          <w:tab w:val="left" w:pos="1701"/>
          <w:tab w:val="right" w:pos="9072"/>
          <w:tab w:val="right" w:pos="10206"/>
        </w:tabs>
        <w:jc w:val="both"/>
        <w:rPr>
          <w:rFonts w:ascii="Arial" w:eastAsia="MS Mincho" w:hAnsi="Arial"/>
          <w:sz w:val="24"/>
          <w:szCs w:val="24"/>
          <w:lang w:eastAsia="ja-JP"/>
        </w:rPr>
      </w:pPr>
      <w:r>
        <w:rPr>
          <w:rFonts w:ascii="Arial" w:eastAsia="Batang" w:hAnsi="Arial"/>
          <w:b/>
          <w:sz w:val="24"/>
          <w:szCs w:val="24"/>
        </w:rPr>
        <w:t xml:space="preserve">Title: </w:t>
      </w:r>
      <w:r>
        <w:rPr>
          <w:rFonts w:ascii="Arial" w:eastAsia="Batang" w:hAnsi="Arial"/>
          <w:b/>
          <w:sz w:val="24"/>
          <w:szCs w:val="24"/>
        </w:rPr>
        <w:tab/>
      </w:r>
      <w:r>
        <w:rPr>
          <w:rFonts w:ascii="Arial" w:eastAsia="MS Mincho" w:hAnsi="Arial"/>
          <w:sz w:val="24"/>
          <w:szCs w:val="24"/>
          <w:lang w:eastAsia="ja-JP"/>
        </w:rPr>
        <w:t>Discussion on Initial access aspects for NR beyond 52.6 GHz</w:t>
      </w:r>
    </w:p>
    <w:p w14:paraId="30F1A2B3" w14:textId="77777777" w:rsidR="00BE0A48" w:rsidRDefault="00855E10">
      <w:pPr>
        <w:jc w:val="both"/>
        <w:rPr>
          <w:rFonts w:eastAsia="MS Mincho"/>
          <w:sz w:val="24"/>
          <w:szCs w:val="24"/>
          <w:lang w:eastAsia="ja-JP"/>
        </w:rPr>
      </w:pPr>
      <w:r>
        <w:rPr>
          <w:rFonts w:ascii="Arial" w:eastAsia="Batang" w:hAnsi="Arial"/>
          <w:b/>
          <w:sz w:val="24"/>
          <w:szCs w:val="24"/>
        </w:rPr>
        <w:t xml:space="preserve">Agenda Item:   </w:t>
      </w:r>
      <w:r>
        <w:rPr>
          <w:rFonts w:ascii="Arial" w:eastAsia="MS Mincho" w:hAnsi="Arial"/>
          <w:sz w:val="24"/>
          <w:szCs w:val="24"/>
          <w:lang w:eastAsia="ja-JP"/>
        </w:rPr>
        <w:t>8.2.1</w:t>
      </w:r>
    </w:p>
    <w:p w14:paraId="40FB770F" w14:textId="77777777" w:rsidR="00BE0A48" w:rsidRDefault="00855E10">
      <w:pPr>
        <w:widowControl w:val="0"/>
        <w:tabs>
          <w:tab w:val="left" w:pos="1701"/>
          <w:tab w:val="right" w:pos="9072"/>
          <w:tab w:val="right" w:pos="10206"/>
        </w:tabs>
        <w:jc w:val="both"/>
        <w:rPr>
          <w:rFonts w:ascii="Arial" w:eastAsia="SimSun" w:hAnsi="Arial"/>
          <w:b/>
          <w:sz w:val="24"/>
          <w:szCs w:val="24"/>
          <w:lang w:eastAsia="zh-CN"/>
        </w:rPr>
      </w:pPr>
      <w:r>
        <w:rPr>
          <w:rFonts w:ascii="Arial" w:eastAsia="Batang" w:hAnsi="Arial"/>
          <w:b/>
          <w:sz w:val="24"/>
          <w:szCs w:val="24"/>
        </w:rPr>
        <w:t>Document for:</w:t>
      </w:r>
      <w:r>
        <w:rPr>
          <w:rFonts w:ascii="Arial" w:eastAsia="Batang" w:hAnsi="Arial"/>
          <w:b/>
          <w:sz w:val="24"/>
          <w:szCs w:val="24"/>
        </w:rPr>
        <w:tab/>
      </w:r>
      <w:r>
        <w:rPr>
          <w:rFonts w:ascii="Arial" w:eastAsia="SimSun" w:hAnsi="Arial"/>
          <w:sz w:val="24"/>
          <w:szCs w:val="24"/>
          <w:lang w:eastAsia="zh-CN"/>
        </w:rPr>
        <w:t>Discussion</w:t>
      </w:r>
    </w:p>
    <w:p w14:paraId="0A133F9D" w14:textId="77777777" w:rsidR="00BE0A48" w:rsidRDefault="00855E10">
      <w:pPr>
        <w:keepNext/>
        <w:keepLines/>
        <w:pBdr>
          <w:top w:val="single" w:sz="12" w:space="4" w:color="00000A"/>
        </w:pBdr>
        <w:tabs>
          <w:tab w:val="left" w:pos="426"/>
          <w:tab w:val="left" w:pos="4969"/>
        </w:tabs>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t>Introduction</w:t>
      </w:r>
    </w:p>
    <w:p w14:paraId="1F7C1040" w14:textId="77777777" w:rsidR="00BE0A48" w:rsidRDefault="00855E10">
      <w:pPr>
        <w:spacing w:before="120" w:after="240"/>
        <w:jc w:val="both"/>
        <w:rPr>
          <w:rFonts w:eastAsia="MS Mincho"/>
          <w:lang w:eastAsia="ja-JP"/>
        </w:rPr>
      </w:pPr>
      <w:r>
        <w:rPr>
          <w:rFonts w:eastAsia="MS Mincho"/>
          <w:lang w:eastAsia="ja-JP"/>
        </w:rPr>
        <w:t>At the RAN#90-e meeting, the new WID on supporting NR from 52.6GHz to 71GHz was approved [1]. The objectives of the WI include following RAN1 works.</w:t>
      </w:r>
    </w:p>
    <w:tbl>
      <w:tblPr>
        <w:tblStyle w:val="TableGrid"/>
        <w:tblW w:w="9855" w:type="dxa"/>
        <w:tblLook w:val="04A0" w:firstRow="1" w:lastRow="0" w:firstColumn="1" w:lastColumn="0" w:noHBand="0" w:noVBand="1"/>
      </w:tblPr>
      <w:tblGrid>
        <w:gridCol w:w="9855"/>
      </w:tblGrid>
      <w:tr w:rsidR="00BE0A48" w14:paraId="12E376C4" w14:textId="77777777">
        <w:tc>
          <w:tcPr>
            <w:tcW w:w="9855" w:type="dxa"/>
            <w:shd w:val="clear" w:color="auto" w:fill="auto"/>
            <w:tcMar>
              <w:left w:w="108" w:type="dxa"/>
            </w:tcMar>
          </w:tcPr>
          <w:p w14:paraId="75883326" w14:textId="77777777" w:rsidR="00BE0A48" w:rsidRDefault="00855E10" w:rsidP="00FD318F">
            <w:pPr>
              <w:pStyle w:val="ListParagraph"/>
              <w:ind w:left="0"/>
              <w:rPr>
                <w:rFonts w:eastAsia="Yu Mincho"/>
              </w:rPr>
            </w:pPr>
            <w:r>
              <w:rPr>
                <w:rFonts w:eastAsia="Yu Mincho"/>
              </w:rPr>
              <w:t>Physical layer aspects including [RAN1]:</w:t>
            </w:r>
          </w:p>
          <w:p w14:paraId="051F3916" w14:textId="77777777" w:rsidR="00BE0A48" w:rsidRDefault="00855E10" w:rsidP="00FD318F">
            <w:pPr>
              <w:pStyle w:val="ListParagraph"/>
              <w:numPr>
                <w:ilvl w:val="0"/>
                <w:numId w:val="4"/>
              </w:numPr>
              <w:rPr>
                <w:rFonts w:eastAsia="Yu Mincho"/>
              </w:rPr>
            </w:pPr>
            <w:r>
              <w:rPr>
                <w:rFonts w:eastAsia="Yu Mincho"/>
              </w:rPr>
              <w:t>Support of up to 64 SSB beams for licensed and unlicensed operation in this frequency range</w:t>
            </w:r>
          </w:p>
          <w:p w14:paraId="19DDB346" w14:textId="77777777" w:rsidR="00BE0A48" w:rsidRDefault="00855E10" w:rsidP="00FD318F">
            <w:pPr>
              <w:pStyle w:val="ListParagraph"/>
              <w:numPr>
                <w:ilvl w:val="0"/>
                <w:numId w:val="4"/>
              </w:numPr>
              <w:rPr>
                <w:rFonts w:eastAsia="Yu Mincho"/>
              </w:rPr>
            </w:pPr>
            <w:r>
              <w:rPr>
                <w:rFonts w:eastAsia="Yu Mincho"/>
              </w:rPr>
              <w:t xml:space="preserve">Supports </w:t>
            </w:r>
            <w:proofErr w:type="gramStart"/>
            <w:r>
              <w:rPr>
                <w:rFonts w:eastAsia="Yu Mincho"/>
              </w:rPr>
              <w:t>120kHz</w:t>
            </w:r>
            <w:proofErr w:type="gramEnd"/>
            <w:r>
              <w:rPr>
                <w:rFonts w:eastAsia="Yu Mincho"/>
              </w:rPr>
              <w:t xml:space="preserve"> SCS for SSB and 120kHz SCS for initial access related signals/channels in an initial BWP.</w:t>
            </w:r>
          </w:p>
          <w:p w14:paraId="69333355" w14:textId="77777777" w:rsidR="00BE0A48" w:rsidRDefault="00855E10" w:rsidP="00FD318F">
            <w:pPr>
              <w:pStyle w:val="ListParagraph"/>
              <w:numPr>
                <w:ilvl w:val="1"/>
                <w:numId w:val="4"/>
              </w:numPr>
              <w:rPr>
                <w:rFonts w:eastAsia="Yu Mincho"/>
              </w:rPr>
            </w:pPr>
            <w:r>
              <w:rPr>
                <w:rFonts w:eastAsia="Yu Mincho"/>
              </w:rPr>
              <w:t xml:space="preserve">Study and specify, if needed, additional SCS (240kHz, 480kHz, 960kHz) for SSB, and additional </w:t>
            </w:r>
            <w:proofErr w:type="gramStart"/>
            <w:r>
              <w:rPr>
                <w:rFonts w:eastAsia="Yu Mincho"/>
              </w:rPr>
              <w:t>SCS(</w:t>
            </w:r>
            <w:proofErr w:type="gramEnd"/>
            <w:r>
              <w:rPr>
                <w:rFonts w:eastAsia="Yu Mincho"/>
              </w:rPr>
              <w:t>480kHz, 960kHz) for initial access related signals/channels in initial BWP.</w:t>
            </w:r>
          </w:p>
          <w:p w14:paraId="6C4538D7" w14:textId="77777777" w:rsidR="00BE0A48" w:rsidRDefault="00855E10" w:rsidP="00FD318F">
            <w:pPr>
              <w:pStyle w:val="ListParagraph"/>
              <w:numPr>
                <w:ilvl w:val="1"/>
                <w:numId w:val="4"/>
              </w:numPr>
              <w:rPr>
                <w:rFonts w:eastAsia="Yu Mincho"/>
              </w:rPr>
            </w:pPr>
            <w:r>
              <w:rPr>
                <w:rFonts w:eastAsia="Yu Mincho"/>
              </w:rPr>
              <w:t>Study and specify, if needed, additional SCS (</w:t>
            </w:r>
            <w:proofErr w:type="gramStart"/>
            <w:r>
              <w:rPr>
                <w:rFonts w:eastAsia="Yu Mincho"/>
              </w:rPr>
              <w:t>480kHz</w:t>
            </w:r>
            <w:proofErr w:type="gramEnd"/>
            <w:r>
              <w:rPr>
                <w:rFonts w:eastAsia="Yu Mincho"/>
              </w:rPr>
              <w:t>, 960kHz) for SSB for cases other than initial access.</w:t>
            </w:r>
          </w:p>
          <w:p w14:paraId="36A27EB3" w14:textId="77777777" w:rsidR="00BE0A48" w:rsidRPr="0076272E" w:rsidRDefault="00855E10" w:rsidP="00FD318F">
            <w:pPr>
              <w:pStyle w:val="ListParagraph"/>
              <w:numPr>
                <w:ilvl w:val="1"/>
                <w:numId w:val="4"/>
              </w:numPr>
            </w:pPr>
            <w:r w:rsidRPr="0076272E">
              <w:t>Note: coverage enhancement for SSB is not pursued.</w:t>
            </w:r>
          </w:p>
        </w:tc>
      </w:tr>
    </w:tbl>
    <w:p w14:paraId="3B4FF999" w14:textId="77777777" w:rsidR="00BE0A48" w:rsidRDefault="00BE0A48">
      <w:pPr>
        <w:spacing w:before="120"/>
        <w:jc w:val="both"/>
        <w:rPr>
          <w:rFonts w:asciiTheme="majorBidi" w:hAnsiTheme="majorBidi" w:cstheme="majorBidi"/>
          <w:b/>
          <w:bCs/>
          <w:i/>
          <w:iCs/>
          <w:lang w:eastAsia="zh-CN"/>
        </w:rPr>
      </w:pPr>
    </w:p>
    <w:tbl>
      <w:tblPr>
        <w:tblStyle w:val="TableGrid"/>
        <w:tblW w:w="9855" w:type="dxa"/>
        <w:tblLook w:val="04A0" w:firstRow="1" w:lastRow="0" w:firstColumn="1" w:lastColumn="0" w:noHBand="0" w:noVBand="1"/>
      </w:tblPr>
      <w:tblGrid>
        <w:gridCol w:w="9855"/>
      </w:tblGrid>
      <w:tr w:rsidR="00BE0A48" w14:paraId="24085848" w14:textId="77777777">
        <w:tc>
          <w:tcPr>
            <w:tcW w:w="9855" w:type="dxa"/>
            <w:shd w:val="clear" w:color="auto" w:fill="auto"/>
            <w:tcMar>
              <w:left w:w="108" w:type="dxa"/>
            </w:tcMar>
          </w:tcPr>
          <w:p w14:paraId="0627257F" w14:textId="77777777" w:rsidR="00BE0A48" w:rsidRDefault="00855E10">
            <w:pPr>
              <w:jc w:val="both"/>
              <w:rPr>
                <w:iCs/>
              </w:rPr>
            </w:pPr>
            <w:r>
              <w:rPr>
                <w:iCs/>
              </w:rPr>
              <w:t>In RAN1#103-e meeting, agreements were reached and conclusions were made as follows [2],</w:t>
            </w:r>
          </w:p>
          <w:p w14:paraId="26D6347B" w14:textId="77777777" w:rsidR="00BE0A48" w:rsidRDefault="00BE0A48">
            <w:pPr>
              <w:jc w:val="both"/>
              <w:rPr>
                <w:iCs/>
              </w:rPr>
            </w:pPr>
          </w:p>
          <w:p w14:paraId="02A82722" w14:textId="77777777" w:rsidR="00BE0A48" w:rsidRDefault="00855E10">
            <w:pPr>
              <w:rPr>
                <w:lang w:eastAsia="x-none"/>
              </w:rPr>
            </w:pPr>
            <w:r>
              <w:rPr>
                <w:highlight w:val="green"/>
                <w:lang w:eastAsia="x-none"/>
              </w:rPr>
              <w:t>Agreement:</w:t>
            </w:r>
          </w:p>
          <w:p w14:paraId="07F1EBAB" w14:textId="77777777" w:rsidR="00BE0A48" w:rsidRDefault="00855E10">
            <w:pPr>
              <w:rPr>
                <w:lang w:eastAsia="x-none"/>
              </w:rPr>
            </w:pPr>
            <w:r>
              <w:rPr>
                <w:lang w:eastAsia="x-none"/>
              </w:rPr>
              <w:t>Numerologies below 120 kHz or above 960 kHz are not supported for any signal or channel.</w:t>
            </w:r>
          </w:p>
          <w:p w14:paraId="66EAA7F5" w14:textId="77777777" w:rsidR="00BE0A48" w:rsidRDefault="00BE0A48">
            <w:pPr>
              <w:jc w:val="both"/>
              <w:rPr>
                <w:iCs/>
              </w:rPr>
            </w:pPr>
          </w:p>
          <w:p w14:paraId="533A529C" w14:textId="77777777" w:rsidR="00BE0A48" w:rsidRDefault="00855E10">
            <w:pPr>
              <w:rPr>
                <w:lang w:eastAsia="x-none"/>
              </w:rPr>
            </w:pPr>
            <w:r>
              <w:rPr>
                <w:highlight w:val="green"/>
                <w:lang w:eastAsia="x-none"/>
              </w:rPr>
              <w:t>Agreement:</w:t>
            </w:r>
          </w:p>
          <w:p w14:paraId="7F801BCF" w14:textId="77777777" w:rsidR="00BE0A48" w:rsidRDefault="00855E10">
            <w:pPr>
              <w:rPr>
                <w:lang w:eastAsia="x-none"/>
              </w:rPr>
            </w:pPr>
            <w:r>
              <w:rPr>
                <w:lang w:eastAsia="x-none"/>
              </w:rPr>
              <w:t>For operation in 52-71 GHz:</w:t>
            </w:r>
          </w:p>
          <w:p w14:paraId="70B7DF0A" w14:textId="77777777" w:rsidR="00BE0A48" w:rsidRDefault="00855E10">
            <w:pPr>
              <w:numPr>
                <w:ilvl w:val="0"/>
                <w:numId w:val="2"/>
              </w:numPr>
              <w:rPr>
                <w:lang w:eastAsia="x-none"/>
              </w:rPr>
            </w:pPr>
            <w:r>
              <w:rPr>
                <w:lang w:eastAsia="x-none"/>
              </w:rPr>
              <w:t>120 kHz should be supported</w:t>
            </w:r>
          </w:p>
          <w:p w14:paraId="58F472CD" w14:textId="77777777" w:rsidR="00BE0A48" w:rsidRDefault="00855E10">
            <w:pPr>
              <w:numPr>
                <w:ilvl w:val="0"/>
                <w:numId w:val="2"/>
              </w:numPr>
              <w:rPr>
                <w:lang w:eastAsia="x-none"/>
              </w:rPr>
            </w:pPr>
            <w:r>
              <w:rPr>
                <w:lang w:eastAsia="x-none"/>
              </w:rPr>
              <w:t>Up to two additional SCS may be considered and at least one should be supported</w:t>
            </w:r>
          </w:p>
          <w:p w14:paraId="34E4F92A" w14:textId="77777777" w:rsidR="00BE0A48" w:rsidRDefault="00855E10">
            <w:pPr>
              <w:numPr>
                <w:ilvl w:val="0"/>
                <w:numId w:val="2"/>
              </w:numPr>
              <w:rPr>
                <w:lang w:eastAsia="x-none"/>
              </w:rPr>
            </w:pPr>
            <w:r>
              <w:rPr>
                <w:lang w:eastAsia="x-none"/>
              </w:rPr>
              <w:t xml:space="preserve">FFS: Applicability of additional SCS to particular signals and channels </w:t>
            </w:r>
          </w:p>
          <w:p w14:paraId="4F37A02A" w14:textId="77777777" w:rsidR="00BE0A48" w:rsidRDefault="00BE0A48">
            <w:pPr>
              <w:ind w:left="360"/>
              <w:rPr>
                <w:lang w:eastAsia="x-none"/>
              </w:rPr>
            </w:pPr>
          </w:p>
        </w:tc>
      </w:tr>
    </w:tbl>
    <w:p w14:paraId="6F2F80A5" w14:textId="77777777" w:rsidR="00BE0A48" w:rsidRDefault="00BE0A48">
      <w:pPr>
        <w:jc w:val="both"/>
        <w:rPr>
          <w:iCs/>
        </w:rPr>
      </w:pPr>
    </w:p>
    <w:p w14:paraId="0C672684" w14:textId="77777777" w:rsidR="00BE0A48" w:rsidRDefault="00855E10">
      <w:pPr>
        <w:jc w:val="both"/>
        <w:rPr>
          <w:iCs/>
        </w:rPr>
      </w:pPr>
      <w:r>
        <w:rPr>
          <w:iCs/>
        </w:rPr>
        <w:t>In this contribution, we provide our views on the initial access aspects for NR beyond 52.6GHz mainly focusing on the enhancements on the structure of SSB.</w:t>
      </w:r>
    </w:p>
    <w:p w14:paraId="6C3D5112" w14:textId="77777777" w:rsidR="00BE0A48" w:rsidRDefault="00BE0A48">
      <w:pPr>
        <w:jc w:val="both"/>
        <w:rPr>
          <w:iCs/>
        </w:rPr>
      </w:pPr>
    </w:p>
    <w:p w14:paraId="075C0572" w14:textId="77777777" w:rsidR="00BE0A48" w:rsidRDefault="00855E10">
      <w:pPr>
        <w:keepNext/>
        <w:keepLines/>
        <w:pBdr>
          <w:top w:val="single" w:sz="12" w:space="3" w:color="00000A"/>
        </w:pBdr>
        <w:tabs>
          <w:tab w:val="left" w:pos="426"/>
          <w:tab w:val="left"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 Enhancements on SSB</w:t>
      </w:r>
    </w:p>
    <w:p w14:paraId="70499B16" w14:textId="77777777" w:rsidR="00BE0A48" w:rsidRDefault="00BE0A48">
      <w:pPr>
        <w:keepNext/>
        <w:keepLines/>
        <w:pBdr>
          <w:top w:val="single" w:sz="12" w:space="3" w:color="00000A"/>
        </w:pBdr>
        <w:tabs>
          <w:tab w:val="left" w:pos="426"/>
          <w:tab w:val="left" w:pos="4969"/>
        </w:tabs>
        <w:ind w:left="426" w:hanging="426"/>
        <w:jc w:val="both"/>
        <w:outlineLvl w:val="0"/>
        <w:rPr>
          <w:rFonts w:ascii="Arial" w:eastAsia="MS Mincho" w:hAnsi="Arial"/>
          <w:sz w:val="36"/>
          <w:szCs w:val="36"/>
          <w:lang w:eastAsia="ja-JP"/>
        </w:rPr>
      </w:pPr>
    </w:p>
    <w:p w14:paraId="52CF8F6E" w14:textId="5F94AAC8" w:rsidR="00BE0A48" w:rsidRDefault="00855E10">
      <w:pPr>
        <w:pBdr>
          <w:top w:val="single" w:sz="12" w:space="3" w:color="00000A"/>
        </w:pBdr>
        <w:tabs>
          <w:tab w:val="left" w:pos="426"/>
          <w:tab w:val="left" w:pos="4969"/>
        </w:tabs>
        <w:spacing w:before="120"/>
        <w:jc w:val="both"/>
      </w:pPr>
      <w:r>
        <w:rPr>
          <w:rFonts w:eastAsia="MS Mincho"/>
          <w:szCs w:val="36"/>
          <w:lang w:eastAsia="ja-JP"/>
        </w:rPr>
        <w:t xml:space="preserve">In NR Rel-15 specification, an SSB is transmitted by the </w:t>
      </w:r>
      <w:proofErr w:type="spellStart"/>
      <w:r>
        <w:rPr>
          <w:rFonts w:eastAsia="MS Mincho"/>
          <w:szCs w:val="36"/>
          <w:lang w:eastAsia="ja-JP"/>
        </w:rPr>
        <w:t>gNB</w:t>
      </w:r>
      <w:proofErr w:type="spellEnd"/>
      <w:r>
        <w:rPr>
          <w:rFonts w:eastAsia="MS Mincho"/>
          <w:szCs w:val="36"/>
          <w:lang w:eastAsia="ja-JP"/>
        </w:rPr>
        <w:t xml:space="preserve"> for initial access procedure at the UE. An SSB is transmitted in 4 OFDM symbols across 240 subcarriers and in predefined bursts across the time domain on the configured PRBs. The bursts periodicity in terms of time slots depends on which subcarrier spacing is configured. Currently, in Rel-15 NR support of up to 64 SSB beams for licensed spectrum is present for FR2. </w:t>
      </w:r>
      <w:r>
        <w:rPr>
          <w:rFonts w:eastAsia="SimSun"/>
          <w:bCs/>
          <w:lang w:eastAsia="zh-CN"/>
        </w:rPr>
        <w:t>The subcarrier spacing 15/30/60 kHz are supported for data and control channels in FR1.  The subcarrier spacing of 60 and 120 KHz are supported for data and control channels in FR2. The SSB supports 15/30 kHz and 120/240 kHz SCS for FR1 and FR2 respectively.</w:t>
      </w:r>
      <w:r>
        <w:rPr>
          <w:rFonts w:eastAsia="MS Mincho"/>
          <w:szCs w:val="36"/>
          <w:lang w:eastAsia="ja-JP"/>
        </w:rPr>
        <w:t xml:space="preserve"> The SSB designs for Rel-15 FR2 are shown in figure 1. Part (a) of figure 1 shows the SSB pattern in a 0.5 </w:t>
      </w:r>
      <w:proofErr w:type="spellStart"/>
      <w:r>
        <w:rPr>
          <w:rFonts w:eastAsia="MS Mincho"/>
          <w:szCs w:val="36"/>
          <w:lang w:eastAsia="ja-JP"/>
        </w:rPr>
        <w:t>milli</w:t>
      </w:r>
      <w:proofErr w:type="spellEnd"/>
      <w:r w:rsidR="00705676">
        <w:rPr>
          <w:rFonts w:eastAsia="MS Mincho"/>
          <w:szCs w:val="36"/>
          <w:lang w:eastAsia="ja-JP"/>
        </w:rPr>
        <w:t>-</w:t>
      </w:r>
      <w:r>
        <w:rPr>
          <w:rFonts w:eastAsia="MS Mincho"/>
          <w:szCs w:val="36"/>
          <w:lang w:eastAsia="ja-JP"/>
        </w:rPr>
        <w:t xml:space="preserve">second window for subcarrier </w:t>
      </w:r>
      <w:proofErr w:type="spellStart"/>
      <w:r>
        <w:rPr>
          <w:rFonts w:eastAsia="MS Mincho"/>
          <w:szCs w:val="36"/>
          <w:lang w:eastAsia="ja-JP"/>
        </w:rPr>
        <w:t>spacings</w:t>
      </w:r>
      <w:proofErr w:type="spellEnd"/>
      <w:r>
        <w:rPr>
          <w:rFonts w:eastAsia="MS Mincho"/>
          <w:szCs w:val="36"/>
          <w:lang w:eastAsia="ja-JP"/>
        </w:rPr>
        <w:t xml:space="preserve"> of </w:t>
      </w:r>
      <w:proofErr w:type="gramStart"/>
      <w:r>
        <w:rPr>
          <w:rFonts w:eastAsia="MS Mincho"/>
          <w:szCs w:val="36"/>
          <w:lang w:eastAsia="ja-JP"/>
        </w:rPr>
        <w:t>120KHz</w:t>
      </w:r>
      <w:proofErr w:type="gramEnd"/>
      <w:r>
        <w:rPr>
          <w:rFonts w:eastAsia="MS Mincho"/>
          <w:szCs w:val="36"/>
          <w:lang w:eastAsia="ja-JP"/>
        </w:rPr>
        <w:t xml:space="preserve"> (top) and 240KHz (bottom). As shown in part (a) of figure 1, 8 SSBs and 16 SSBs are transmitted in the 0.5ms window for </w:t>
      </w:r>
      <w:proofErr w:type="gramStart"/>
      <w:r>
        <w:rPr>
          <w:rFonts w:eastAsia="MS Mincho"/>
          <w:szCs w:val="36"/>
          <w:lang w:eastAsia="ja-JP"/>
        </w:rPr>
        <w:t>120KHz</w:t>
      </w:r>
      <w:proofErr w:type="gramEnd"/>
      <w:r>
        <w:rPr>
          <w:rFonts w:eastAsia="MS Mincho"/>
          <w:szCs w:val="36"/>
          <w:lang w:eastAsia="ja-JP"/>
        </w:rPr>
        <w:t xml:space="preserve"> SCS and 240KHz SCS respectively. Part (b) of figure 1 shows the SSB pattern in a 5ms window. Part (b) of figure 1 shows the slots that carries SSBs in a 5ms window. As shown in figure, up to 64 SSBs can be transmitted for both 120KHz SCS and 240KHz SCS in FR2 region according to Rel-15. </w:t>
      </w:r>
    </w:p>
    <w:p w14:paraId="7FBE5349" w14:textId="65689458" w:rsidR="00BE0A48" w:rsidRDefault="00BE0A48">
      <w:pPr>
        <w:pBdr>
          <w:top w:val="single" w:sz="12" w:space="3" w:color="00000A"/>
        </w:pBdr>
        <w:tabs>
          <w:tab w:val="left" w:pos="426"/>
          <w:tab w:val="left" w:pos="4969"/>
        </w:tabs>
        <w:spacing w:before="120"/>
        <w:jc w:val="both"/>
        <w:rPr>
          <w:rFonts w:eastAsia="MS Mincho"/>
          <w:szCs w:val="36"/>
          <w:lang w:eastAsia="ja-JP"/>
        </w:rPr>
      </w:pPr>
    </w:p>
    <w:p w14:paraId="0BF36D28" w14:textId="49858070" w:rsidR="000A1B0D" w:rsidRDefault="000A1B0D">
      <w:pPr>
        <w:pBdr>
          <w:top w:val="single" w:sz="12" w:space="3" w:color="00000A"/>
        </w:pBdr>
        <w:tabs>
          <w:tab w:val="left" w:pos="426"/>
          <w:tab w:val="left" w:pos="4969"/>
        </w:tabs>
        <w:spacing w:before="120"/>
        <w:jc w:val="both"/>
        <w:rPr>
          <w:rFonts w:eastAsia="MS Mincho"/>
          <w:szCs w:val="36"/>
          <w:lang w:eastAsia="ja-JP"/>
        </w:rPr>
      </w:pPr>
    </w:p>
    <w:p w14:paraId="219D1BB6" w14:textId="233CD27C" w:rsidR="000A1B0D" w:rsidRDefault="000A1B0D">
      <w:pPr>
        <w:pBdr>
          <w:top w:val="single" w:sz="12" w:space="3" w:color="00000A"/>
        </w:pBdr>
        <w:tabs>
          <w:tab w:val="left" w:pos="426"/>
          <w:tab w:val="left" w:pos="4969"/>
        </w:tabs>
        <w:spacing w:before="120"/>
        <w:jc w:val="both"/>
        <w:rPr>
          <w:rFonts w:eastAsia="MS Mincho"/>
          <w:szCs w:val="36"/>
          <w:lang w:eastAsia="ja-JP"/>
        </w:rPr>
      </w:pPr>
    </w:p>
    <w:p w14:paraId="6F63AFD1" w14:textId="5E5CDDC9" w:rsidR="000A1B0D" w:rsidRDefault="000A1B0D">
      <w:pPr>
        <w:pBdr>
          <w:top w:val="single" w:sz="12" w:space="3" w:color="00000A"/>
        </w:pBdr>
        <w:tabs>
          <w:tab w:val="left" w:pos="426"/>
          <w:tab w:val="left" w:pos="4969"/>
        </w:tabs>
        <w:spacing w:before="120"/>
        <w:jc w:val="both"/>
        <w:rPr>
          <w:rFonts w:eastAsia="MS Mincho"/>
          <w:szCs w:val="36"/>
          <w:lang w:eastAsia="ja-JP"/>
        </w:rPr>
      </w:pPr>
    </w:p>
    <w:p w14:paraId="2BB54169" w14:textId="03075240" w:rsidR="000A1B0D" w:rsidRDefault="000A1B0D">
      <w:pPr>
        <w:pBdr>
          <w:top w:val="single" w:sz="12" w:space="3" w:color="00000A"/>
        </w:pBdr>
        <w:tabs>
          <w:tab w:val="left" w:pos="426"/>
          <w:tab w:val="left" w:pos="4969"/>
        </w:tabs>
        <w:spacing w:before="120"/>
        <w:jc w:val="both"/>
        <w:rPr>
          <w:rFonts w:eastAsia="MS Mincho"/>
          <w:szCs w:val="36"/>
          <w:lang w:eastAsia="ja-JP"/>
        </w:rPr>
      </w:pPr>
      <w:r>
        <w:rPr>
          <w:noProof/>
        </w:rPr>
        <w:drawing>
          <wp:inline distT="0" distB="0" distL="0" distR="0" wp14:anchorId="4AEB0C09" wp14:editId="0166762F">
            <wp:extent cx="6262370" cy="1052830"/>
            <wp:effectExtent l="0" t="0" r="5080" b="0"/>
            <wp:docPr id="3" name="Picture 2"/>
            <wp:cNvGraphicFramePr/>
            <a:graphic xmlns:a="http://schemas.openxmlformats.org/drawingml/2006/main">
              <a:graphicData uri="http://schemas.openxmlformats.org/drawingml/2006/picture">
                <pic:pic xmlns:pic="http://schemas.openxmlformats.org/drawingml/2006/picture">
                  <pic:nvPicPr>
                    <pic:cNvPr id="1" name="Picture 2"/>
                    <pic:cNvPicPr/>
                  </pic:nvPicPr>
                  <pic:blipFill>
                    <a:blip r:embed="rId5"/>
                    <a:stretch>
                      <a:fillRect/>
                    </a:stretch>
                  </pic:blipFill>
                  <pic:spPr bwMode="auto">
                    <a:xfrm>
                      <a:off x="0" y="0"/>
                      <a:ext cx="6262370" cy="1052830"/>
                    </a:xfrm>
                    <a:prstGeom prst="rect">
                      <a:avLst/>
                    </a:prstGeom>
                  </pic:spPr>
                </pic:pic>
              </a:graphicData>
            </a:graphic>
          </wp:inline>
        </w:drawing>
      </w:r>
    </w:p>
    <w:p w14:paraId="438E200A" w14:textId="77777777" w:rsidR="00BE0A48" w:rsidRDefault="00855E10">
      <w:pPr>
        <w:keepNext/>
        <w:keepLines/>
        <w:pBdr>
          <w:top w:val="single" w:sz="12" w:space="3" w:color="00000A"/>
        </w:pBdr>
        <w:tabs>
          <w:tab w:val="left" w:pos="426"/>
          <w:tab w:val="left" w:pos="4969"/>
        </w:tabs>
        <w:ind w:left="426" w:hanging="426"/>
        <w:jc w:val="center"/>
        <w:outlineLvl w:val="0"/>
        <w:rPr>
          <w:rFonts w:eastAsia="MS Mincho"/>
          <w:b/>
          <w:szCs w:val="36"/>
          <w:lang w:eastAsia="ja-JP"/>
        </w:rPr>
      </w:pPr>
      <w:r>
        <w:rPr>
          <w:rFonts w:eastAsia="MS Mincho"/>
          <w:b/>
          <w:szCs w:val="36"/>
          <w:lang w:eastAsia="ja-JP"/>
        </w:rPr>
        <w:t>(a)</w:t>
      </w:r>
    </w:p>
    <w:p w14:paraId="3E6FF7AD" w14:textId="77777777" w:rsidR="00BE0A48" w:rsidRDefault="00855E10">
      <w:pPr>
        <w:pBdr>
          <w:top w:val="single" w:sz="12" w:space="3" w:color="00000A"/>
        </w:pBdr>
        <w:tabs>
          <w:tab w:val="left" w:pos="426"/>
          <w:tab w:val="left" w:pos="4969"/>
        </w:tabs>
        <w:spacing w:before="120"/>
        <w:jc w:val="both"/>
        <w:rPr>
          <w:rFonts w:eastAsia="MS Mincho"/>
          <w:szCs w:val="36"/>
          <w:lang w:eastAsia="ja-JP"/>
        </w:rPr>
      </w:pPr>
      <w:r>
        <w:rPr>
          <w:noProof/>
        </w:rPr>
        <w:drawing>
          <wp:inline distT="0" distB="0" distL="0" distR="3175" wp14:anchorId="526B6405" wp14:editId="7CE8ECC1">
            <wp:extent cx="6264275" cy="1073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6"/>
                    <a:stretch>
                      <a:fillRect/>
                    </a:stretch>
                  </pic:blipFill>
                  <pic:spPr bwMode="auto">
                    <a:xfrm>
                      <a:off x="0" y="0"/>
                      <a:ext cx="6264275" cy="1073150"/>
                    </a:xfrm>
                    <a:prstGeom prst="rect">
                      <a:avLst/>
                    </a:prstGeom>
                  </pic:spPr>
                </pic:pic>
              </a:graphicData>
            </a:graphic>
          </wp:inline>
        </w:drawing>
      </w:r>
    </w:p>
    <w:p w14:paraId="687D6BBB" w14:textId="77777777" w:rsidR="00BE0A48" w:rsidRDefault="00855E10">
      <w:pPr>
        <w:jc w:val="center"/>
        <w:rPr>
          <w:b/>
        </w:rPr>
      </w:pPr>
      <w:r>
        <w:rPr>
          <w:b/>
        </w:rPr>
        <w:t>(b)</w:t>
      </w:r>
    </w:p>
    <w:p w14:paraId="2E9AD481" w14:textId="77777777" w:rsidR="00BE0A48" w:rsidRDefault="00855E10">
      <w:pPr>
        <w:jc w:val="center"/>
      </w:pPr>
      <w:r>
        <w:rPr>
          <w:b/>
        </w:rPr>
        <w:t>Fig.1: Existing SSB designs in NR Rel-15 for FR2</w:t>
      </w:r>
    </w:p>
    <w:p w14:paraId="04D71E1A" w14:textId="77777777" w:rsidR="00BE0A48" w:rsidRDefault="00BE0A48"/>
    <w:p w14:paraId="4BAA78A0" w14:textId="77777777" w:rsidR="00BE0A48" w:rsidRDefault="00BE0A48"/>
    <w:p w14:paraId="65E28045" w14:textId="77777777" w:rsidR="00BE0A48" w:rsidRDefault="00BE0A48"/>
    <w:p w14:paraId="3D5FB15B" w14:textId="77777777" w:rsidR="00BE0A48" w:rsidRDefault="00855E10" w:rsidP="00FD318F">
      <w:pPr>
        <w:jc w:val="both"/>
      </w:pPr>
      <w:r>
        <w:t xml:space="preserve">In RAN1#103-e meeting, it has been agreed that SCS of </w:t>
      </w:r>
      <w:proofErr w:type="gramStart"/>
      <w:r>
        <w:t>120KHz</w:t>
      </w:r>
      <w:proofErr w:type="gramEnd"/>
      <w:r>
        <w:t xml:space="preserve"> along with any one among 240KHz, 480KHz and 960KHz are supported for NR above 52.6GHz. </w:t>
      </w:r>
    </w:p>
    <w:p w14:paraId="1B23C52E" w14:textId="77777777" w:rsidR="00BE0A48" w:rsidRDefault="00BE0A48" w:rsidP="00FD318F">
      <w:pPr>
        <w:jc w:val="both"/>
      </w:pPr>
    </w:p>
    <w:p w14:paraId="0462E4C3" w14:textId="0AEEC7AF" w:rsidR="00512B77" w:rsidRDefault="0021004C" w:rsidP="00C57C6B">
      <w:pPr>
        <w:jc w:val="both"/>
      </w:pPr>
      <w:r>
        <w:t>The SSB of beams occur consecutively in a slot, as shown in Part (a) of Fig1. Generally, beam switching happens during the CP</w:t>
      </w:r>
      <w:r w:rsidR="008C4BFF">
        <w:t xml:space="preserve"> duration</w:t>
      </w:r>
      <w:r>
        <w:t xml:space="preserve">. </w:t>
      </w:r>
      <w:r w:rsidR="00C11067">
        <w:t xml:space="preserve">For </w:t>
      </w:r>
      <w:r w:rsidR="00827E84">
        <w:t>S</w:t>
      </w:r>
      <w:r w:rsidR="00C11067">
        <w:t xml:space="preserve">CS </w:t>
      </w:r>
      <w:r w:rsidR="00827E84">
        <w:t xml:space="preserve">of </w:t>
      </w:r>
      <w:proofErr w:type="gramStart"/>
      <w:r w:rsidR="00827E84">
        <w:t>120KHz</w:t>
      </w:r>
      <w:proofErr w:type="gramEnd"/>
      <w:r w:rsidR="00C11067">
        <w:t>, the CP duration is higher and the RF interruption time for beam switching will be within the CP. Therefore</w:t>
      </w:r>
      <w:r w:rsidR="00847582">
        <w:t xml:space="preserve">, </w:t>
      </w:r>
      <w:r w:rsidR="00C11067">
        <w:t xml:space="preserve">beam switching can occur within the CP duration. </w:t>
      </w:r>
      <w:r w:rsidR="00855E10">
        <w:t>.</w:t>
      </w:r>
      <w:r w:rsidR="00512B77">
        <w:t xml:space="preserve"> Therefore</w:t>
      </w:r>
      <w:r w:rsidR="00AB08D0">
        <w:t>,</w:t>
      </w:r>
      <w:r w:rsidR="00512B77">
        <w:t xml:space="preserve"> existing SSB design can be reused for </w:t>
      </w:r>
      <w:proofErr w:type="gramStart"/>
      <w:r w:rsidR="00512B77">
        <w:t>120KHz</w:t>
      </w:r>
      <w:proofErr w:type="gramEnd"/>
      <w:r w:rsidR="00512B77">
        <w:t>.</w:t>
      </w:r>
    </w:p>
    <w:p w14:paraId="3F9474C8" w14:textId="77777777" w:rsidR="00512B77" w:rsidRDefault="00512B77" w:rsidP="00C57C6B">
      <w:pPr>
        <w:jc w:val="both"/>
      </w:pPr>
    </w:p>
    <w:p w14:paraId="54029464" w14:textId="70B83781" w:rsidR="00CB1F24" w:rsidRDefault="0084403A" w:rsidP="00C57C6B">
      <w:pPr>
        <w:jc w:val="both"/>
      </w:pPr>
      <w:r>
        <w:t xml:space="preserve"> In case of</w:t>
      </w:r>
      <w:r w:rsidR="00855E10">
        <w:t xml:space="preserve"> higher numerologies, the length of the symbol duration will be considerably low which implies reduced CP duration. For 960KHz SCS, the length of CP duration will be 73.2ns.   Considering at least 100ns is required as beam switching gap, the CP duration for 960KHz will not be sufficient </w:t>
      </w:r>
      <w:r w:rsidR="00D41EBC">
        <w:t>to</w:t>
      </w:r>
      <w:r w:rsidR="00855E10">
        <w:t xml:space="preserve"> perform beam switching</w:t>
      </w:r>
      <w:proofErr w:type="gramStart"/>
      <w:r w:rsidR="00855E10">
        <w:t>..</w:t>
      </w:r>
      <w:proofErr w:type="gramEnd"/>
      <w:r w:rsidR="00C57C6B" w:rsidRPr="00C57C6B">
        <w:t xml:space="preserve"> </w:t>
      </w:r>
    </w:p>
    <w:p w14:paraId="604336F1" w14:textId="35554AB5" w:rsidR="00C57C6B" w:rsidRDefault="00C57C6B" w:rsidP="00C57C6B">
      <w:pPr>
        <w:jc w:val="both"/>
      </w:pPr>
      <w:r>
        <w:t>When carrier frequencies in the range of 52.6GHz are used for transmission, the propagation loss will be considerably high because of multiple factors. To mitigate this problem, highly directional beams should be used for transmission in higher carrier frequencies. As the antennas size reduces with increase in carrier frequency, more number of antennas can be packed.</w:t>
      </w:r>
      <w:r w:rsidR="00827E84">
        <w:t xml:space="preserve"> </w:t>
      </w:r>
      <w:r>
        <w:t>Therefore</w:t>
      </w:r>
      <w:r w:rsidR="008643E6">
        <w:t xml:space="preserve">, it is possible to </w:t>
      </w:r>
      <w:r>
        <w:t>form highly directional beams. The beam widths of highly directional beams will be very narrow such that more number of beams will be required to sweep an area when compared with FR1 and FR2. Currently, for FR2 at most 64 SSB beams can be transmitted in a 5ms window. Since beams</w:t>
      </w:r>
      <w:r w:rsidR="008A6237">
        <w:t xml:space="preserve"> </w:t>
      </w:r>
      <w:r>
        <w:t xml:space="preserve">in 52.6GHz frequencies are very narrow compared to those used in FR2 region more than 64 SSB beams may be needed for better beam sweeping. </w:t>
      </w:r>
    </w:p>
    <w:p w14:paraId="44008B71" w14:textId="66363AC9" w:rsidR="00C57C6B" w:rsidRDefault="00C57C6B" w:rsidP="00C57C6B">
      <w:pPr>
        <w:jc w:val="both"/>
      </w:pPr>
      <w:r>
        <w:t xml:space="preserve">Therefore, in order to pack more beams in a given window and also to accommodate beam switching gap, new SSB designs should be studied. </w:t>
      </w:r>
    </w:p>
    <w:p w14:paraId="0E42D15A" w14:textId="77777777" w:rsidR="00BE0A48" w:rsidRDefault="00BE0A48" w:rsidP="00FD318F">
      <w:pPr>
        <w:jc w:val="both"/>
      </w:pPr>
    </w:p>
    <w:p w14:paraId="34662052" w14:textId="497A12A7" w:rsidR="00BE0A48" w:rsidRDefault="00F80450" w:rsidP="00FD318F">
      <w:pPr>
        <w:jc w:val="both"/>
      </w:pPr>
      <w:r>
        <w:rPr>
          <w:b/>
        </w:rPr>
        <w:t>Observation</w:t>
      </w:r>
      <w:r w:rsidR="00855E10">
        <w:rPr>
          <w:b/>
        </w:rPr>
        <w:t xml:space="preserve"> 1: At least for 120KHz SCS, existing SSB design can be reused for NR above 52.6GHz</w:t>
      </w:r>
    </w:p>
    <w:p w14:paraId="4CF2AD39" w14:textId="067FBE9A" w:rsidR="00BE0A48" w:rsidRDefault="00BE0A48">
      <w:pPr>
        <w:jc w:val="both"/>
      </w:pPr>
    </w:p>
    <w:p w14:paraId="73AE2917" w14:textId="6B2A5E24" w:rsidR="00F06EE6" w:rsidRDefault="00F06EE6" w:rsidP="00F06EE6">
      <w:pPr>
        <w:jc w:val="both"/>
      </w:pPr>
      <w:r>
        <w:rPr>
          <w:b/>
        </w:rPr>
        <w:t xml:space="preserve">Proposal </w:t>
      </w:r>
      <w:r w:rsidR="00C2244B">
        <w:rPr>
          <w:b/>
        </w:rPr>
        <w:t>1</w:t>
      </w:r>
      <w:r>
        <w:rPr>
          <w:b/>
        </w:rPr>
        <w:t xml:space="preserve">: Support for a new SSB </w:t>
      </w:r>
      <w:proofErr w:type="gramStart"/>
      <w:r>
        <w:rPr>
          <w:b/>
        </w:rPr>
        <w:t>design  to</w:t>
      </w:r>
      <w:proofErr w:type="gramEnd"/>
      <w:r>
        <w:rPr>
          <w:b/>
        </w:rPr>
        <w:t xml:space="preserve"> accommodate more number of SSB beams in the 5ms window and also to accommodate beam switching gap. </w:t>
      </w:r>
    </w:p>
    <w:p w14:paraId="6DBFD729" w14:textId="77777777" w:rsidR="00F06EE6" w:rsidRDefault="00F06EE6" w:rsidP="00FD318F">
      <w:pPr>
        <w:jc w:val="both"/>
      </w:pPr>
    </w:p>
    <w:p w14:paraId="14EC4FD5" w14:textId="18AB2AD7" w:rsidR="00BE0A48" w:rsidRDefault="00855E10" w:rsidP="00FD318F">
      <w:pPr>
        <w:jc w:val="both"/>
      </w:pPr>
      <w:r>
        <w:t xml:space="preserve">One of the major problems with using frequencies above 52.6GHz is higher phase noise. It is estimated that phase noise increase by 3dB </w:t>
      </w:r>
      <w:r w:rsidR="001945E7">
        <w:t xml:space="preserve">when </w:t>
      </w:r>
      <w:proofErr w:type="gramStart"/>
      <w:r w:rsidR="001945E7">
        <w:t xml:space="preserve">the </w:t>
      </w:r>
      <w:r>
        <w:t xml:space="preserve"> carrier</w:t>
      </w:r>
      <w:proofErr w:type="gramEnd"/>
      <w:r>
        <w:t xml:space="preserve"> frequency</w:t>
      </w:r>
      <w:r w:rsidR="001945E7">
        <w:t xml:space="preserve"> </w:t>
      </w:r>
      <w:r w:rsidR="00C50594">
        <w:t>increase by two times</w:t>
      </w:r>
      <w:r>
        <w:t xml:space="preserve">. Lower subcarrier </w:t>
      </w:r>
      <w:proofErr w:type="spellStart"/>
      <w:r>
        <w:t>spacings</w:t>
      </w:r>
      <w:proofErr w:type="spellEnd"/>
      <w:r>
        <w:t xml:space="preserve"> are more prone to</w:t>
      </w:r>
      <w:r w:rsidR="004E6B4F">
        <w:t xml:space="preserve"> effects of</w:t>
      </w:r>
      <w:r>
        <w:t xml:space="preserve"> phase noise than higher subcarrier </w:t>
      </w:r>
      <w:proofErr w:type="spellStart"/>
      <w:r>
        <w:t>spacings</w:t>
      </w:r>
      <w:proofErr w:type="spellEnd"/>
      <w:r>
        <w:t xml:space="preserve">. Among the possible SCS values considered for NR above 52.6GHz, i.e., </w:t>
      </w:r>
      <w:proofErr w:type="gramStart"/>
      <w:r>
        <w:t>120KHz</w:t>
      </w:r>
      <w:proofErr w:type="gramEnd"/>
      <w:r>
        <w:t xml:space="preserve">, 240KHz, 480KHz and 960KHz, </w:t>
      </w:r>
      <w:r w:rsidR="00F01858">
        <w:t xml:space="preserve">impact of </w:t>
      </w:r>
      <w:r>
        <w:t>phase noise will be considerably higher when 120KHz is used for transmission. This might impact the performance of SSB in terms of coverage and SSB detection. Hence, solution</w:t>
      </w:r>
      <w:r w:rsidR="002A20C3">
        <w:t>s</w:t>
      </w:r>
      <w:r>
        <w:t xml:space="preserve"> need to be defined to mitigate the impact of phase noise in SSB for 120KHz SCS.</w:t>
      </w:r>
    </w:p>
    <w:p w14:paraId="48BF55FA" w14:textId="77777777" w:rsidR="00BE0A48" w:rsidRDefault="00BE0A48" w:rsidP="00FD318F">
      <w:pPr>
        <w:jc w:val="both"/>
      </w:pPr>
    </w:p>
    <w:p w14:paraId="6F52291D" w14:textId="3594D6BD" w:rsidR="00BE0A48" w:rsidRDefault="00576B9B" w:rsidP="00FD318F">
      <w:pPr>
        <w:jc w:val="both"/>
        <w:rPr>
          <w:b/>
        </w:rPr>
      </w:pPr>
      <w:r>
        <w:rPr>
          <w:b/>
        </w:rPr>
        <w:t>Observation</w:t>
      </w:r>
      <w:r w:rsidR="00855E10">
        <w:rPr>
          <w:b/>
        </w:rPr>
        <w:t xml:space="preserve"> 2: For SSB with 120KHz SCS</w:t>
      </w:r>
      <w:proofErr w:type="gramStart"/>
      <w:r w:rsidR="00855E10">
        <w:rPr>
          <w:b/>
        </w:rPr>
        <w:t>,  solution</w:t>
      </w:r>
      <w:r w:rsidR="0026318B">
        <w:rPr>
          <w:b/>
        </w:rPr>
        <w:t>s</w:t>
      </w:r>
      <w:proofErr w:type="gramEnd"/>
      <w:r w:rsidR="00855E10">
        <w:rPr>
          <w:b/>
        </w:rPr>
        <w:t xml:space="preserve"> for mitigating effect of phase noise</w:t>
      </w:r>
      <w:r w:rsidR="0026318B">
        <w:rPr>
          <w:b/>
        </w:rPr>
        <w:t xml:space="preserve"> need to be defined</w:t>
      </w:r>
      <w:r w:rsidR="00855E10">
        <w:rPr>
          <w:b/>
        </w:rPr>
        <w:t>.</w:t>
      </w:r>
    </w:p>
    <w:p w14:paraId="3E0040CF" w14:textId="77777777" w:rsidR="00BE0A48" w:rsidRDefault="00BE0A48" w:rsidP="00FD318F">
      <w:pPr>
        <w:jc w:val="both"/>
        <w:rPr>
          <w:b/>
        </w:rPr>
      </w:pPr>
    </w:p>
    <w:p w14:paraId="7CC2A024" w14:textId="58517ED7" w:rsidR="00BE0A48" w:rsidRDefault="00855E10" w:rsidP="00FD318F">
      <w:pPr>
        <w:jc w:val="both"/>
      </w:pPr>
      <w:r>
        <w:t xml:space="preserve">An alternative solution to mitigate the effect of phase noise during initial access is to use higher subcarrier spacing for transmitting SSB. As higher subcarrier </w:t>
      </w:r>
      <w:proofErr w:type="spellStart"/>
      <w:r>
        <w:t>spacings</w:t>
      </w:r>
      <w:proofErr w:type="spellEnd"/>
      <w:r>
        <w:t xml:space="preserve"> are lesser prone to </w:t>
      </w:r>
      <w:r w:rsidR="008458C7">
        <w:t xml:space="preserve">effects of </w:t>
      </w:r>
      <w:r>
        <w:t xml:space="preserve">phase noise than lower subcarrier spacing, the </w:t>
      </w:r>
      <w:r w:rsidR="0056175B">
        <w:t xml:space="preserve">detection </w:t>
      </w:r>
      <w:r>
        <w:t>of SSB will be</w:t>
      </w:r>
      <w:r w:rsidR="0056175B">
        <w:t xml:space="preserve"> </w:t>
      </w:r>
      <w:proofErr w:type="gramStart"/>
      <w:r w:rsidR="0056175B">
        <w:t>improved</w:t>
      </w:r>
      <w:r>
        <w:t xml:space="preserve">  by</w:t>
      </w:r>
      <w:proofErr w:type="gramEnd"/>
      <w:r>
        <w:t xml:space="preserve"> using higher subcarrier </w:t>
      </w:r>
      <w:proofErr w:type="spellStart"/>
      <w:r>
        <w:t>spacings</w:t>
      </w:r>
      <w:proofErr w:type="spellEnd"/>
      <w:r>
        <w:t>. A higher SCS for SSB can be used in addition to the existing 120KHz SCS</w:t>
      </w:r>
      <w:r w:rsidR="001E7896">
        <w:t>.</w:t>
      </w:r>
      <w:r>
        <w:t xml:space="preserve"> Among the agreed SCS values, </w:t>
      </w:r>
      <w:r w:rsidR="001E7896">
        <w:t xml:space="preserve">it is easier to handle effects of phase noise with </w:t>
      </w:r>
      <w:proofErr w:type="gramStart"/>
      <w:r>
        <w:t>480KHz</w:t>
      </w:r>
      <w:proofErr w:type="gramEnd"/>
      <w:r>
        <w:t xml:space="preserve"> and 960KHz</w:t>
      </w:r>
      <w:r w:rsidR="00524F75">
        <w:t>.</w:t>
      </w:r>
      <w:r>
        <w:t xml:space="preserve">  Hence, 480KHz or 960KHz SCS should be supported for SSB transmission in NR above 526.GHz.</w:t>
      </w:r>
    </w:p>
    <w:p w14:paraId="51867D0A" w14:textId="77777777" w:rsidR="00BE0A48" w:rsidRDefault="00BE0A48" w:rsidP="00FD318F">
      <w:pPr>
        <w:jc w:val="both"/>
      </w:pPr>
    </w:p>
    <w:p w14:paraId="2F77BB21" w14:textId="497BF1CB" w:rsidR="00BE0A48" w:rsidRDefault="00855E10">
      <w:pPr>
        <w:rPr>
          <w:b/>
        </w:rPr>
      </w:pPr>
      <w:r>
        <w:rPr>
          <w:b/>
        </w:rPr>
        <w:lastRenderedPageBreak/>
        <w:t xml:space="preserve">Proposal </w:t>
      </w:r>
      <w:r w:rsidR="00E4476C">
        <w:rPr>
          <w:b/>
        </w:rPr>
        <w:t>2</w:t>
      </w:r>
      <w:r>
        <w:rPr>
          <w:b/>
        </w:rPr>
        <w:t xml:space="preserve">: </w:t>
      </w:r>
      <w:proofErr w:type="gramStart"/>
      <w:r>
        <w:rPr>
          <w:b/>
        </w:rPr>
        <w:t>120KHz</w:t>
      </w:r>
      <w:proofErr w:type="gramEnd"/>
      <w:r>
        <w:rPr>
          <w:b/>
        </w:rPr>
        <w:t xml:space="preserve"> and one among 480KHz and 960KHz should be supported for SSB transmission in NR above 52.6GHz </w:t>
      </w:r>
    </w:p>
    <w:p w14:paraId="1F52BA4E" w14:textId="77777777" w:rsidR="00BE0A48" w:rsidRDefault="00BE0A48"/>
    <w:p w14:paraId="05F6DC19" w14:textId="77777777" w:rsidR="00BE0A48" w:rsidRDefault="00BE0A48"/>
    <w:p w14:paraId="7372C6EC" w14:textId="77777777" w:rsidR="00BE0A48" w:rsidRDefault="00BE0A48">
      <w:pPr>
        <w:jc w:val="both"/>
        <w:rPr>
          <w:iCs/>
        </w:rPr>
      </w:pPr>
    </w:p>
    <w:p w14:paraId="154645F2" w14:textId="77777777" w:rsidR="00BE0A48" w:rsidRDefault="00855E10">
      <w:pPr>
        <w:keepNext/>
        <w:keepLines/>
        <w:pBdr>
          <w:top w:val="single" w:sz="12" w:space="3" w:color="00000A"/>
        </w:pBdr>
        <w:tabs>
          <w:tab w:val="left" w:pos="426"/>
          <w:tab w:val="left"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 Conclusion</w:t>
      </w:r>
    </w:p>
    <w:p w14:paraId="43F61248" w14:textId="77777777" w:rsidR="00BE0A48" w:rsidRDefault="00BE0A48">
      <w:pPr>
        <w:keepNext/>
        <w:keepLines/>
        <w:pBdr>
          <w:top w:val="single" w:sz="12" w:space="3" w:color="00000A"/>
        </w:pBdr>
        <w:tabs>
          <w:tab w:val="left" w:pos="426"/>
          <w:tab w:val="left" w:pos="4969"/>
        </w:tabs>
        <w:ind w:left="426" w:hanging="426"/>
        <w:jc w:val="both"/>
        <w:outlineLvl w:val="0"/>
        <w:rPr>
          <w:rFonts w:ascii="Arial" w:eastAsia="MS Mincho" w:hAnsi="Arial"/>
          <w:sz w:val="36"/>
          <w:szCs w:val="36"/>
          <w:lang w:eastAsia="ja-JP"/>
        </w:rPr>
      </w:pPr>
    </w:p>
    <w:p w14:paraId="522824EE" w14:textId="77777777" w:rsidR="00BE0A48" w:rsidRDefault="00855E10">
      <w:r>
        <w:t>This contribution discussed the possible changes required in SSB design for NR above 52.6GHz.</w:t>
      </w:r>
    </w:p>
    <w:p w14:paraId="3452FD4C" w14:textId="6ECC2EEA" w:rsidR="00934C95" w:rsidRPr="00DD137F" w:rsidRDefault="00934C95" w:rsidP="00934C95">
      <w:pPr>
        <w:jc w:val="both"/>
      </w:pPr>
      <w:r w:rsidRPr="00DD137F">
        <w:t>Further, we summarize the observation</w:t>
      </w:r>
      <w:r>
        <w:t>s</w:t>
      </w:r>
      <w:r w:rsidRPr="00DD137F">
        <w:t xml:space="preserve"> and proposals as follows:</w:t>
      </w:r>
    </w:p>
    <w:p w14:paraId="03B70DBD" w14:textId="77777777" w:rsidR="00934C95" w:rsidRDefault="00934C95"/>
    <w:p w14:paraId="4E2FEAA6" w14:textId="77777777" w:rsidR="00934C95" w:rsidRDefault="00934C95" w:rsidP="00934C95">
      <w:pPr>
        <w:jc w:val="both"/>
      </w:pPr>
      <w:r>
        <w:rPr>
          <w:b/>
        </w:rPr>
        <w:t>Observation 1: At least for 120KHz SCS, existing SSB design can be reused for NR above 52.6GHz</w:t>
      </w:r>
    </w:p>
    <w:p w14:paraId="691D90F4" w14:textId="77777777" w:rsidR="00BE0A48" w:rsidRDefault="00BE0A48"/>
    <w:p w14:paraId="5B54E480" w14:textId="77777777" w:rsidR="00934C95" w:rsidRDefault="00934C95" w:rsidP="00934C95">
      <w:pPr>
        <w:jc w:val="both"/>
        <w:rPr>
          <w:b/>
        </w:rPr>
      </w:pPr>
      <w:r>
        <w:rPr>
          <w:b/>
        </w:rPr>
        <w:t>Observation 2: For SSB with 120KHz SCS</w:t>
      </w:r>
      <w:proofErr w:type="gramStart"/>
      <w:r>
        <w:rPr>
          <w:b/>
        </w:rPr>
        <w:t>,  solutions</w:t>
      </w:r>
      <w:proofErr w:type="gramEnd"/>
      <w:r>
        <w:rPr>
          <w:b/>
        </w:rPr>
        <w:t xml:space="preserve"> for mitigating effect of phase noise need to be defined.</w:t>
      </w:r>
    </w:p>
    <w:p w14:paraId="1F49B3D4" w14:textId="77777777" w:rsidR="00934C95" w:rsidRDefault="00934C95"/>
    <w:p w14:paraId="70058ABB" w14:textId="1CA950CB" w:rsidR="00934C95" w:rsidRDefault="00934C95" w:rsidP="45AA0059">
      <w:pPr>
        <w:rPr>
          <w:b/>
          <w:bCs/>
        </w:rPr>
      </w:pPr>
      <w:r>
        <w:rPr>
          <w:b/>
        </w:rPr>
        <w:t xml:space="preserve">Proposal 1: Support for </w:t>
      </w:r>
      <w:proofErr w:type="gramStart"/>
      <w:r>
        <w:rPr>
          <w:b/>
        </w:rPr>
        <w:t>a  new</w:t>
      </w:r>
      <w:proofErr w:type="gramEnd"/>
      <w:r>
        <w:rPr>
          <w:b/>
        </w:rPr>
        <w:t xml:space="preserve"> SSB design  to accommodate more number of SSB beams in the 5ms window and also to accommodate beam switching gap.</w:t>
      </w:r>
    </w:p>
    <w:p w14:paraId="40E2B141" w14:textId="76FD6F6E" w:rsidR="45AA0059" w:rsidRDefault="45AA0059" w:rsidP="45AA0059">
      <w:pPr>
        <w:rPr>
          <w:b/>
          <w:bCs/>
        </w:rPr>
      </w:pPr>
    </w:p>
    <w:p w14:paraId="11B3D17B" w14:textId="77777777" w:rsidR="00934C95" w:rsidRDefault="00934C95" w:rsidP="00934C95">
      <w:pPr>
        <w:rPr>
          <w:b/>
        </w:rPr>
      </w:pPr>
      <w:r>
        <w:rPr>
          <w:b/>
        </w:rPr>
        <w:t xml:space="preserve">Proposal 2: </w:t>
      </w:r>
      <w:proofErr w:type="gramStart"/>
      <w:r>
        <w:rPr>
          <w:b/>
        </w:rPr>
        <w:t>120KHz</w:t>
      </w:r>
      <w:proofErr w:type="gramEnd"/>
      <w:r>
        <w:rPr>
          <w:b/>
        </w:rPr>
        <w:t xml:space="preserve"> and one among 480KHz and 960KHz should be supported for SSB transmission in NR above 52.6GHz </w:t>
      </w:r>
    </w:p>
    <w:p w14:paraId="2300710C" w14:textId="77777777" w:rsidR="00BE0A48" w:rsidRDefault="00BE0A48"/>
    <w:p w14:paraId="745D8CA9" w14:textId="77777777" w:rsidR="00BE0A48" w:rsidRDefault="00BE0A48"/>
    <w:p w14:paraId="43EA23AF" w14:textId="6CBE7005" w:rsidR="00BE0A48" w:rsidRDefault="00BE0A48"/>
    <w:p w14:paraId="0867C6D2" w14:textId="77777777" w:rsidR="00BE0A48" w:rsidRDefault="00BE0A48"/>
    <w:p w14:paraId="10431C64" w14:textId="77777777" w:rsidR="00BE0A48" w:rsidRDefault="00BE0A48"/>
    <w:p w14:paraId="79A4E158" w14:textId="77777777" w:rsidR="00BE0A48" w:rsidRDefault="00BE0A48"/>
    <w:p w14:paraId="4565F5F0" w14:textId="77777777" w:rsidR="00BE0A48" w:rsidRDefault="00855E10">
      <w:pPr>
        <w:rPr>
          <w:b/>
          <w:sz w:val="28"/>
        </w:rPr>
      </w:pPr>
      <w:r>
        <w:rPr>
          <w:b/>
          <w:sz w:val="28"/>
        </w:rPr>
        <w:t>Reference</w:t>
      </w:r>
    </w:p>
    <w:p w14:paraId="7398D386" w14:textId="77777777" w:rsidR="00BE0A48" w:rsidRDefault="00BE0A48">
      <w:pPr>
        <w:rPr>
          <w:b/>
          <w:sz w:val="28"/>
        </w:rPr>
      </w:pPr>
    </w:p>
    <w:p w14:paraId="48F7A5A1" w14:textId="77777777" w:rsidR="00BE0A48" w:rsidRDefault="00855E10">
      <w:r>
        <w:t>[1] RP-202925, “</w:t>
      </w:r>
      <w:r>
        <w:rPr>
          <w:i/>
        </w:rPr>
        <w:t>Revised WID: Extending current NR operation to 71GHz</w:t>
      </w:r>
      <w:r>
        <w:t>”, CMCC</w:t>
      </w:r>
    </w:p>
    <w:p w14:paraId="5F99E555" w14:textId="77777777" w:rsidR="00BE0A48" w:rsidRDefault="00855E10">
      <w:r>
        <w:t>[2] 3GPP RAN1#103-e, “</w:t>
      </w:r>
      <w:r>
        <w:rPr>
          <w:i/>
        </w:rPr>
        <w:t>Chairman Notes</w:t>
      </w:r>
      <w:r>
        <w:t>”</w:t>
      </w:r>
    </w:p>
    <w:sectPr w:rsidR="00BE0A48">
      <w:pgSz w:w="11906" w:h="16838"/>
      <w:pgMar w:top="1022" w:right="1022" w:bottom="1022" w:left="1022"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5E64CB"/>
    <w:multiLevelType w:val="multilevel"/>
    <w:tmpl w:val="25F2162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1D4B0BFB"/>
    <w:multiLevelType w:val="multilevel"/>
    <w:tmpl w:val="8B8E66C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2D6F47F8"/>
    <w:multiLevelType w:val="multilevel"/>
    <w:tmpl w:val="59462C8A"/>
    <w:lvl w:ilvl="0">
      <w:start w:val="7"/>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5097546"/>
    <w:multiLevelType w:val="hybridMultilevel"/>
    <w:tmpl w:val="38E4F83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A48"/>
    <w:rsid w:val="00047726"/>
    <w:rsid w:val="00060437"/>
    <w:rsid w:val="000A1B0D"/>
    <w:rsid w:val="000C670E"/>
    <w:rsid w:val="00121E21"/>
    <w:rsid w:val="001431AA"/>
    <w:rsid w:val="00166B03"/>
    <w:rsid w:val="001945E7"/>
    <w:rsid w:val="001E7896"/>
    <w:rsid w:val="001F3942"/>
    <w:rsid w:val="0021004C"/>
    <w:rsid w:val="002335C9"/>
    <w:rsid w:val="0026318B"/>
    <w:rsid w:val="002A20C3"/>
    <w:rsid w:val="002E42B1"/>
    <w:rsid w:val="0042378F"/>
    <w:rsid w:val="00467D6D"/>
    <w:rsid w:val="004904DC"/>
    <w:rsid w:val="004A3911"/>
    <w:rsid w:val="004B0876"/>
    <w:rsid w:val="004E6B4F"/>
    <w:rsid w:val="00512B77"/>
    <w:rsid w:val="00524F75"/>
    <w:rsid w:val="005567D6"/>
    <w:rsid w:val="0056175B"/>
    <w:rsid w:val="00576B9B"/>
    <w:rsid w:val="00616700"/>
    <w:rsid w:val="00641A6F"/>
    <w:rsid w:val="00705676"/>
    <w:rsid w:val="007571F3"/>
    <w:rsid w:val="0076272E"/>
    <w:rsid w:val="00764FBE"/>
    <w:rsid w:val="00827E84"/>
    <w:rsid w:val="0084254E"/>
    <w:rsid w:val="0084381B"/>
    <w:rsid w:val="0084403A"/>
    <w:rsid w:val="008458C7"/>
    <w:rsid w:val="00846EF0"/>
    <w:rsid w:val="00847582"/>
    <w:rsid w:val="00855E10"/>
    <w:rsid w:val="008643E6"/>
    <w:rsid w:val="008A6237"/>
    <w:rsid w:val="008C4582"/>
    <w:rsid w:val="008C4BFF"/>
    <w:rsid w:val="00934C95"/>
    <w:rsid w:val="0095390F"/>
    <w:rsid w:val="00A44697"/>
    <w:rsid w:val="00A46F89"/>
    <w:rsid w:val="00A9376A"/>
    <w:rsid w:val="00AB08D0"/>
    <w:rsid w:val="00B27ADA"/>
    <w:rsid w:val="00B842C8"/>
    <w:rsid w:val="00BE0A48"/>
    <w:rsid w:val="00BE437C"/>
    <w:rsid w:val="00BF1CF4"/>
    <w:rsid w:val="00C11067"/>
    <w:rsid w:val="00C2244B"/>
    <w:rsid w:val="00C50594"/>
    <w:rsid w:val="00C57C6B"/>
    <w:rsid w:val="00C8348F"/>
    <w:rsid w:val="00C91E5B"/>
    <w:rsid w:val="00CB1F24"/>
    <w:rsid w:val="00CD530C"/>
    <w:rsid w:val="00D41EBC"/>
    <w:rsid w:val="00E4476C"/>
    <w:rsid w:val="00E87DF1"/>
    <w:rsid w:val="00E944A4"/>
    <w:rsid w:val="00EC137E"/>
    <w:rsid w:val="00ED32C1"/>
    <w:rsid w:val="00F01858"/>
    <w:rsid w:val="00F03781"/>
    <w:rsid w:val="00F06EE6"/>
    <w:rsid w:val="00F31F3F"/>
    <w:rsid w:val="00F453E1"/>
    <w:rsid w:val="00F80450"/>
    <w:rsid w:val="00FD318F"/>
    <w:rsid w:val="45AA005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7373E"/>
  <w15:docId w15:val="{A47BFAD9-33EC-466F-B124-1EDC06B97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A21"/>
    <w:rPr>
      <w:rFonts w:ascii="Times New Roman" w:eastAsia="Yu Mincho"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091A21"/>
    <w:rPr>
      <w:rFonts w:ascii="Times New Roman" w:eastAsia="MS Mincho" w:hAnsi="Times New Roman" w:cs="Times New Roman"/>
      <w:sz w:val="20"/>
      <w:szCs w:val="20"/>
    </w:rPr>
  </w:style>
  <w:style w:type="character" w:customStyle="1" w:styleId="ListLabel1">
    <w:name w:val="ListLabel 1"/>
    <w:qFormat/>
    <w:rPr>
      <w:rFonts w:eastAsia="Yu Mincho"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styleId="ListParagraph">
    <w:name w:val="List Paragraph"/>
    <w:basedOn w:val="Normal"/>
    <w:link w:val="ListParagraphChar"/>
    <w:uiPriority w:val="34"/>
    <w:qFormat/>
    <w:rsid w:val="00091A21"/>
    <w:pPr>
      <w:spacing w:after="180"/>
      <w:ind w:left="840"/>
    </w:pPr>
    <w:rPr>
      <w:rFonts w:eastAsia="MS Mincho"/>
    </w:rPr>
  </w:style>
  <w:style w:type="table" w:styleId="TableGrid">
    <w:name w:val="Table Grid"/>
    <w:basedOn w:val="TableNormal"/>
    <w:uiPriority w:val="39"/>
    <w:qFormat/>
    <w:rsid w:val="00091A21"/>
    <w:rPr>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46E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EF0"/>
    <w:rPr>
      <w:rFonts w:ascii="Segoe UI" w:eastAsia="Yu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1068</Words>
  <Characters>6091</Characters>
  <Application>Microsoft Office Word</Application>
  <DocSecurity>0</DocSecurity>
  <Lines>50</Lines>
  <Paragraphs>14</Paragraphs>
  <ScaleCrop>false</ScaleCrop>
  <Company/>
  <LinksUpToDate>false</LinksUpToDate>
  <CharactersWithSpaces>7145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pardhasarathy.j</dc:creator>
  <dc:description/>
  <cp:lastModifiedBy>pardhasarathy.j</cp:lastModifiedBy>
  <cp:revision>9</cp:revision>
  <dcterms:created xsi:type="dcterms:W3CDTF">2021-01-15T07:22:00Z</dcterms:created>
  <dcterms:modified xsi:type="dcterms:W3CDTF">2021-01-17T07:20:00Z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