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6E1A6" w14:textId="44591CC7" w:rsidR="00095B6A" w:rsidRPr="00DA12F7" w:rsidRDefault="00095B6A" w:rsidP="00095B6A">
      <w:pPr>
        <w:tabs>
          <w:tab w:val="right" w:pos="9630"/>
        </w:tabs>
        <w:spacing w:after="0"/>
      </w:pPr>
      <w:r w:rsidRPr="00DA12F7">
        <w:rPr>
          <w:rFonts w:ascii="Arial" w:hAnsi="Arial" w:cs="Arial"/>
          <w:b/>
          <w:sz w:val="24"/>
        </w:rPr>
        <w:t xml:space="preserve">3GPP TSG RAN WG1 </w:t>
      </w:r>
      <w:r>
        <w:rPr>
          <w:rFonts w:ascii="Arial" w:hAnsi="Arial" w:cs="Arial"/>
          <w:b/>
          <w:sz w:val="24"/>
        </w:rPr>
        <w:t>Meeting #104-e</w:t>
      </w:r>
      <w:r w:rsidRPr="00DA12F7">
        <w:rPr>
          <w:rFonts w:ascii="Arial" w:hAnsi="Arial" w:cs="Arial"/>
          <w:b/>
          <w:sz w:val="24"/>
        </w:rPr>
        <w:tab/>
      </w:r>
      <w:r w:rsidRPr="0013017B">
        <w:rPr>
          <w:rFonts w:ascii="Arial" w:hAnsi="Arial" w:cs="Arial"/>
          <w:b/>
          <w:sz w:val="24"/>
        </w:rPr>
        <w:t>R1-</w:t>
      </w:r>
      <w:r w:rsidRPr="0013017B">
        <w:t xml:space="preserve"> </w:t>
      </w:r>
      <w:bookmarkStart w:id="0" w:name="_Hlk47549402"/>
      <w:r w:rsidRPr="0013017B">
        <w:rPr>
          <w:rFonts w:ascii="Arial" w:hAnsi="Arial" w:cs="Arial"/>
          <w:b/>
          <w:sz w:val="24"/>
        </w:rPr>
        <w:t>2</w:t>
      </w:r>
      <w:bookmarkEnd w:id="0"/>
      <w:r w:rsidRPr="0013017B">
        <w:rPr>
          <w:rFonts w:ascii="Arial" w:hAnsi="Arial" w:cs="Arial"/>
          <w:b/>
          <w:sz w:val="24"/>
        </w:rPr>
        <w:t>1</w:t>
      </w:r>
      <w:r w:rsidR="0013017B" w:rsidRPr="0013017B">
        <w:rPr>
          <w:rFonts w:ascii="Arial" w:hAnsi="Arial" w:cs="Arial"/>
          <w:b/>
          <w:sz w:val="24"/>
        </w:rPr>
        <w:t>00990</w:t>
      </w:r>
    </w:p>
    <w:p w14:paraId="1131045E" w14:textId="2BDBAA06" w:rsidR="00E307C5" w:rsidRPr="00DA12F7" w:rsidRDefault="00095B6A" w:rsidP="00095B6A">
      <w:pPr>
        <w:tabs>
          <w:tab w:val="right" w:pos="9630"/>
        </w:tabs>
        <w:spacing w:after="0"/>
        <w:rPr>
          <w:rFonts w:ascii="Arial" w:hAnsi="Arial" w:cs="Arial"/>
          <w:b/>
          <w:sz w:val="24"/>
          <w:szCs w:val="24"/>
        </w:rPr>
      </w:pPr>
      <w:r>
        <w:rPr>
          <w:rFonts w:ascii="Arial" w:hAnsi="Arial" w:cs="Arial"/>
          <w:b/>
          <w:sz w:val="24"/>
          <w:szCs w:val="24"/>
        </w:rPr>
        <w:t>e-Meeting, January 25</w:t>
      </w:r>
      <w:r w:rsidRPr="00116328">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 February 5</w:t>
      </w:r>
      <w:r>
        <w:rPr>
          <w:rFonts w:ascii="Arial" w:hAnsi="Arial" w:cs="Arial"/>
          <w:b/>
          <w:sz w:val="24"/>
          <w:szCs w:val="24"/>
          <w:vertAlign w:val="superscript"/>
        </w:rPr>
        <w:t>th</w:t>
      </w:r>
      <w:r>
        <w:rPr>
          <w:rFonts w:ascii="Arial" w:hAnsi="Arial" w:cs="Arial"/>
          <w:b/>
          <w:sz w:val="24"/>
          <w:szCs w:val="24"/>
        </w:rPr>
        <w:t xml:space="preserve"> 2021</w:t>
      </w:r>
    </w:p>
    <w:p w14:paraId="20814AD0"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1B1FDE0A" w14:textId="7777777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6E610E">
        <w:rPr>
          <w:rFonts w:ascii="Arial" w:hAnsi="Arial"/>
          <w:sz w:val="24"/>
        </w:rPr>
        <w:t>8.10.</w:t>
      </w:r>
      <w:r w:rsidR="0050242A">
        <w:rPr>
          <w:rFonts w:ascii="Arial" w:hAnsi="Arial"/>
          <w:sz w:val="24"/>
        </w:rPr>
        <w:t>1</w:t>
      </w:r>
    </w:p>
    <w:p w14:paraId="3095DC42" w14:textId="43EBC68A" w:rsidR="0068226B" w:rsidRPr="006E610E" w:rsidRDefault="0068226B" w:rsidP="00382B96">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006E610E" w:rsidRPr="00B92189">
        <w:rPr>
          <w:rFonts w:ascii="Arial" w:hAnsi="Arial"/>
          <w:sz w:val="24"/>
          <w:szCs w:val="24"/>
        </w:rPr>
        <w:t>Lenovo</w:t>
      </w:r>
      <w:r w:rsidR="00DE67B4" w:rsidRPr="00B92189">
        <w:rPr>
          <w:rFonts w:ascii="Arial" w:hAnsi="Arial"/>
          <w:sz w:val="24"/>
          <w:szCs w:val="24"/>
        </w:rPr>
        <w:t>, Motorola Mobility</w:t>
      </w:r>
    </w:p>
    <w:p w14:paraId="002F936B" w14:textId="26A0500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rPr>
        <w:tab/>
      </w:r>
      <w:r w:rsidR="005412C8">
        <w:rPr>
          <w:rFonts w:ascii="Arial" w:hAnsi="Arial"/>
          <w:sz w:val="24"/>
          <w:szCs w:val="24"/>
        </w:rPr>
        <w:t>Resource multiplexing in enhanced IAB systems</w:t>
      </w:r>
    </w:p>
    <w:p w14:paraId="3C370F44"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456F4C29" w14:textId="2F30B7CF" w:rsidR="008A23DF" w:rsidRDefault="008A23DF" w:rsidP="008A23DF">
      <w:pPr>
        <w:rPr>
          <w:lang w:val="en-GB"/>
        </w:rPr>
      </w:pPr>
      <w:r>
        <w:rPr>
          <w:lang w:val="en-GB"/>
        </w:rPr>
        <w:t xml:space="preserve">The following cases of simultaneous operations were identified in RAN1#102-e </w:t>
      </w:r>
      <w:r>
        <w:rPr>
          <w:lang w:val="en-GB"/>
        </w:rPr>
        <w:fldChar w:fldCharType="begin"/>
      </w:r>
      <w:r>
        <w:rPr>
          <w:lang w:val="en-GB"/>
        </w:rPr>
        <w:instrText xml:space="preserve"> REF _Ref54186872 \r \h </w:instrText>
      </w:r>
      <w:r>
        <w:rPr>
          <w:lang w:val="en-GB"/>
        </w:rPr>
      </w:r>
      <w:r>
        <w:rPr>
          <w:lang w:val="en-GB"/>
        </w:rPr>
        <w:fldChar w:fldCharType="separate"/>
      </w:r>
      <w:r w:rsidR="000032EA">
        <w:rPr>
          <w:cs/>
          <w:lang w:val="en-GB"/>
        </w:rPr>
        <w:t>‎</w:t>
      </w:r>
      <w:r w:rsidR="000032EA">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9855"/>
      </w:tblGrid>
      <w:tr w:rsidR="008A23DF" w14:paraId="696EA5B6" w14:textId="77777777" w:rsidTr="00D02502">
        <w:tc>
          <w:tcPr>
            <w:tcW w:w="9855" w:type="dxa"/>
          </w:tcPr>
          <w:p w14:paraId="59C9AC44" w14:textId="77777777" w:rsidR="008A23DF" w:rsidRDefault="008A23DF" w:rsidP="00D02502">
            <w:pPr>
              <w:rPr>
                <w:rFonts w:eastAsia="Calibri" w:cs="Times"/>
                <w:b/>
                <w:bCs/>
                <w:szCs w:val="20"/>
                <w:highlight w:val="green"/>
              </w:rPr>
            </w:pPr>
            <w:r>
              <w:rPr>
                <w:rFonts w:eastAsia="Calibri" w:cs="Times"/>
                <w:b/>
                <w:bCs/>
                <w:szCs w:val="20"/>
                <w:highlight w:val="green"/>
              </w:rPr>
              <w:t>Agreement</w:t>
            </w:r>
          </w:p>
          <w:p w14:paraId="28E291B5" w14:textId="77777777" w:rsidR="008A23DF" w:rsidRDefault="008A23DF" w:rsidP="00D02502">
            <w:pPr>
              <w:pStyle w:val="ListParagraph"/>
              <w:numPr>
                <w:ilvl w:val="0"/>
                <w:numId w:val="26"/>
              </w:numPr>
              <w:spacing w:before="0" w:after="0" w:line="240" w:lineRule="auto"/>
              <w:rPr>
                <w:rFonts w:eastAsia="Calibri" w:cs="Times"/>
                <w:szCs w:val="20"/>
              </w:rPr>
            </w:pPr>
            <w:r>
              <w:rPr>
                <w:rFonts w:eastAsia="Calibri" w:cs="Times"/>
                <w:szCs w:val="20"/>
              </w:rPr>
              <w:t>Based on the WID, the following multiplexing cases are in scope for potential support in Rel-17:</w:t>
            </w:r>
          </w:p>
          <w:p w14:paraId="16FCA0E7" w14:textId="77777777" w:rsidR="008A23DF" w:rsidRDefault="008A23DF" w:rsidP="00D02502">
            <w:pPr>
              <w:pStyle w:val="ListParagraph"/>
              <w:numPr>
                <w:ilvl w:val="1"/>
                <w:numId w:val="26"/>
              </w:numPr>
              <w:spacing w:before="0" w:after="0" w:line="240" w:lineRule="auto"/>
              <w:rPr>
                <w:rFonts w:eastAsia="Batang" w:cs="Times"/>
                <w:color w:val="000000"/>
                <w:szCs w:val="20"/>
              </w:rPr>
            </w:pPr>
            <w:r>
              <w:rPr>
                <w:rFonts w:cs="Times"/>
                <w:color w:val="000000"/>
                <w:szCs w:val="20"/>
              </w:rPr>
              <w:t xml:space="preserve">Multiplexing Case A: Simultaneous MT-Tx/DU-Tx </w:t>
            </w:r>
          </w:p>
          <w:p w14:paraId="74B570B7" w14:textId="77777777" w:rsidR="008A23DF" w:rsidRDefault="008A23DF" w:rsidP="00D02502">
            <w:pPr>
              <w:pStyle w:val="ListParagraph"/>
              <w:numPr>
                <w:ilvl w:val="1"/>
                <w:numId w:val="26"/>
              </w:numPr>
              <w:spacing w:before="0" w:after="0" w:line="240" w:lineRule="auto"/>
              <w:rPr>
                <w:rFonts w:cs="Times"/>
                <w:color w:val="000000"/>
                <w:szCs w:val="20"/>
              </w:rPr>
            </w:pPr>
            <w:r>
              <w:rPr>
                <w:rFonts w:cs="Times"/>
                <w:color w:val="000000"/>
                <w:szCs w:val="20"/>
              </w:rPr>
              <w:t xml:space="preserve">Multiplexing Case B: Simultaneous MT-Rx/DU-Rx </w:t>
            </w:r>
          </w:p>
          <w:p w14:paraId="6FB22286" w14:textId="77777777" w:rsidR="008A23DF" w:rsidRDefault="008A23DF" w:rsidP="00D02502">
            <w:pPr>
              <w:pStyle w:val="ListParagraph"/>
              <w:numPr>
                <w:ilvl w:val="1"/>
                <w:numId w:val="26"/>
              </w:numPr>
              <w:spacing w:before="0" w:after="0" w:line="240" w:lineRule="auto"/>
              <w:rPr>
                <w:rFonts w:cs="Times"/>
                <w:color w:val="000000"/>
                <w:szCs w:val="20"/>
              </w:rPr>
            </w:pPr>
            <w:r>
              <w:rPr>
                <w:rFonts w:cs="Times"/>
                <w:color w:val="000000"/>
                <w:szCs w:val="20"/>
              </w:rPr>
              <w:t xml:space="preserve">Multiplexing Case C: Simultaneous MT-Rx/DU-Tx </w:t>
            </w:r>
          </w:p>
          <w:p w14:paraId="1FE36D3C" w14:textId="77777777" w:rsidR="008A23DF" w:rsidRDefault="008A23DF" w:rsidP="00D02502">
            <w:pPr>
              <w:pStyle w:val="ListParagraph"/>
              <w:numPr>
                <w:ilvl w:val="1"/>
                <w:numId w:val="26"/>
              </w:numPr>
              <w:spacing w:before="0" w:after="0" w:line="240" w:lineRule="auto"/>
              <w:rPr>
                <w:rFonts w:cs="Times"/>
                <w:color w:val="000000"/>
                <w:szCs w:val="20"/>
              </w:rPr>
            </w:pPr>
            <w:r>
              <w:rPr>
                <w:rFonts w:cs="Times"/>
                <w:color w:val="000000"/>
                <w:szCs w:val="20"/>
              </w:rPr>
              <w:t xml:space="preserve">Multiplexing Case D: Simultaneous MT-Tx/DU-Rx </w:t>
            </w:r>
          </w:p>
          <w:p w14:paraId="72E268B1" w14:textId="15B2DBA1" w:rsidR="008A23DF" w:rsidRDefault="008A23DF" w:rsidP="00D02502">
            <w:pPr>
              <w:pStyle w:val="ListParagraph"/>
              <w:numPr>
                <w:ilvl w:val="0"/>
                <w:numId w:val="26"/>
              </w:numPr>
              <w:spacing w:before="0" w:after="0" w:line="240" w:lineRule="auto"/>
              <w:rPr>
                <w:rFonts w:cs="Times"/>
                <w:color w:val="000000"/>
                <w:szCs w:val="20"/>
              </w:rPr>
            </w:pPr>
            <w:r>
              <w:rPr>
                <w:rFonts w:cs="Times"/>
                <w:color w:val="000000"/>
                <w:szCs w:val="20"/>
              </w:rPr>
              <w:t>Further study for Case A and Case B at least the following scenarios:</w:t>
            </w:r>
          </w:p>
          <w:p w14:paraId="72D73C98" w14:textId="77777777" w:rsidR="008A23DF" w:rsidRDefault="008A23DF" w:rsidP="00D02502">
            <w:pPr>
              <w:pStyle w:val="ListParagraph"/>
              <w:numPr>
                <w:ilvl w:val="1"/>
                <w:numId w:val="26"/>
              </w:numPr>
              <w:spacing w:before="0" w:after="0" w:line="240" w:lineRule="auto"/>
              <w:rPr>
                <w:rFonts w:cs="Times"/>
                <w:color w:val="000000"/>
                <w:szCs w:val="20"/>
              </w:rPr>
            </w:pPr>
            <w:r>
              <w:rPr>
                <w:rFonts w:cs="Times"/>
                <w:color w:val="000000"/>
                <w:szCs w:val="20"/>
              </w:rPr>
              <w:t>Single or multi-panel IAB nodes operating in unpaired spectrum (FR1 and FR2 bands)</w:t>
            </w:r>
          </w:p>
          <w:p w14:paraId="463C7B72" w14:textId="77777777" w:rsidR="008A23DF" w:rsidRDefault="008A23DF" w:rsidP="00D02502">
            <w:pPr>
              <w:pStyle w:val="ListParagraph"/>
              <w:numPr>
                <w:ilvl w:val="0"/>
                <w:numId w:val="26"/>
              </w:numPr>
              <w:spacing w:before="0" w:after="0" w:line="240" w:lineRule="auto"/>
              <w:rPr>
                <w:rFonts w:cs="Times"/>
                <w:color w:val="000000"/>
                <w:szCs w:val="20"/>
              </w:rPr>
            </w:pPr>
            <w:r>
              <w:rPr>
                <w:rFonts w:cs="Times"/>
                <w:color w:val="000000"/>
                <w:szCs w:val="20"/>
              </w:rPr>
              <w:t>Further study for Case C and Case D at least for the following scenarios:</w:t>
            </w:r>
          </w:p>
          <w:p w14:paraId="1958915E" w14:textId="77777777" w:rsidR="008A23DF" w:rsidRDefault="008A23DF" w:rsidP="00D02502">
            <w:pPr>
              <w:pStyle w:val="ListParagraph"/>
              <w:numPr>
                <w:ilvl w:val="1"/>
                <w:numId w:val="26"/>
              </w:numPr>
              <w:spacing w:before="0" w:after="0" w:line="240" w:lineRule="auto"/>
              <w:rPr>
                <w:rFonts w:eastAsia="Calibri" w:cs="Times"/>
                <w:szCs w:val="20"/>
              </w:rPr>
            </w:pPr>
            <w:r>
              <w:rPr>
                <w:rFonts w:cs="Times"/>
                <w:color w:val="000000"/>
                <w:szCs w:val="20"/>
              </w:rPr>
              <w:t xml:space="preserve">Multi-panel IAB nodes operating in unpaired spectrum (FR1 and FR2 bands) </w:t>
            </w:r>
          </w:p>
          <w:p w14:paraId="75CD8B87" w14:textId="77777777" w:rsidR="008A23DF" w:rsidRDefault="008A23DF" w:rsidP="00D02502">
            <w:pPr>
              <w:pStyle w:val="ListParagraph"/>
              <w:numPr>
                <w:ilvl w:val="0"/>
                <w:numId w:val="26"/>
              </w:numPr>
              <w:spacing w:before="0" w:after="0" w:line="240" w:lineRule="auto"/>
              <w:rPr>
                <w:lang w:val="en-GB"/>
              </w:rPr>
            </w:pPr>
            <w:r>
              <w:rPr>
                <w:rFonts w:eastAsia="Calibri" w:cs="Times"/>
                <w:szCs w:val="20"/>
              </w:rPr>
              <w:t xml:space="preserve">FFS: </w:t>
            </w:r>
            <w:r w:rsidRPr="00C60D3B">
              <w:rPr>
                <w:rFonts w:cs="Times"/>
                <w:color w:val="000000"/>
                <w:szCs w:val="20"/>
              </w:rPr>
              <w:t>Required</w:t>
            </w:r>
            <w:r>
              <w:rPr>
                <w:rFonts w:eastAsia="Calibri" w:cs="Times"/>
                <w:szCs w:val="20"/>
              </w:rPr>
              <w:t xml:space="preserve"> level of specification impact to support the different cases. Any additional specification support in Rel-17 should be </w:t>
            </w:r>
            <w:r>
              <w:rPr>
                <w:rFonts w:cs="Times"/>
                <w:color w:val="000000"/>
                <w:szCs w:val="20"/>
              </w:rPr>
              <w:t>conditioned on feasibility from an interference and reliability perspective on a per-link and network basis</w:t>
            </w:r>
          </w:p>
        </w:tc>
      </w:tr>
    </w:tbl>
    <w:p w14:paraId="54D83811" w14:textId="49183292" w:rsidR="008A23DF" w:rsidRDefault="008A23DF" w:rsidP="008A23DF">
      <w:pPr>
        <w:rPr>
          <w:lang w:val="en-GB"/>
        </w:rPr>
      </w:pPr>
    </w:p>
    <w:p w14:paraId="05F7B3CA" w14:textId="268FA42D" w:rsidR="00384735" w:rsidRPr="00B64FBD" w:rsidRDefault="00286426" w:rsidP="00E801FE">
      <w:r>
        <w:rPr>
          <w:lang w:val="en-GB"/>
        </w:rPr>
        <w:t>RAN1 made further progress in RAN1#103-e and reached agreements</w:t>
      </w:r>
      <w:r w:rsidR="00E801FE">
        <w:rPr>
          <w:lang w:val="en-GB"/>
        </w:rPr>
        <w:t xml:space="preserve"> that will be reviewed in the discussion section. </w:t>
      </w:r>
      <w:r w:rsidR="00384735">
        <w:t xml:space="preserve">In </w:t>
      </w:r>
      <w:r w:rsidR="00155593">
        <w:t>this paper,</w:t>
      </w:r>
      <w:r w:rsidR="00384735">
        <w:t xml:space="preserve"> we provide our views on specification of </w:t>
      </w:r>
      <w:r>
        <w:t>resource multiplexing enhancements in eIAB systems</w:t>
      </w:r>
      <w:r w:rsidR="00155593">
        <w:t xml:space="preserve">. Then, in a companion paper </w:t>
      </w:r>
      <w:r w:rsidR="00155593">
        <w:fldChar w:fldCharType="begin"/>
      </w:r>
      <w:r w:rsidR="00155593">
        <w:instrText xml:space="preserve"> REF _Ref30492464 \r \h </w:instrText>
      </w:r>
      <w:r w:rsidR="00155593">
        <w:fldChar w:fldCharType="separate"/>
      </w:r>
      <w:r w:rsidR="000032EA">
        <w:rPr>
          <w:cs/>
        </w:rPr>
        <w:t>‎</w:t>
      </w:r>
      <w:r w:rsidR="000032EA">
        <w:t>[3]</w:t>
      </w:r>
      <w:r w:rsidR="00155593">
        <w:fldChar w:fldCharType="end"/>
      </w:r>
      <w:r w:rsidR="00384735">
        <w:t xml:space="preserve">, we provide our views on specification of </w:t>
      </w:r>
      <w:r>
        <w:t>timing modes, power control, and interference management</w:t>
      </w:r>
      <w:r w:rsidR="00384735">
        <w:t xml:space="preserve"> </w:t>
      </w:r>
      <w:r w:rsidR="002A67AD">
        <w:t>related to the</w:t>
      </w:r>
      <w:r w:rsidR="00384735">
        <w:t xml:space="preserve"> enhancements.</w:t>
      </w:r>
    </w:p>
    <w:p w14:paraId="0AB8F4C6" w14:textId="2DCE7F60" w:rsidR="00B1741F" w:rsidRDefault="00B1741F" w:rsidP="003D3577">
      <w:pPr>
        <w:pStyle w:val="Heading1"/>
      </w:pPr>
      <w:bookmarkStart w:id="3" w:name="_Ref30491904"/>
      <w:bookmarkStart w:id="4" w:name="_Ref30492156"/>
      <w:bookmarkStart w:id="5" w:name="_Ref30491838"/>
      <w:r>
        <w:t>Discussion</w:t>
      </w:r>
    </w:p>
    <w:p w14:paraId="65F946C3" w14:textId="737C050C" w:rsidR="007842F0" w:rsidRPr="007842F0" w:rsidRDefault="000827E6" w:rsidP="007842F0">
      <w:pPr>
        <w:pStyle w:val="Heading2"/>
      </w:pPr>
      <w:r>
        <w:t>Resource c</w:t>
      </w:r>
      <w:r w:rsidR="007842F0">
        <w:t>onfigurations and signalling</w:t>
      </w:r>
    </w:p>
    <w:p w14:paraId="1CE4FB37" w14:textId="431E94AB" w:rsidR="008A23DF" w:rsidRDefault="00360C31" w:rsidP="008A23DF">
      <w:pPr>
        <w:rPr>
          <w:lang w:val="en-GB"/>
        </w:rPr>
      </w:pPr>
      <w:r>
        <w:rPr>
          <w:lang w:val="en-GB"/>
        </w:rPr>
        <w:t xml:space="preserve">The following was agreed in </w:t>
      </w:r>
      <w:r w:rsidR="000032EA">
        <w:rPr>
          <w:lang w:val="en-GB"/>
        </w:rPr>
        <w:t>the previous meetings</w:t>
      </w:r>
      <w:r>
        <w:rPr>
          <w:lang w:val="en-GB"/>
        </w:rPr>
        <w:t>:</w:t>
      </w:r>
    </w:p>
    <w:tbl>
      <w:tblPr>
        <w:tblStyle w:val="TableGrid"/>
        <w:tblW w:w="0" w:type="auto"/>
        <w:tblLook w:val="04A0" w:firstRow="1" w:lastRow="0" w:firstColumn="1" w:lastColumn="0" w:noHBand="0" w:noVBand="1"/>
      </w:tblPr>
      <w:tblGrid>
        <w:gridCol w:w="9855"/>
      </w:tblGrid>
      <w:tr w:rsidR="00360C31" w14:paraId="2805B387" w14:textId="77777777" w:rsidTr="00D02502">
        <w:tc>
          <w:tcPr>
            <w:tcW w:w="9855" w:type="dxa"/>
          </w:tcPr>
          <w:p w14:paraId="3304EA95" w14:textId="1D397072" w:rsidR="00360C31" w:rsidRDefault="00360C31" w:rsidP="00D02502">
            <w:pPr>
              <w:rPr>
                <w:rFonts w:eastAsia="Calibri" w:cs="Times"/>
                <w:b/>
                <w:bCs/>
                <w:szCs w:val="20"/>
                <w:highlight w:val="green"/>
              </w:rPr>
            </w:pPr>
            <w:r>
              <w:rPr>
                <w:rFonts w:eastAsia="Calibri" w:cs="Times"/>
                <w:b/>
                <w:bCs/>
                <w:szCs w:val="20"/>
                <w:highlight w:val="green"/>
              </w:rPr>
              <w:t>Agreement</w:t>
            </w:r>
            <w:r w:rsidR="000032EA" w:rsidRPr="000032EA">
              <w:rPr>
                <w:rFonts w:eastAsia="Calibri" w:cs="Times"/>
                <w:b/>
                <w:bCs/>
                <w:szCs w:val="20"/>
              </w:rPr>
              <w:t xml:space="preserve"> (RAN1#102-e)</w:t>
            </w:r>
          </w:p>
          <w:p w14:paraId="5EA82E51" w14:textId="77777777" w:rsidR="00360C31" w:rsidRDefault="00360C31" w:rsidP="00D02502">
            <w:pPr>
              <w:rPr>
                <w:rFonts w:eastAsia="Calibri" w:cs="Times"/>
                <w:szCs w:val="20"/>
              </w:rPr>
            </w:pPr>
            <w:r>
              <w:rPr>
                <w:rFonts w:eastAsia="Calibri" w:cs="Times"/>
                <w:szCs w:val="20"/>
              </w:rPr>
              <w:t xml:space="preserve">The Rel-16 </w:t>
            </w:r>
            <w:r w:rsidRPr="00BA73CD">
              <w:rPr>
                <w:rFonts w:eastAsia="Calibri" w:cs="Times"/>
                <w:szCs w:val="20"/>
              </w:rPr>
              <w:t>semi-static and dynamic resource allocation mechanisms</w:t>
            </w:r>
            <w:r>
              <w:rPr>
                <w:rFonts w:eastAsia="Calibri" w:cs="Times"/>
                <w:szCs w:val="20"/>
              </w:rPr>
              <w:t xml:space="preserve"> are the starting point for supporting Rel-17 multiplexing cases. </w:t>
            </w:r>
          </w:p>
          <w:p w14:paraId="7505D19C" w14:textId="77777777" w:rsidR="00360C31" w:rsidRDefault="00360C31" w:rsidP="00D02502">
            <w:pPr>
              <w:pStyle w:val="ListParagraph"/>
              <w:numPr>
                <w:ilvl w:val="0"/>
                <w:numId w:val="25"/>
              </w:numPr>
              <w:spacing w:before="0" w:after="0" w:line="240" w:lineRule="auto"/>
              <w:rPr>
                <w:rFonts w:eastAsia="Calibri" w:cs="Times"/>
                <w:szCs w:val="20"/>
              </w:rPr>
            </w:pPr>
            <w:r>
              <w:rPr>
                <w:rFonts w:eastAsia="Calibri" w:cs="Times"/>
                <w:szCs w:val="20"/>
              </w:rPr>
              <w:t>FFS: Applicability for different IAB-DU resource types</w:t>
            </w:r>
          </w:p>
          <w:p w14:paraId="0FBC7BCC" w14:textId="77777777" w:rsidR="00360C31" w:rsidRDefault="00360C31" w:rsidP="00360C31">
            <w:pPr>
              <w:pStyle w:val="ListParagraph"/>
              <w:numPr>
                <w:ilvl w:val="0"/>
                <w:numId w:val="25"/>
              </w:numPr>
              <w:spacing w:before="0" w:after="0" w:line="240" w:lineRule="auto"/>
              <w:rPr>
                <w:rFonts w:eastAsia="Calibri" w:cs="Times"/>
                <w:szCs w:val="20"/>
              </w:rPr>
            </w:pPr>
            <w:r>
              <w:rPr>
                <w:rFonts w:eastAsia="Calibri" w:cs="Times"/>
                <w:szCs w:val="20"/>
              </w:rPr>
              <w:t>FFS: Cell-specific/semi-static signals and channels at the IAB-DU and/or IAB-MT</w:t>
            </w:r>
          </w:p>
          <w:p w14:paraId="2F621542" w14:textId="5E7B4C14" w:rsidR="000032EA" w:rsidRDefault="000032EA" w:rsidP="000032EA">
            <w:pPr>
              <w:rPr>
                <w:rFonts w:eastAsia="Calibri" w:cs="Times"/>
                <w:b/>
                <w:bCs/>
                <w:szCs w:val="20"/>
                <w:highlight w:val="green"/>
              </w:rPr>
            </w:pPr>
            <w:r>
              <w:rPr>
                <w:rFonts w:eastAsia="Calibri" w:cs="Times"/>
                <w:b/>
                <w:bCs/>
                <w:szCs w:val="20"/>
                <w:highlight w:val="green"/>
              </w:rPr>
              <w:t>Agreement</w:t>
            </w:r>
            <w:r w:rsidRPr="000032EA">
              <w:rPr>
                <w:rFonts w:eastAsia="Calibri" w:cs="Times"/>
                <w:b/>
                <w:bCs/>
                <w:szCs w:val="20"/>
              </w:rPr>
              <w:t xml:space="preserve"> (RAN1#103-e)</w:t>
            </w:r>
          </w:p>
          <w:p w14:paraId="60D63F7F" w14:textId="77777777" w:rsidR="000032EA" w:rsidRDefault="000032EA" w:rsidP="000032EA">
            <w:pPr>
              <w:rPr>
                <w:rFonts w:eastAsia="Batang"/>
                <w:lang w:eastAsia="x-none"/>
              </w:rPr>
            </w:pPr>
            <w:r>
              <w:rPr>
                <w:lang w:eastAsia="x-none"/>
              </w:rPr>
              <w:t xml:space="preserve">The Rel-16 IAB-DU resource types (Soft/Hard/NA) are the starting point for supporting resource multiplexing for simultaneous operation cases in Rel-17. </w:t>
            </w:r>
          </w:p>
          <w:p w14:paraId="164ED6A9" w14:textId="77777777" w:rsidR="000032EA" w:rsidRDefault="000032EA" w:rsidP="000032EA">
            <w:pPr>
              <w:pStyle w:val="ListParagraph"/>
              <w:numPr>
                <w:ilvl w:val="0"/>
                <w:numId w:val="42"/>
              </w:numPr>
              <w:spacing w:before="0" w:after="0" w:line="240" w:lineRule="auto"/>
              <w:textAlignment w:val="baseline"/>
              <w:rPr>
                <w:rFonts w:eastAsia="Calibri" w:cs="Times"/>
                <w:color w:val="000000"/>
              </w:rPr>
            </w:pPr>
            <w:r>
              <w:rPr>
                <w:rFonts w:eastAsia="Calibri" w:cs="Times"/>
                <w:color w:val="000000"/>
              </w:rPr>
              <w:t xml:space="preserve">FFS: Whether resource type definitions need to be extended to frequency domain resources </w:t>
            </w:r>
          </w:p>
          <w:p w14:paraId="698DDDF8" w14:textId="77777777" w:rsidR="000032EA" w:rsidRDefault="000032EA" w:rsidP="000032EA">
            <w:pPr>
              <w:pStyle w:val="ListParagraph"/>
              <w:numPr>
                <w:ilvl w:val="0"/>
                <w:numId w:val="42"/>
              </w:numPr>
              <w:spacing w:before="0" w:after="0" w:line="240" w:lineRule="auto"/>
              <w:textAlignment w:val="baseline"/>
              <w:rPr>
                <w:rFonts w:eastAsia="Calibri" w:cs="Times"/>
                <w:color w:val="000000"/>
              </w:rPr>
            </w:pPr>
            <w:r>
              <w:rPr>
                <w:rFonts w:eastAsia="Calibri" w:cs="Times"/>
                <w:color w:val="000000"/>
              </w:rPr>
              <w:t>FFS: Coexistence of simultaneous operation resources and TDM resources</w:t>
            </w:r>
          </w:p>
          <w:p w14:paraId="4F00034C" w14:textId="77777777" w:rsidR="000032EA" w:rsidRDefault="000032EA" w:rsidP="000032EA">
            <w:pPr>
              <w:pStyle w:val="ListParagraph"/>
              <w:numPr>
                <w:ilvl w:val="0"/>
                <w:numId w:val="42"/>
              </w:numPr>
              <w:spacing w:before="0" w:after="0" w:line="240" w:lineRule="auto"/>
              <w:textAlignment w:val="baseline"/>
              <w:rPr>
                <w:rFonts w:eastAsia="Calibri" w:cs="Times"/>
                <w:color w:val="000000"/>
              </w:rPr>
            </w:pPr>
            <w:r>
              <w:rPr>
                <w:rFonts w:eastAsia="Calibri" w:cs="Times"/>
                <w:color w:val="000000"/>
              </w:rPr>
              <w:t>FFS: Whether new rules governing cell-specific/semi-static signals and channels at the IAB-DU and/or IAB-</w:t>
            </w:r>
            <w:r>
              <w:rPr>
                <w:rFonts w:eastAsia="Calibri" w:cs="Times"/>
                <w:color w:val="000000"/>
              </w:rPr>
              <w:lastRenderedPageBreak/>
              <w:t>MT in case of simultaneous operation are necessary</w:t>
            </w:r>
          </w:p>
          <w:p w14:paraId="443173F8" w14:textId="77777777" w:rsidR="00421192" w:rsidRDefault="00421192" w:rsidP="00421192">
            <w:pPr>
              <w:rPr>
                <w:rFonts w:eastAsia="Calibri" w:cs="Times"/>
                <w:b/>
                <w:bCs/>
                <w:szCs w:val="20"/>
                <w:highlight w:val="green"/>
              </w:rPr>
            </w:pPr>
            <w:r>
              <w:rPr>
                <w:rFonts w:eastAsia="Calibri" w:cs="Times"/>
                <w:b/>
                <w:bCs/>
                <w:szCs w:val="20"/>
                <w:highlight w:val="green"/>
              </w:rPr>
              <w:t>Agreement</w:t>
            </w:r>
          </w:p>
          <w:p w14:paraId="383ABE45" w14:textId="77777777" w:rsidR="00421192" w:rsidRDefault="00421192" w:rsidP="00421192">
            <w:pPr>
              <w:rPr>
                <w:rFonts w:eastAsia="Batang"/>
                <w:lang w:eastAsia="x-none"/>
              </w:rPr>
            </w:pPr>
            <w:r>
              <w:rPr>
                <w:lang w:eastAsia="x-none"/>
              </w:rPr>
              <w:t xml:space="preserve">The Rel-16 explicit indication of soft resources by DCI Format 2_5 is supported for simultaneous operation cases in Rel-17. </w:t>
            </w:r>
          </w:p>
          <w:p w14:paraId="40A23A5A" w14:textId="77777777" w:rsidR="00421192" w:rsidRDefault="00421192" w:rsidP="00421192">
            <w:pPr>
              <w:pStyle w:val="ListParagraph"/>
              <w:numPr>
                <w:ilvl w:val="0"/>
                <w:numId w:val="42"/>
              </w:numPr>
              <w:spacing w:before="0" w:after="0" w:line="240" w:lineRule="auto"/>
              <w:textAlignment w:val="baseline"/>
              <w:rPr>
                <w:rFonts w:eastAsia="Calibri" w:cs="Times"/>
                <w:color w:val="000000"/>
              </w:rPr>
            </w:pPr>
            <w:r>
              <w:rPr>
                <w:rFonts w:eastAsia="Calibri" w:cs="Times"/>
                <w:color w:val="000000"/>
              </w:rPr>
              <w:t>FFS: Whether/how to extend DCI Format 2_5 to frequency domain resources and/or paired spectrum</w:t>
            </w:r>
          </w:p>
          <w:p w14:paraId="1123DDEE" w14:textId="4F0158E6" w:rsidR="00421192" w:rsidRPr="00421192" w:rsidRDefault="00421192" w:rsidP="00421192">
            <w:pPr>
              <w:pStyle w:val="ListParagraph"/>
              <w:numPr>
                <w:ilvl w:val="0"/>
                <w:numId w:val="42"/>
              </w:numPr>
              <w:spacing w:before="0" w:after="0" w:line="240" w:lineRule="auto"/>
              <w:textAlignment w:val="baseline"/>
              <w:rPr>
                <w:rFonts w:eastAsia="Calibri" w:cs="Times"/>
                <w:color w:val="000000"/>
              </w:rPr>
            </w:pPr>
            <w:r>
              <w:rPr>
                <w:rFonts w:eastAsia="Calibri" w:cs="Times"/>
                <w:color w:val="000000"/>
              </w:rPr>
              <w:t>FFS: Coexistence of simultaneous operation resources and TDM resources</w:t>
            </w:r>
          </w:p>
        </w:tc>
      </w:tr>
    </w:tbl>
    <w:p w14:paraId="5125425B" w14:textId="61D481CF" w:rsidR="00360C31" w:rsidRPr="00646C3F" w:rsidRDefault="00360C31" w:rsidP="008A23DF">
      <w:pPr>
        <w:rPr>
          <w:lang w:val="en-GB"/>
        </w:rPr>
      </w:pPr>
    </w:p>
    <w:p w14:paraId="5B5259CB" w14:textId="702AF3BF" w:rsidR="00434364" w:rsidRDefault="008F2EB2" w:rsidP="00434364">
      <w:pPr>
        <w:rPr>
          <w:lang w:val="en-GB"/>
        </w:rPr>
      </w:pPr>
      <w:r>
        <w:rPr>
          <w:lang w:val="en-GB"/>
        </w:rPr>
        <w:t>In IAB Rel-16, resources in the time domain (slots/symbols) can be configured by the RRC as hard (H), soft (S), or not available (NA) for each IAB node. These semi-static configurations are applied only in the time domain, meaning that either all the PRBs in the BWP (except the ones that are allocated by other signals such as SS/PBCH blocks) are available (H), not available (NA), or subject to availability indication (AI) by DCI signalling (S).</w:t>
      </w:r>
    </w:p>
    <w:p w14:paraId="2838E804" w14:textId="6F9A1987" w:rsidR="000827E6" w:rsidRDefault="008F2EB2" w:rsidP="000827E6">
      <w:pPr>
        <w:rPr>
          <w:lang w:val="en-GB"/>
        </w:rPr>
      </w:pPr>
      <w:r>
        <w:rPr>
          <w:lang w:val="en-GB"/>
        </w:rPr>
        <w:t xml:space="preserve">A similar approach can be taken in the frequency domain – new configurations can be specified to determine availability in the time and frequency domains for an IAB node. Each configuration </w:t>
      </w:r>
      <w:r w:rsidR="007E2252">
        <w:rPr>
          <w:lang w:val="en-GB"/>
        </w:rPr>
        <w:t>should</w:t>
      </w:r>
      <w:r>
        <w:rPr>
          <w:lang w:val="en-GB"/>
        </w:rPr>
        <w:t xml:space="preserve"> include </w:t>
      </w:r>
      <w:r w:rsidR="001132E9">
        <w:rPr>
          <w:lang w:val="en-GB"/>
        </w:rPr>
        <w:t xml:space="preserve">parameters </w:t>
      </w:r>
      <w:r>
        <w:rPr>
          <w:lang w:val="en-GB"/>
        </w:rPr>
        <w:t>such as the periodicity and available PRBs in each period for the IAB node</w:t>
      </w:r>
      <w:r w:rsidR="007842F0">
        <w:rPr>
          <w:lang w:val="en-GB"/>
        </w:rPr>
        <w:t>.</w:t>
      </w:r>
    </w:p>
    <w:p w14:paraId="785A6DD0" w14:textId="33A04F78" w:rsidR="000827E6" w:rsidRDefault="000827E6" w:rsidP="000827E6">
      <w:pPr>
        <w:rPr>
          <w:lang w:val="en-GB"/>
        </w:rPr>
      </w:pPr>
      <w:r>
        <w:rPr>
          <w:lang w:val="en-GB"/>
        </w:rPr>
        <w:t xml:space="preserve">In order to realize resource </w:t>
      </w:r>
      <w:r w:rsidR="008D3CF6">
        <w:rPr>
          <w:lang w:val="en-GB"/>
        </w:rPr>
        <w:t xml:space="preserve">partitioning </w:t>
      </w:r>
      <w:r>
        <w:rPr>
          <w:lang w:val="en-GB"/>
        </w:rPr>
        <w:t>in the frequency domain, one PRB is too small as a unit of bandwidth and may result in excessive overhead for configurations and control signalling. Instead, a group of N PRBs can be taken as the unit</w:t>
      </w:r>
      <w:r w:rsidR="00260906">
        <w:rPr>
          <w:lang w:val="en-GB"/>
        </w:rPr>
        <w:t xml:space="preserve"> of bandwidth. The number of PRBs N in the </w:t>
      </w:r>
      <w:r w:rsidR="008D3CF6">
        <w:rPr>
          <w:lang w:val="en-GB"/>
        </w:rPr>
        <w:t xml:space="preserve">unit </w:t>
      </w:r>
      <w:r w:rsidR="00260906">
        <w:rPr>
          <w:lang w:val="en-GB"/>
        </w:rPr>
        <w:t>can be specified or configured. Then, each group of N PRBs can be configured with attributes such as hard, soft, or not-available for a serving cell by the IAB-DU.</w:t>
      </w:r>
    </w:p>
    <w:p w14:paraId="7A6A7CBF" w14:textId="67EBF475" w:rsidR="00260906" w:rsidRDefault="00260906" w:rsidP="00F42C2D">
      <w:pPr>
        <w:pStyle w:val="Proposal"/>
        <w:rPr>
          <w:lang w:val="en-GB"/>
        </w:rPr>
      </w:pPr>
      <w:bookmarkStart w:id="6" w:name="_Toc61536506"/>
      <w:bookmarkStart w:id="7" w:name="_Toc61541286"/>
      <w:bookmarkStart w:id="8" w:name="_Toc61541338"/>
      <w:bookmarkStart w:id="9" w:name="_Toc61544629"/>
      <w:bookmarkStart w:id="10" w:name="_Toc61547542"/>
      <w:bookmarkStart w:id="11" w:name="_Toc61559087"/>
      <w:bookmarkStart w:id="12" w:name="_Toc61559324"/>
      <w:bookmarkStart w:id="13" w:name="_Toc61854470"/>
      <w:bookmarkStart w:id="14" w:name="_Toc61858375"/>
      <w:bookmarkStart w:id="15" w:name="_Toc61858809"/>
      <w:bookmarkStart w:id="16" w:name="_Toc61859140"/>
      <w:bookmarkStart w:id="17" w:name="_Toc61895534"/>
      <w:bookmarkStart w:id="18" w:name="_Toc61895636"/>
      <w:r>
        <w:rPr>
          <w:lang w:val="en-GB"/>
        </w:rPr>
        <w:t xml:space="preserve">Define a group of N PRBs as the unit of bandwidth for configuration and signalling. N can be a specified constant or configured by the </w:t>
      </w:r>
      <w:r w:rsidR="00E82EF4">
        <w:rPr>
          <w:lang w:val="en-GB"/>
        </w:rPr>
        <w:t>IAB-CU</w:t>
      </w:r>
      <w:r>
        <w:rPr>
          <w:lang w:val="en-GB"/>
        </w:rPr>
        <w:t>.</w:t>
      </w:r>
      <w:bookmarkEnd w:id="6"/>
      <w:bookmarkEnd w:id="7"/>
      <w:bookmarkEnd w:id="8"/>
      <w:bookmarkEnd w:id="9"/>
      <w:bookmarkEnd w:id="10"/>
      <w:bookmarkEnd w:id="11"/>
      <w:bookmarkEnd w:id="12"/>
      <w:bookmarkEnd w:id="13"/>
      <w:bookmarkEnd w:id="14"/>
      <w:bookmarkEnd w:id="15"/>
      <w:bookmarkEnd w:id="16"/>
      <w:bookmarkEnd w:id="17"/>
      <w:bookmarkEnd w:id="18"/>
    </w:p>
    <w:p w14:paraId="1FDE7AF0" w14:textId="28157AA6" w:rsidR="00CF4219" w:rsidRDefault="00573A84" w:rsidP="008F5B72">
      <w:pPr>
        <w:rPr>
          <w:lang w:val="en-GB"/>
        </w:rPr>
      </w:pPr>
      <w:r>
        <w:rPr>
          <w:lang w:val="en-GB"/>
        </w:rPr>
        <w:t xml:space="preserve">It was agreed in the previous meeting to take semi-static </w:t>
      </w:r>
      <w:r w:rsidR="00CF4219">
        <w:rPr>
          <w:lang w:val="en-GB"/>
        </w:rPr>
        <w:t>and dynamic resource allocation mechanisms as a starting point for Rel-17 multipl</w:t>
      </w:r>
      <w:r w:rsidR="00F17689">
        <w:rPr>
          <w:lang w:val="en-GB"/>
        </w:rPr>
        <w:t>e</w:t>
      </w:r>
      <w:r w:rsidR="00CF4219">
        <w:rPr>
          <w:lang w:val="en-GB"/>
        </w:rPr>
        <w:t>xing cases. We first address the case of FDM between IAB-DU and IAB-MT.</w:t>
      </w:r>
    </w:p>
    <w:p w14:paraId="45C6C639" w14:textId="00B7FA03" w:rsidR="00CF4219" w:rsidRDefault="00CF4219" w:rsidP="00CF4219">
      <w:pPr>
        <w:rPr>
          <w:lang w:val="en-GB"/>
        </w:rPr>
      </w:pPr>
      <w:r>
        <w:rPr>
          <w:lang w:val="en-GB"/>
        </w:rPr>
        <w:t xml:space="preserve">There are options for realizing FDM resource allocation between IAB-DU and IAB-MT. One option is to extend the H/S/NA configuration framework to the frequency domain, e.g., configure </w:t>
      </w:r>
      <w:r w:rsidR="00C8614D">
        <w:rPr>
          <w:lang w:val="en-GB"/>
        </w:rPr>
        <w:t xml:space="preserve">(groups of) </w:t>
      </w:r>
      <w:r>
        <w:rPr>
          <w:lang w:val="en-GB"/>
        </w:rPr>
        <w:t>PRBs as hard, soft, or NA. Then, hard PRBs can always be assumed available by the IAB-DU, NA PRBs are always unavailable, and soft PRBs can be indicated available by the parent node.</w:t>
      </w:r>
    </w:p>
    <w:p w14:paraId="4808F6CA" w14:textId="4682249B" w:rsidR="00B91AD7" w:rsidRPr="008F5B72" w:rsidRDefault="008F5B72" w:rsidP="008F5B72">
      <w:r>
        <w:rPr>
          <w:lang w:val="en-GB"/>
        </w:rPr>
        <w:t>Extending resource configurations and availability indication signalling to the frequency domain allows flexible resource allocations for non-TDM operation</w:t>
      </w:r>
      <w:r w:rsidR="00CF4219">
        <w:rPr>
          <w:lang w:val="en-GB"/>
        </w:rPr>
        <w:t>, particularly for FDM</w:t>
      </w:r>
      <w:r>
        <w:rPr>
          <w:lang w:val="en-GB"/>
        </w:rPr>
        <w:t>. For example, w</w:t>
      </w:r>
      <w:r w:rsidR="009B3C7E">
        <w:rPr>
          <w:lang w:val="en-GB"/>
        </w:rPr>
        <w:t xml:space="preserve">hen it is expected that adjacent nodes such as parent and child nodes </w:t>
      </w:r>
      <w:r>
        <w:rPr>
          <w:lang w:val="en-GB"/>
        </w:rPr>
        <w:t xml:space="preserve">of an IAB node </w:t>
      </w:r>
      <w:r w:rsidR="009B3C7E">
        <w:rPr>
          <w:lang w:val="en-GB"/>
        </w:rPr>
        <w:t xml:space="preserve">cause </w:t>
      </w:r>
      <w:r>
        <w:rPr>
          <w:lang w:val="en-GB"/>
        </w:rPr>
        <w:t>prohibitive interference on the IAB node, the IAB-CU can configure hard and soft resources on non-</w:t>
      </w:r>
      <w:r w:rsidRPr="008F5B72">
        <w:rPr>
          <w:lang w:val="en-GB"/>
        </w:rPr>
        <w:t xml:space="preserve">overlapping </w:t>
      </w:r>
      <w:r w:rsidR="006120D1">
        <w:rPr>
          <w:lang w:val="en-GB"/>
        </w:rPr>
        <w:t>partitions</w:t>
      </w:r>
      <w:r w:rsidRPr="008F5B72">
        <w:rPr>
          <w:lang w:val="en-GB"/>
        </w:rPr>
        <w:t xml:space="preserve"> in time and frequency domains </w:t>
      </w:r>
      <w:r w:rsidR="00C108DA">
        <w:rPr>
          <w:lang w:val="en-GB"/>
        </w:rPr>
        <w:t>such as the example in the figures</w:t>
      </w:r>
      <w:r w:rsidR="00496899" w:rsidRPr="008F5B72">
        <w:rPr>
          <w:lang w:val="en-GB"/>
        </w:rPr>
        <w:t xml:space="preserve"> </w:t>
      </w:r>
      <w:r w:rsidR="00C83FEB" w:rsidRPr="008F5B72">
        <w:rPr>
          <w:lang w:val="en-GB"/>
        </w:rPr>
        <w:t>below</w:t>
      </w:r>
      <w:r w:rsidR="007E2252" w:rsidRPr="008F5B72">
        <w:rPr>
          <w:lang w:val="en-GB"/>
        </w:rPr>
        <w:t>.</w:t>
      </w:r>
    </w:p>
    <w:p w14:paraId="2A8F8AEC" w14:textId="168C1D11" w:rsidR="00DA5C40" w:rsidRPr="008F5B72" w:rsidRDefault="00C20D6F" w:rsidP="00887C39">
      <w:pPr>
        <w:pStyle w:val="Figure"/>
      </w:pPr>
      <w:bookmarkStart w:id="19" w:name="_Ref47602809"/>
      <w:r w:rsidRPr="008F5B72">
        <w:rPr>
          <w:noProof/>
        </w:rPr>
        <w:drawing>
          <wp:inline distT="0" distB="0" distL="0" distR="0" wp14:anchorId="1F76EC85" wp14:editId="35490FFF">
            <wp:extent cx="4526280" cy="16642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6280" cy="1664208"/>
                    </a:xfrm>
                    <a:prstGeom prst="rect">
                      <a:avLst/>
                    </a:prstGeom>
                    <a:noFill/>
                    <a:ln>
                      <a:noFill/>
                    </a:ln>
                  </pic:spPr>
                </pic:pic>
              </a:graphicData>
            </a:graphic>
          </wp:inline>
        </w:drawing>
      </w:r>
    </w:p>
    <w:p w14:paraId="30FFB0D1" w14:textId="2B0F457C" w:rsidR="00B91AD7" w:rsidRPr="008F5B72" w:rsidRDefault="00CA3F84" w:rsidP="008F5B72">
      <w:pPr>
        <w:pStyle w:val="Caption"/>
      </w:pPr>
      <w:bookmarkStart w:id="20" w:name="_Ref54309728"/>
      <w:r w:rsidRPr="008F5B72">
        <w:t xml:space="preserve">. </w:t>
      </w:r>
      <w:r w:rsidR="00B91AD7" w:rsidRPr="008F5B72">
        <w:t>Example scenario</w:t>
      </w:r>
      <w:bookmarkEnd w:id="19"/>
      <w:bookmarkEnd w:id="20"/>
    </w:p>
    <w:p w14:paraId="2D50EA8D" w14:textId="2DCF66F5" w:rsidR="007E2252" w:rsidRPr="008F5B72" w:rsidRDefault="008F09AF" w:rsidP="007E2252">
      <w:pPr>
        <w:pStyle w:val="Figure"/>
      </w:pPr>
      <w:r w:rsidRPr="008F5B72">
        <w:rPr>
          <w:noProof/>
        </w:rPr>
        <w:lastRenderedPageBreak/>
        <w:drawing>
          <wp:inline distT="0" distB="0" distL="0" distR="0" wp14:anchorId="64D441B6" wp14:editId="2A951B50">
            <wp:extent cx="4105656" cy="22768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5656" cy="2276856"/>
                    </a:xfrm>
                    <a:prstGeom prst="rect">
                      <a:avLst/>
                    </a:prstGeom>
                    <a:noFill/>
                    <a:ln>
                      <a:noFill/>
                    </a:ln>
                  </pic:spPr>
                </pic:pic>
              </a:graphicData>
            </a:graphic>
          </wp:inline>
        </w:drawing>
      </w:r>
    </w:p>
    <w:p w14:paraId="1926BAD6" w14:textId="217C9431" w:rsidR="007E2252" w:rsidRPr="008F5B72" w:rsidRDefault="00CA3F84" w:rsidP="00C60D3B">
      <w:pPr>
        <w:pStyle w:val="Caption"/>
      </w:pPr>
      <w:bookmarkStart w:id="21" w:name="_Ref47535681"/>
      <w:r w:rsidRPr="008F5B72">
        <w:t xml:space="preserve">. </w:t>
      </w:r>
      <w:r w:rsidR="00496899" w:rsidRPr="008F5B72">
        <w:t>Example of s</w:t>
      </w:r>
      <w:r w:rsidR="007E2252" w:rsidRPr="008F5B72">
        <w:t xml:space="preserve">emi-static resource </w:t>
      </w:r>
      <w:r w:rsidR="00263C17" w:rsidRPr="008F5B72">
        <w:t xml:space="preserve">configuration </w:t>
      </w:r>
      <w:r w:rsidR="007E2252" w:rsidRPr="008F5B72">
        <w:t>in time and frequency domain</w:t>
      </w:r>
      <w:bookmarkEnd w:id="21"/>
      <w:r w:rsidR="004720EB">
        <w:t>s</w:t>
      </w:r>
    </w:p>
    <w:p w14:paraId="22313AF4" w14:textId="477E1568" w:rsidR="00C82AE6" w:rsidRDefault="007E2252" w:rsidP="00C82AE6">
      <w:pPr>
        <w:rPr>
          <w:lang w:val="en-GB"/>
        </w:rPr>
      </w:pPr>
      <w:r w:rsidRPr="008F5B72">
        <w:rPr>
          <w:lang w:val="en-GB"/>
        </w:rPr>
        <w:t>Th</w:t>
      </w:r>
      <w:r w:rsidR="008F5B72">
        <w:rPr>
          <w:lang w:val="en-GB"/>
        </w:rPr>
        <w:t>at can</w:t>
      </w:r>
      <w:r w:rsidRPr="008F5B72">
        <w:rPr>
          <w:lang w:val="en-GB"/>
        </w:rPr>
        <w:t xml:space="preserve"> essentially </w:t>
      </w:r>
      <w:r w:rsidR="00263C17" w:rsidRPr="008F5B72">
        <w:rPr>
          <w:lang w:val="en-GB"/>
        </w:rPr>
        <w:t>partition</w:t>
      </w:r>
      <w:r w:rsidRPr="008F5B72">
        <w:rPr>
          <w:lang w:val="en-GB"/>
        </w:rPr>
        <w:t xml:space="preserve"> the available resources into </w:t>
      </w:r>
      <w:r w:rsidR="008F5B72">
        <w:rPr>
          <w:lang w:val="en-GB"/>
        </w:rPr>
        <w:t>H/S</w:t>
      </w:r>
      <w:r w:rsidRPr="008F5B72">
        <w:rPr>
          <w:lang w:val="en-GB"/>
        </w:rPr>
        <w:t xml:space="preserve"> and NA</w:t>
      </w:r>
      <w:r w:rsidR="008F5B72">
        <w:rPr>
          <w:lang w:val="en-GB"/>
        </w:rPr>
        <w:t xml:space="preserve"> resources</w:t>
      </w:r>
      <w:r w:rsidRPr="008F5B72">
        <w:rPr>
          <w:lang w:val="en-GB"/>
        </w:rPr>
        <w:t xml:space="preserve"> for each IAB node</w:t>
      </w:r>
      <w:r w:rsidR="008F5B72">
        <w:rPr>
          <w:lang w:val="en-GB"/>
        </w:rPr>
        <w:t xml:space="preserve">, hence allowing a flexible degree of control </w:t>
      </w:r>
      <w:r w:rsidR="006120D1">
        <w:rPr>
          <w:lang w:val="en-GB"/>
        </w:rPr>
        <w:t xml:space="preserve">among the </w:t>
      </w:r>
      <w:r w:rsidR="008F5B72">
        <w:rPr>
          <w:lang w:val="en-GB"/>
        </w:rPr>
        <w:t>IAB-CU</w:t>
      </w:r>
      <w:r w:rsidR="00600E33">
        <w:rPr>
          <w:lang w:val="en-GB"/>
        </w:rPr>
        <w:t>, by semi-static partitioning,</w:t>
      </w:r>
      <w:r w:rsidR="008F5B72">
        <w:rPr>
          <w:lang w:val="en-GB"/>
        </w:rPr>
        <w:t xml:space="preserve"> and the IAB-DUs</w:t>
      </w:r>
      <w:r w:rsidR="00600E33">
        <w:rPr>
          <w:lang w:val="en-GB"/>
        </w:rPr>
        <w:t>,</w:t>
      </w:r>
      <w:r w:rsidR="008F5B72">
        <w:rPr>
          <w:lang w:val="en-GB"/>
        </w:rPr>
        <w:t xml:space="preserve"> </w:t>
      </w:r>
      <w:r w:rsidR="007616CD">
        <w:rPr>
          <w:lang w:val="en-GB"/>
        </w:rPr>
        <w:t>by</w:t>
      </w:r>
      <w:r w:rsidR="008F5B72">
        <w:rPr>
          <w:lang w:val="en-GB"/>
        </w:rPr>
        <w:t xml:space="preserve"> </w:t>
      </w:r>
      <w:r w:rsidR="00600E33">
        <w:rPr>
          <w:lang w:val="en-GB"/>
        </w:rPr>
        <w:t>indicating availability of soft resources in partition</w:t>
      </w:r>
      <w:r w:rsidR="007E27CC">
        <w:rPr>
          <w:lang w:val="en-GB"/>
        </w:rPr>
        <w:t>s</w:t>
      </w:r>
      <w:r w:rsidR="008F5B72">
        <w:rPr>
          <w:lang w:val="en-GB"/>
        </w:rPr>
        <w:t>.</w:t>
      </w:r>
      <w:r w:rsidR="00C82AE6">
        <w:rPr>
          <w:lang w:val="en-GB"/>
        </w:rPr>
        <w:t xml:space="preserve"> F</w:t>
      </w:r>
      <w:r w:rsidR="00496899">
        <w:rPr>
          <w:lang w:val="en-GB"/>
        </w:rPr>
        <w:t xml:space="preserve">requency-domain AI can </w:t>
      </w:r>
      <w:r w:rsidR="00C82AE6">
        <w:rPr>
          <w:lang w:val="en-GB"/>
        </w:rPr>
        <w:t xml:space="preserve">then </w:t>
      </w:r>
      <w:r w:rsidR="00496899">
        <w:rPr>
          <w:lang w:val="en-GB"/>
        </w:rPr>
        <w:t>be specified to allow IAB node</w:t>
      </w:r>
      <w:r w:rsidR="00E801FE">
        <w:rPr>
          <w:lang w:val="en-GB"/>
        </w:rPr>
        <w:t>s</w:t>
      </w:r>
      <w:r w:rsidR="00496899">
        <w:rPr>
          <w:lang w:val="en-GB"/>
        </w:rPr>
        <w:t xml:space="preserve"> to coordinate with </w:t>
      </w:r>
      <w:r w:rsidR="00E801FE">
        <w:rPr>
          <w:lang w:val="en-GB"/>
        </w:rPr>
        <w:t>their</w:t>
      </w:r>
      <w:r w:rsidR="00496899">
        <w:rPr>
          <w:lang w:val="en-GB"/>
        </w:rPr>
        <w:t xml:space="preserve"> child node</w:t>
      </w:r>
      <w:r w:rsidR="00E801FE">
        <w:rPr>
          <w:lang w:val="en-GB"/>
        </w:rPr>
        <w:t>s</w:t>
      </w:r>
      <w:r w:rsidR="00C124C4">
        <w:rPr>
          <w:lang w:val="en-GB"/>
        </w:rPr>
        <w:t>, locally and dynamically,</w:t>
      </w:r>
      <w:r w:rsidR="00496899">
        <w:rPr>
          <w:lang w:val="en-GB"/>
        </w:rPr>
        <w:t xml:space="preserve"> what resources to use for scheduling.</w:t>
      </w:r>
    </w:p>
    <w:p w14:paraId="55FF5B62" w14:textId="00F6B42C" w:rsidR="00496899" w:rsidRDefault="00C82AE6" w:rsidP="00C82AE6">
      <w:pPr>
        <w:rPr>
          <w:lang w:val="en-GB"/>
        </w:rPr>
      </w:pPr>
      <w:r>
        <w:rPr>
          <w:lang w:val="en-GB"/>
        </w:rPr>
        <w:t xml:space="preserve">Another option for </w:t>
      </w:r>
      <w:r w:rsidR="00496899">
        <w:rPr>
          <w:lang w:val="en-GB"/>
        </w:rPr>
        <w:t xml:space="preserve">frequency-domain </w:t>
      </w:r>
      <w:r>
        <w:rPr>
          <w:lang w:val="en-GB"/>
        </w:rPr>
        <w:t>availability indication</w:t>
      </w:r>
      <w:r w:rsidR="00496899">
        <w:rPr>
          <w:lang w:val="en-GB"/>
        </w:rPr>
        <w:t xml:space="preserve"> </w:t>
      </w:r>
      <w:r>
        <w:rPr>
          <w:lang w:val="en-GB"/>
        </w:rPr>
        <w:t xml:space="preserve">is to apply </w:t>
      </w:r>
      <w:r w:rsidR="00C8614D">
        <w:rPr>
          <w:lang w:val="en-GB"/>
        </w:rPr>
        <w:t>it to (groups of)</w:t>
      </w:r>
      <w:r w:rsidR="00E801FE">
        <w:rPr>
          <w:lang w:val="en-GB"/>
        </w:rPr>
        <w:t xml:space="preserve"> </w:t>
      </w:r>
      <w:r w:rsidR="00496899">
        <w:rPr>
          <w:lang w:val="en-GB"/>
        </w:rPr>
        <w:t>PRBs on soft symbols</w:t>
      </w:r>
      <w:r w:rsidR="00C8614D">
        <w:rPr>
          <w:lang w:val="en-GB"/>
        </w:rPr>
        <w:t xml:space="preserve"> as configured according to Rel-16. This option may be slightly less flexible, but it has advantages. One advantage is that it requires less specification effort for higher layer configurations while still providing flexible resource allocation in the frequency domain. Second, the </w:t>
      </w:r>
      <w:r w:rsidR="00496899">
        <w:rPr>
          <w:lang w:val="en-GB"/>
        </w:rPr>
        <w:t>backward compatib</w:t>
      </w:r>
      <w:r w:rsidR="00C8614D">
        <w:rPr>
          <w:lang w:val="en-GB"/>
        </w:rPr>
        <w:t>ility</w:t>
      </w:r>
      <w:r w:rsidR="00496899">
        <w:rPr>
          <w:lang w:val="en-GB"/>
        </w:rPr>
        <w:t xml:space="preserve"> with IAB Rel-16 resource configurations</w:t>
      </w:r>
      <w:r w:rsidR="00C8614D">
        <w:rPr>
          <w:lang w:val="en-GB"/>
        </w:rPr>
        <w:t xml:space="preserve"> allows </w:t>
      </w:r>
      <w:r w:rsidR="00FA029F">
        <w:rPr>
          <w:lang w:val="en-GB"/>
        </w:rPr>
        <w:t xml:space="preserve">a convenient operation of IAB systems with mixed Rel-16 and Rel-17 IAB nodes – frequency-domain availability indication </w:t>
      </w:r>
      <w:r w:rsidR="00C8614D">
        <w:rPr>
          <w:lang w:val="en-GB"/>
        </w:rPr>
        <w:t xml:space="preserve">can be used </w:t>
      </w:r>
      <w:r w:rsidR="00FA029F">
        <w:rPr>
          <w:lang w:val="en-GB"/>
        </w:rPr>
        <w:t xml:space="preserve">only </w:t>
      </w:r>
      <w:r w:rsidR="00C8614D">
        <w:rPr>
          <w:lang w:val="en-GB"/>
        </w:rPr>
        <w:t>‘</w:t>
      </w:r>
      <w:r w:rsidR="00FA029F">
        <w:rPr>
          <w:lang w:val="en-GB"/>
        </w:rPr>
        <w:t>locally</w:t>
      </w:r>
      <w:r w:rsidR="00C8614D">
        <w:rPr>
          <w:lang w:val="en-GB"/>
        </w:rPr>
        <w:t>’</w:t>
      </w:r>
      <w:r w:rsidR="00FA029F">
        <w:rPr>
          <w:lang w:val="en-GB"/>
        </w:rPr>
        <w:t xml:space="preserve"> </w:t>
      </w:r>
      <w:r w:rsidR="00C8614D">
        <w:rPr>
          <w:lang w:val="en-GB"/>
        </w:rPr>
        <w:t xml:space="preserve">by lower layer signalling </w:t>
      </w:r>
      <w:r w:rsidR="00FA029F">
        <w:rPr>
          <w:lang w:val="en-GB"/>
        </w:rPr>
        <w:t xml:space="preserve">when </w:t>
      </w:r>
      <w:r w:rsidR="00C8614D">
        <w:rPr>
          <w:lang w:val="en-GB"/>
        </w:rPr>
        <w:t>the</w:t>
      </w:r>
      <w:r w:rsidR="00FA029F">
        <w:rPr>
          <w:lang w:val="en-GB"/>
        </w:rPr>
        <w:t xml:space="preserve"> IAB node and its child node both support </w:t>
      </w:r>
      <w:r w:rsidR="00C8614D">
        <w:rPr>
          <w:lang w:val="en-GB"/>
        </w:rPr>
        <w:t>non-TDM operation</w:t>
      </w:r>
      <w:r w:rsidR="00FA029F">
        <w:rPr>
          <w:lang w:val="en-GB"/>
        </w:rPr>
        <w:t>.</w:t>
      </w:r>
    </w:p>
    <w:p w14:paraId="7801F057" w14:textId="5B0EF3CA" w:rsidR="00FA029F" w:rsidRDefault="00FA029F" w:rsidP="00496899">
      <w:pPr>
        <w:rPr>
          <w:lang w:val="en-GB"/>
        </w:rPr>
      </w:pPr>
      <w:r>
        <w:rPr>
          <w:lang w:val="en-GB"/>
        </w:rPr>
        <w:t xml:space="preserve">Frequency-domain duplexing may also be enabled by proper configuration and activation of bandwidth parts so as to avoid resource overlaps among adjacent hops, </w:t>
      </w:r>
      <w:r w:rsidR="00B915BE">
        <w:rPr>
          <w:lang w:val="en-GB"/>
        </w:rPr>
        <w:t>fulfil guard band requirements, avoid cross-link interference, and so on</w:t>
      </w:r>
      <w:r>
        <w:rPr>
          <w:lang w:val="en-GB"/>
        </w:rPr>
        <w:t>.</w:t>
      </w:r>
    </w:p>
    <w:p w14:paraId="46964A89" w14:textId="77777777" w:rsidR="00573A84" w:rsidRDefault="00573A84" w:rsidP="00573A84">
      <w:pPr>
        <w:pStyle w:val="Proposal"/>
        <w:rPr>
          <w:lang w:val="en-GB"/>
        </w:rPr>
      </w:pPr>
      <w:bookmarkStart w:id="22" w:name="_Ref54309442"/>
      <w:bookmarkStart w:id="23" w:name="_Toc54311501"/>
      <w:bookmarkStart w:id="24" w:name="_Toc54311601"/>
      <w:bookmarkStart w:id="25" w:name="_Toc54311796"/>
      <w:bookmarkStart w:id="26" w:name="_Toc54332049"/>
      <w:bookmarkStart w:id="27" w:name="_Toc54332727"/>
      <w:bookmarkStart w:id="28" w:name="_Toc54332771"/>
      <w:bookmarkStart w:id="29" w:name="_Toc54332813"/>
      <w:bookmarkStart w:id="30" w:name="_Toc54336713"/>
      <w:bookmarkStart w:id="31" w:name="_Toc54336874"/>
      <w:bookmarkStart w:id="32" w:name="_Toc54341451"/>
      <w:bookmarkStart w:id="33" w:name="_Toc54341509"/>
      <w:bookmarkStart w:id="34" w:name="_Toc54345798"/>
      <w:bookmarkStart w:id="35" w:name="_Toc54393515"/>
      <w:bookmarkStart w:id="36" w:name="_Toc54393576"/>
      <w:bookmarkStart w:id="37" w:name="_Toc54393715"/>
      <w:bookmarkStart w:id="38" w:name="_Toc61520641"/>
      <w:bookmarkStart w:id="39" w:name="_Toc61536507"/>
      <w:bookmarkStart w:id="40" w:name="_Toc61541287"/>
      <w:bookmarkStart w:id="41" w:name="_Toc61541339"/>
      <w:bookmarkStart w:id="42" w:name="_Toc61544630"/>
      <w:bookmarkStart w:id="43" w:name="_Toc61547543"/>
      <w:bookmarkStart w:id="44" w:name="_Toc61559088"/>
      <w:bookmarkStart w:id="45" w:name="_Toc61559325"/>
      <w:bookmarkStart w:id="46" w:name="_Toc61854471"/>
      <w:bookmarkStart w:id="47" w:name="_Toc61858376"/>
      <w:bookmarkStart w:id="48" w:name="_Toc61858810"/>
      <w:bookmarkStart w:id="49" w:name="_Toc61859141"/>
      <w:bookmarkStart w:id="50" w:name="_Toc54311502"/>
      <w:bookmarkStart w:id="51" w:name="_Toc54311602"/>
      <w:bookmarkStart w:id="52" w:name="_Toc54311797"/>
      <w:bookmarkStart w:id="53" w:name="_Toc54332050"/>
      <w:bookmarkStart w:id="54" w:name="_Toc54332728"/>
      <w:bookmarkStart w:id="55" w:name="_Toc54332772"/>
      <w:bookmarkStart w:id="56" w:name="_Toc54332814"/>
      <w:bookmarkStart w:id="57" w:name="_Toc54336714"/>
      <w:bookmarkStart w:id="58" w:name="_Toc54336875"/>
      <w:bookmarkStart w:id="59" w:name="_Toc54341452"/>
      <w:bookmarkStart w:id="60" w:name="_Toc54341510"/>
      <w:bookmarkStart w:id="61" w:name="_Toc54345799"/>
      <w:bookmarkStart w:id="62" w:name="_Toc54393516"/>
      <w:bookmarkStart w:id="63" w:name="_Toc54393577"/>
      <w:bookmarkStart w:id="64" w:name="_Toc54393716"/>
      <w:bookmarkStart w:id="65" w:name="_Toc61520642"/>
      <w:bookmarkStart w:id="66" w:name="_Toc61536508"/>
      <w:bookmarkStart w:id="67" w:name="_Toc61541288"/>
      <w:bookmarkStart w:id="68" w:name="_Toc61541340"/>
      <w:bookmarkStart w:id="69" w:name="_Toc61544631"/>
      <w:bookmarkStart w:id="70" w:name="_Toc61547544"/>
      <w:bookmarkStart w:id="71" w:name="_Toc61559089"/>
      <w:bookmarkStart w:id="72" w:name="_Toc61559326"/>
      <w:bookmarkStart w:id="73" w:name="_Toc61854472"/>
      <w:bookmarkStart w:id="74" w:name="_Toc61895535"/>
      <w:bookmarkStart w:id="75" w:name="_Toc61895637"/>
      <w:r w:rsidRPr="006F5FAA">
        <w:t>Support</w:t>
      </w:r>
      <w:r>
        <w:rPr>
          <w:lang w:val="en-GB"/>
        </w:rPr>
        <w:t xml:space="preserve"> semi-static resource configuration in time and frequency domains.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74"/>
      <w:bookmarkEnd w:id="75"/>
    </w:p>
    <w:p w14:paraId="7CFB7242" w14:textId="7FE7A4DD" w:rsidR="00C8614D" w:rsidRDefault="00FA029F" w:rsidP="00C8614D">
      <w:pPr>
        <w:pStyle w:val="Proposal"/>
      </w:pPr>
      <w:bookmarkStart w:id="76" w:name="_Toc61858377"/>
      <w:bookmarkStart w:id="77" w:name="_Toc61858811"/>
      <w:bookmarkStart w:id="78" w:name="_Toc61859142"/>
      <w:bookmarkStart w:id="79" w:name="_Toc61895536"/>
      <w:bookmarkStart w:id="80" w:name="_Toc61895638"/>
      <w:r>
        <w:t>Extend</w:t>
      </w:r>
      <w:r w:rsidR="00496899">
        <w:t xml:space="preserve"> availability indication</w:t>
      </w:r>
      <w:r>
        <w:t xml:space="preserve"> to</w:t>
      </w:r>
      <w:r w:rsidR="00496899">
        <w:t xml:space="preserve"> the frequen</w:t>
      </w:r>
      <w:r w:rsidR="001132E9">
        <w:t>c</w:t>
      </w:r>
      <w:r w:rsidR="00496899">
        <w:t>y domain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6"/>
      <w:bookmarkEnd w:id="77"/>
      <w:r w:rsidR="001059E6">
        <w:t>.</w:t>
      </w:r>
      <w:bookmarkEnd w:id="78"/>
      <w:bookmarkEnd w:id="79"/>
      <w:bookmarkEnd w:id="80"/>
    </w:p>
    <w:p w14:paraId="09232AD9" w14:textId="6EBB2243" w:rsidR="00C8614D" w:rsidRDefault="00C8614D" w:rsidP="001059E6">
      <w:pPr>
        <w:pStyle w:val="Proposal"/>
        <w:numPr>
          <w:ilvl w:val="0"/>
          <w:numId w:val="0"/>
        </w:numPr>
      </w:pPr>
      <w:bookmarkStart w:id="81" w:name="_Toc61858378"/>
      <w:bookmarkStart w:id="82" w:name="_Toc61858812"/>
      <w:bookmarkStart w:id="83" w:name="_Toc61859143"/>
      <w:bookmarkStart w:id="84" w:name="_Toc61895537"/>
      <w:bookmarkStart w:id="85" w:name="_Toc61895639"/>
      <w:r>
        <w:t>Option 1</w:t>
      </w:r>
      <w:r w:rsidR="0063729A">
        <w:t xml:space="preserve"> (higher flexibility)</w:t>
      </w:r>
      <w:r>
        <w:t xml:space="preserve">: </w:t>
      </w:r>
      <w:r w:rsidR="0010458A">
        <w:t>Extend H/S/NA configurations and availability indication to the frequency domain.</w:t>
      </w:r>
      <w:bookmarkEnd w:id="81"/>
      <w:bookmarkEnd w:id="82"/>
      <w:bookmarkEnd w:id="83"/>
      <w:bookmarkEnd w:id="84"/>
      <w:bookmarkEnd w:id="85"/>
    </w:p>
    <w:p w14:paraId="67B7F3B3" w14:textId="7B4BF6A4" w:rsidR="0010458A" w:rsidRPr="00C8614D" w:rsidRDefault="0010458A" w:rsidP="001059E6">
      <w:pPr>
        <w:pStyle w:val="Proposal"/>
        <w:numPr>
          <w:ilvl w:val="0"/>
          <w:numId w:val="0"/>
        </w:numPr>
      </w:pPr>
      <w:bookmarkStart w:id="86" w:name="_Toc61858379"/>
      <w:bookmarkStart w:id="87" w:name="_Toc61858813"/>
      <w:bookmarkStart w:id="88" w:name="_Toc61859144"/>
      <w:bookmarkStart w:id="89" w:name="_Toc61895538"/>
      <w:bookmarkStart w:id="90" w:name="_Toc61895640"/>
      <w:r>
        <w:t>Option 2</w:t>
      </w:r>
      <w:r w:rsidR="0063729A">
        <w:t xml:space="preserve"> (better coexistence)</w:t>
      </w:r>
      <w:r>
        <w:t>: Support frequency-domain availability indication on soft symbols.</w:t>
      </w:r>
      <w:bookmarkEnd w:id="86"/>
      <w:bookmarkEnd w:id="87"/>
      <w:bookmarkEnd w:id="88"/>
      <w:bookmarkEnd w:id="89"/>
      <w:bookmarkEnd w:id="90"/>
    </w:p>
    <w:p w14:paraId="20758501" w14:textId="391C444D" w:rsidR="006120D1" w:rsidRDefault="006120D1" w:rsidP="006120D1">
      <w:pPr>
        <w:rPr>
          <w:lang w:val="en-GB"/>
        </w:rPr>
      </w:pPr>
      <w:r>
        <w:rPr>
          <w:lang w:val="en-GB"/>
        </w:rPr>
        <w:t xml:space="preserve">In IAB Rel-16, it was specified to allow the IAB-DU to use a soft </w:t>
      </w:r>
      <w:r w:rsidR="00552EC0">
        <w:rPr>
          <w:lang w:val="en-GB"/>
        </w:rPr>
        <w:t>symbol</w:t>
      </w:r>
      <w:r>
        <w:rPr>
          <w:lang w:val="en-GB"/>
        </w:rPr>
        <w:t xml:space="preserve"> only if</w:t>
      </w:r>
    </w:p>
    <w:p w14:paraId="577C4BE2" w14:textId="39D2F876" w:rsidR="006120D1" w:rsidRPr="00552EC0" w:rsidRDefault="006120D1" w:rsidP="006120D1">
      <w:pPr>
        <w:pStyle w:val="B1"/>
        <w:numPr>
          <w:ilvl w:val="0"/>
          <w:numId w:val="44"/>
        </w:numPr>
        <w:rPr>
          <w:i/>
          <w:iCs/>
        </w:rPr>
      </w:pPr>
      <w:r w:rsidRPr="00552EC0">
        <w:rPr>
          <w:i/>
          <w:iCs/>
        </w:rPr>
        <w:t>the IAB-MT does not transmit or receive in the symbol, or</w:t>
      </w:r>
    </w:p>
    <w:p w14:paraId="5677F2BE" w14:textId="2A6EB0FC" w:rsidR="006120D1" w:rsidRPr="00552EC0" w:rsidRDefault="006120D1" w:rsidP="006120D1">
      <w:pPr>
        <w:pStyle w:val="B1"/>
        <w:numPr>
          <w:ilvl w:val="0"/>
          <w:numId w:val="44"/>
        </w:numPr>
        <w:rPr>
          <w:i/>
          <w:iCs/>
        </w:rPr>
      </w:pPr>
      <w:r w:rsidRPr="00552EC0">
        <w:rPr>
          <w:i/>
          <w:iCs/>
        </w:rPr>
        <w:t>the IAB-MT would transmit or receive in the symbol, and the transmission or reception in the symbol is not changed due to a use of the symbol by the IAB-DU, or</w:t>
      </w:r>
    </w:p>
    <w:p w14:paraId="52A85477" w14:textId="54101567" w:rsidR="006120D1" w:rsidRPr="00552EC0" w:rsidRDefault="006120D1" w:rsidP="006120D1">
      <w:pPr>
        <w:pStyle w:val="B1"/>
        <w:numPr>
          <w:ilvl w:val="0"/>
          <w:numId w:val="44"/>
        </w:numPr>
        <w:rPr>
          <w:i/>
          <w:iCs/>
        </w:rPr>
      </w:pPr>
      <w:r w:rsidRPr="00552EC0">
        <w:rPr>
          <w:i/>
          <w:iCs/>
        </w:rPr>
        <w:t xml:space="preserve">the IAB-MT detects a DCI format 2_5 with an </w:t>
      </w:r>
      <w:r w:rsidRPr="00552EC0">
        <w:rPr>
          <w:i/>
          <w:iCs/>
          <w:lang w:eastAsia="zh-CN"/>
        </w:rPr>
        <w:t xml:space="preserve">AI index field value </w:t>
      </w:r>
      <w:r w:rsidRPr="00552EC0">
        <w:rPr>
          <w:i/>
          <w:iCs/>
        </w:rPr>
        <w:t>indicating the soft symbol as available.</w:t>
      </w:r>
    </w:p>
    <w:p w14:paraId="1EBD3339" w14:textId="77777777" w:rsidR="006120D1" w:rsidRDefault="006120D1" w:rsidP="006120D1">
      <w:pPr>
        <w:rPr>
          <w:lang w:val="en-GB"/>
        </w:rPr>
      </w:pPr>
      <w:r>
        <w:rPr>
          <w:lang w:val="en-GB"/>
        </w:rPr>
        <w:t>The first condition is for IAB nodes capable of performing TDM only. The second condition is applicable to enhanced IAB nodes capable of FDM and/or SDM to perform non-TDM multiplexing on a best-effort basis. The third condition allows the IAB node to use resources for communication with a child node without a concern for multiplexing constraints.</w:t>
      </w:r>
    </w:p>
    <w:p w14:paraId="5B62CAF3" w14:textId="314C438C" w:rsidR="006120D1" w:rsidRDefault="006120D1" w:rsidP="006120D1">
      <w:pPr>
        <w:rPr>
          <w:lang w:val="en-GB"/>
        </w:rPr>
      </w:pPr>
      <w:r>
        <w:rPr>
          <w:lang w:val="en-GB"/>
        </w:rPr>
        <w:t>The above specification works well for TDM between upstream and downstream communications – the IAB node receives explicit indication of availability of soft resources in a guaranteed manner, while it can still perform non-TDM multiplexing based on a best-effort approach. That, however, is not sufficient for enhanced duplexing. On the one hand, the best-effort approach for non-TDM mode of operation does not guarantee a performance improvement, and on the other hand, relying on the IAB node’s capability to perform non-TDM operations may change frequently and unpredictably in the presence of varying beam, power, and interference and in the presence of timing alignment constraints.</w:t>
      </w:r>
    </w:p>
    <w:p w14:paraId="7810C3C9" w14:textId="77777777" w:rsidR="006120D1" w:rsidRDefault="006120D1" w:rsidP="006120D1">
      <w:pPr>
        <w:pStyle w:val="Observation"/>
      </w:pPr>
      <w:bookmarkStart w:id="91" w:name="_Toc61541141"/>
      <w:bookmarkStart w:id="92" w:name="_Toc61541301"/>
      <w:bookmarkStart w:id="93" w:name="_Toc61544527"/>
      <w:bookmarkStart w:id="94" w:name="_Toc61544619"/>
      <w:bookmarkStart w:id="95" w:name="_Toc61544625"/>
      <w:bookmarkStart w:id="96" w:name="_Toc61544696"/>
      <w:bookmarkStart w:id="97" w:name="_Toc61547537"/>
      <w:bookmarkStart w:id="98" w:name="_Toc61559096"/>
      <w:bookmarkStart w:id="99" w:name="_Toc61559319"/>
      <w:bookmarkStart w:id="100" w:name="_Toc61854477"/>
      <w:bookmarkStart w:id="101" w:name="_Toc61895527"/>
      <w:bookmarkStart w:id="102" w:name="_Toc61895645"/>
      <w:r w:rsidRPr="00F42C2D">
        <w:lastRenderedPageBreak/>
        <w:t>The best-effort approach is insufficient for non-TDM operation in the presence of varying beam, power, interference, and timing alignment constraints.</w:t>
      </w:r>
      <w:bookmarkEnd w:id="91"/>
      <w:bookmarkEnd w:id="92"/>
      <w:bookmarkEnd w:id="93"/>
      <w:bookmarkEnd w:id="94"/>
      <w:bookmarkEnd w:id="95"/>
      <w:bookmarkEnd w:id="96"/>
      <w:bookmarkEnd w:id="97"/>
      <w:bookmarkEnd w:id="98"/>
      <w:bookmarkEnd w:id="99"/>
      <w:bookmarkEnd w:id="100"/>
      <w:bookmarkEnd w:id="101"/>
      <w:bookmarkEnd w:id="102"/>
    </w:p>
    <w:p w14:paraId="3633EB5C" w14:textId="77777777" w:rsidR="006120D1" w:rsidRDefault="006120D1" w:rsidP="006120D1">
      <w:pPr>
        <w:pStyle w:val="Observation"/>
      </w:pPr>
      <w:bookmarkStart w:id="103" w:name="_Toc61541142"/>
      <w:bookmarkStart w:id="104" w:name="_Toc61541302"/>
      <w:bookmarkStart w:id="105" w:name="_Toc61544528"/>
      <w:bookmarkStart w:id="106" w:name="_Toc61544620"/>
      <w:bookmarkStart w:id="107" w:name="_Toc61544626"/>
      <w:bookmarkStart w:id="108" w:name="_Toc61544697"/>
      <w:bookmarkStart w:id="109" w:name="_Toc61547538"/>
      <w:bookmarkStart w:id="110" w:name="_Toc61559097"/>
      <w:bookmarkStart w:id="111" w:name="_Toc61559320"/>
      <w:bookmarkStart w:id="112" w:name="_Toc61854478"/>
      <w:bookmarkStart w:id="113" w:name="_Toc61895528"/>
      <w:bookmarkStart w:id="114" w:name="_Toc61895646"/>
      <w:r>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bookmarkEnd w:id="103"/>
      <w:bookmarkEnd w:id="104"/>
      <w:bookmarkEnd w:id="105"/>
      <w:bookmarkEnd w:id="106"/>
      <w:bookmarkEnd w:id="107"/>
      <w:bookmarkEnd w:id="108"/>
      <w:bookmarkEnd w:id="109"/>
      <w:bookmarkEnd w:id="110"/>
      <w:bookmarkEnd w:id="111"/>
      <w:bookmarkEnd w:id="112"/>
      <w:bookmarkEnd w:id="113"/>
      <w:bookmarkEnd w:id="114"/>
    </w:p>
    <w:p w14:paraId="1E7ECBE4" w14:textId="7A838C3B" w:rsidR="003D1529" w:rsidRDefault="006120D1" w:rsidP="006120D1">
      <w:pPr>
        <w:rPr>
          <w:lang w:val="en-GB"/>
        </w:rPr>
      </w:pPr>
      <w:r>
        <w:rPr>
          <w:lang w:val="en-GB"/>
        </w:rPr>
        <w:t xml:space="preserve">Therefore, we propose to </w:t>
      </w:r>
      <w:r w:rsidR="005A2219">
        <w:rPr>
          <w:lang w:val="en-GB"/>
        </w:rPr>
        <w:t xml:space="preserve">support availability indication of soft resources </w:t>
      </w:r>
      <w:r>
        <w:rPr>
          <w:lang w:val="en-GB"/>
        </w:rPr>
        <w:t>where</w:t>
      </w:r>
      <w:r w:rsidR="00552EC0">
        <w:rPr>
          <w:lang w:val="en-GB"/>
        </w:rPr>
        <w:t>by</w:t>
      </w:r>
      <w:r>
        <w:rPr>
          <w:lang w:val="en-GB"/>
        </w:rPr>
        <w:t xml:space="preserve"> the IAB node can use </w:t>
      </w:r>
      <w:r w:rsidR="005A2219">
        <w:rPr>
          <w:lang w:val="en-GB"/>
        </w:rPr>
        <w:t xml:space="preserve">the </w:t>
      </w:r>
      <w:r>
        <w:rPr>
          <w:lang w:val="en-GB"/>
        </w:rPr>
        <w:t xml:space="preserve">soft resources only </w:t>
      </w:r>
      <w:r w:rsidR="00552EC0">
        <w:rPr>
          <w:lang w:val="en-GB"/>
        </w:rPr>
        <w:t>when</w:t>
      </w:r>
      <w:r>
        <w:rPr>
          <w:lang w:val="en-GB"/>
        </w:rPr>
        <w:t xml:space="preserve"> it is able to perform non-TDM with an IAB-MT operation.</w:t>
      </w:r>
    </w:p>
    <w:p w14:paraId="1D13BA3A" w14:textId="662D0DFA" w:rsidR="006120D1" w:rsidRPr="00D50931" w:rsidRDefault="006120D1" w:rsidP="006120D1">
      <w:pPr>
        <w:pStyle w:val="Proposal"/>
        <w:rPr>
          <w:lang w:val="en-GB"/>
        </w:rPr>
      </w:pPr>
      <w:bookmarkStart w:id="115" w:name="_Toc61541285"/>
      <w:bookmarkStart w:id="116" w:name="_Toc61541337"/>
      <w:bookmarkStart w:id="117" w:name="_Toc61544628"/>
      <w:bookmarkStart w:id="118" w:name="_Toc61547545"/>
      <w:bookmarkStart w:id="119" w:name="_Toc61559090"/>
      <w:bookmarkStart w:id="120" w:name="_Toc61559327"/>
      <w:bookmarkStart w:id="121" w:name="_Toc61854473"/>
      <w:bookmarkStart w:id="122" w:name="_Toc61858380"/>
      <w:bookmarkStart w:id="123" w:name="_Toc61858814"/>
      <w:bookmarkStart w:id="124" w:name="_Toc61859145"/>
      <w:bookmarkStart w:id="125" w:name="_Toc61895539"/>
      <w:bookmarkStart w:id="126" w:name="_Toc61895641"/>
      <w:r>
        <w:rPr>
          <w:lang w:val="en-GB"/>
        </w:rPr>
        <w:t xml:space="preserve">Support conditional availability indication as a </w:t>
      </w:r>
      <w:r w:rsidR="00163EAD">
        <w:rPr>
          <w:lang w:val="en-GB"/>
        </w:rPr>
        <w:t xml:space="preserve">balance </w:t>
      </w:r>
      <w:r>
        <w:rPr>
          <w:lang w:val="en-GB"/>
        </w:rPr>
        <w:t xml:space="preserve">between best-effort non-TDM and </w:t>
      </w:r>
      <w:r w:rsidR="005A2219">
        <w:rPr>
          <w:lang w:val="en-GB"/>
        </w:rPr>
        <w:t xml:space="preserve">existing </w:t>
      </w:r>
      <w:r>
        <w:rPr>
          <w:lang w:val="en-GB"/>
        </w:rPr>
        <w:t>availability indication.</w:t>
      </w:r>
      <w:bookmarkEnd w:id="115"/>
      <w:bookmarkEnd w:id="116"/>
      <w:bookmarkEnd w:id="117"/>
      <w:bookmarkEnd w:id="118"/>
      <w:bookmarkEnd w:id="119"/>
      <w:bookmarkEnd w:id="120"/>
      <w:bookmarkEnd w:id="121"/>
      <w:bookmarkEnd w:id="122"/>
      <w:bookmarkEnd w:id="123"/>
      <w:bookmarkEnd w:id="124"/>
      <w:bookmarkEnd w:id="125"/>
      <w:bookmarkEnd w:id="126"/>
    </w:p>
    <w:p w14:paraId="4F12D4AB" w14:textId="77777777" w:rsidR="006120D1" w:rsidRPr="006120D1" w:rsidRDefault="006120D1" w:rsidP="006120D1"/>
    <w:p w14:paraId="73DB5A94" w14:textId="246F4CFF" w:rsidR="004E2463" w:rsidRDefault="005840CB" w:rsidP="004E2463">
      <w:pPr>
        <w:pStyle w:val="Heading2"/>
      </w:pPr>
      <w:r>
        <w:t>Applicability and i</w:t>
      </w:r>
      <w:r w:rsidR="004E2463">
        <w:t xml:space="preserve">mplementation </w:t>
      </w:r>
      <w:r>
        <w:t>considerations</w:t>
      </w:r>
    </w:p>
    <w:p w14:paraId="2DAD9F90" w14:textId="27042BD2" w:rsidR="006120D1" w:rsidRDefault="006120D1" w:rsidP="006120D1">
      <w:pPr>
        <w:rPr>
          <w:lang w:val="en-GB"/>
        </w:rPr>
      </w:pPr>
      <w:r>
        <w:rPr>
          <w:lang w:val="en-GB"/>
        </w:rPr>
        <w:t>The following was agreed in the previous meeting:</w:t>
      </w:r>
    </w:p>
    <w:tbl>
      <w:tblPr>
        <w:tblStyle w:val="TableGrid"/>
        <w:tblW w:w="0" w:type="auto"/>
        <w:tblLook w:val="04A0" w:firstRow="1" w:lastRow="0" w:firstColumn="1" w:lastColumn="0" w:noHBand="0" w:noVBand="1"/>
      </w:tblPr>
      <w:tblGrid>
        <w:gridCol w:w="9855"/>
      </w:tblGrid>
      <w:tr w:rsidR="006120D1" w14:paraId="4A95125F" w14:textId="77777777" w:rsidTr="006120D1">
        <w:tc>
          <w:tcPr>
            <w:tcW w:w="9855" w:type="dxa"/>
          </w:tcPr>
          <w:p w14:paraId="53EE9569" w14:textId="77777777" w:rsidR="006120D1" w:rsidRDefault="006120D1" w:rsidP="006120D1">
            <w:pPr>
              <w:rPr>
                <w:rFonts w:eastAsia="Calibri" w:cs="Times"/>
                <w:b/>
                <w:bCs/>
                <w:szCs w:val="20"/>
                <w:highlight w:val="green"/>
              </w:rPr>
            </w:pPr>
            <w:r>
              <w:rPr>
                <w:rFonts w:eastAsia="Calibri" w:cs="Times"/>
                <w:b/>
                <w:bCs/>
                <w:szCs w:val="20"/>
                <w:highlight w:val="green"/>
              </w:rPr>
              <w:t>Agreement</w:t>
            </w:r>
          </w:p>
          <w:p w14:paraId="02E6C141" w14:textId="77777777" w:rsidR="006120D1" w:rsidRDefault="006120D1" w:rsidP="006120D1">
            <w:pPr>
              <w:rPr>
                <w:rFonts w:eastAsia="Batang"/>
                <w:lang w:eastAsia="x-none"/>
              </w:rPr>
            </w:pPr>
            <w:r>
              <w:rPr>
                <w:lang w:eastAsia="x-none"/>
              </w:rPr>
              <w:t>Further consider different applicability restrictions/conditions for simultaneous operation multiplexing cases:</w:t>
            </w:r>
          </w:p>
          <w:p w14:paraId="69908180" w14:textId="77777777" w:rsidR="006120D1" w:rsidRDefault="006120D1" w:rsidP="006120D1">
            <w:pPr>
              <w:pStyle w:val="ListParagraph"/>
              <w:numPr>
                <w:ilvl w:val="0"/>
                <w:numId w:val="42"/>
              </w:numPr>
              <w:spacing w:before="0" w:after="0" w:line="240" w:lineRule="auto"/>
              <w:textAlignment w:val="baseline"/>
              <w:rPr>
                <w:rFonts w:eastAsia="Calibri" w:cs="Times"/>
                <w:color w:val="000000"/>
              </w:rPr>
            </w:pPr>
            <w:r>
              <w:rPr>
                <w:rFonts w:eastAsia="Calibri" w:cs="Times"/>
                <w:color w:val="000000"/>
              </w:rPr>
              <w:t>FFS: Whether a given case is only applicable for certain resource types or combinations: e.g. DL access, DL backhaul, UL access, UL backhaul</w:t>
            </w:r>
          </w:p>
          <w:p w14:paraId="67C4EFC1" w14:textId="77777777" w:rsidR="006120D1" w:rsidRDefault="006120D1" w:rsidP="006120D1">
            <w:pPr>
              <w:pStyle w:val="ListParagraph"/>
              <w:numPr>
                <w:ilvl w:val="0"/>
                <w:numId w:val="42"/>
              </w:numPr>
              <w:spacing w:before="0" w:after="0" w:line="240" w:lineRule="auto"/>
              <w:textAlignment w:val="baseline"/>
              <w:rPr>
                <w:rFonts w:eastAsia="Calibri" w:cs="Times"/>
                <w:color w:val="000000"/>
              </w:rPr>
            </w:pPr>
            <w:r>
              <w:rPr>
                <w:rFonts w:eastAsia="Calibri" w:cs="Times"/>
                <w:color w:val="000000"/>
              </w:rPr>
              <w:t>FFS: Network (including parent node) awareness of a child IAB node’s ability to support simultaneous operation due to short-term and long-term factors including panel selection, interference, timing, transmit power, capability indication etc.</w:t>
            </w:r>
          </w:p>
          <w:p w14:paraId="092EB14F" w14:textId="77777777" w:rsidR="006120D1" w:rsidRDefault="006120D1" w:rsidP="006120D1">
            <w:pPr>
              <w:pStyle w:val="ListParagraph"/>
              <w:numPr>
                <w:ilvl w:val="0"/>
                <w:numId w:val="42"/>
              </w:numPr>
              <w:spacing w:before="0" w:after="0" w:line="240" w:lineRule="auto"/>
              <w:textAlignment w:val="baseline"/>
              <w:rPr>
                <w:rFonts w:eastAsia="Calibri" w:cs="Times"/>
                <w:color w:val="000000"/>
              </w:rPr>
            </w:pPr>
            <w:r>
              <w:rPr>
                <w:rFonts w:eastAsia="Calibri" w:cs="Times"/>
                <w:color w:val="000000"/>
              </w:rPr>
              <w:t>FFS: Necessary differentiation for paired spectrum vs. unpaired spectrum</w:t>
            </w:r>
          </w:p>
          <w:p w14:paraId="5F54D048" w14:textId="77777777" w:rsidR="006120D1" w:rsidRDefault="006120D1" w:rsidP="006120D1">
            <w:pPr>
              <w:pStyle w:val="ListParagraph"/>
              <w:numPr>
                <w:ilvl w:val="0"/>
                <w:numId w:val="42"/>
              </w:numPr>
              <w:spacing w:before="0" w:after="0" w:line="240" w:lineRule="auto"/>
              <w:textAlignment w:val="baseline"/>
              <w:rPr>
                <w:rFonts w:eastAsia="Calibri" w:cs="Times"/>
                <w:color w:val="000000"/>
              </w:rPr>
            </w:pPr>
            <w:r>
              <w:rPr>
                <w:rFonts w:eastAsia="Calibri" w:cs="Times"/>
                <w:color w:val="000000"/>
              </w:rPr>
              <w:t>FFS: Whether specific enhancements are defined for full-duplex cases vs. being left to implementation (as in Rel-16)</w:t>
            </w:r>
          </w:p>
          <w:p w14:paraId="48A3AF9E" w14:textId="2C2A922C" w:rsidR="006120D1" w:rsidRPr="006120D1" w:rsidRDefault="006120D1" w:rsidP="006120D1">
            <w:pPr>
              <w:pStyle w:val="ListParagraph"/>
              <w:numPr>
                <w:ilvl w:val="0"/>
                <w:numId w:val="42"/>
              </w:numPr>
              <w:spacing w:before="0" w:after="0" w:line="240" w:lineRule="auto"/>
              <w:textAlignment w:val="baseline"/>
              <w:rPr>
                <w:rFonts w:eastAsia="Calibri" w:cs="Times"/>
                <w:color w:val="000000"/>
              </w:rPr>
            </w:pPr>
            <w:r>
              <w:rPr>
                <w:rFonts w:eastAsia="Calibri" w:cs="Times"/>
                <w:color w:val="000000"/>
              </w:rPr>
              <w:t>Note: There should not be any impact on legacy UE behavior</w:t>
            </w:r>
          </w:p>
        </w:tc>
      </w:tr>
    </w:tbl>
    <w:p w14:paraId="7EF81444" w14:textId="35DCB5BC" w:rsidR="004E2463" w:rsidRDefault="004E2463" w:rsidP="004E2463">
      <w:pPr>
        <w:rPr>
          <w:lang w:val="en-GB"/>
        </w:rPr>
      </w:pPr>
    </w:p>
    <w:p w14:paraId="6F34BC6B" w14:textId="5A9C882B" w:rsidR="00A25FDF" w:rsidRDefault="00A25FDF" w:rsidP="004E2463">
      <w:pPr>
        <w:rPr>
          <w:lang w:val="en-GB"/>
        </w:rPr>
      </w:pPr>
      <w:r>
        <w:rPr>
          <w:lang w:val="en-GB"/>
        </w:rPr>
        <w:t>As agreed in the past meeting, Case A (simultaneous transmission) and Case B (simultaneous reception) are considered for both single-panel and multi-panel IAB nodes. For these two cases, multi-panel IAB nodes are expected to impose less stringent requirements on baseband timing alignment. If the goal is to avoid any overlap between a transmission on one panel and a reception on another panel, even at symbol boundaries, the matter can be handled by allocating guard symbols between DL and UL resources.</w:t>
      </w:r>
    </w:p>
    <w:p w14:paraId="47526074" w14:textId="697E1F9C" w:rsidR="000B219A" w:rsidRDefault="00A25FDF" w:rsidP="000B219A">
      <w:pPr>
        <w:rPr>
          <w:lang w:val="en-GB"/>
        </w:rPr>
      </w:pPr>
      <w:r>
        <w:rPr>
          <w:lang w:val="en-GB"/>
        </w:rPr>
        <w:t xml:space="preserve">However, </w:t>
      </w:r>
      <w:r w:rsidR="00296EDF">
        <w:rPr>
          <w:lang w:val="en-GB"/>
        </w:rPr>
        <w:t xml:space="preserve">an </w:t>
      </w:r>
      <w:r>
        <w:rPr>
          <w:lang w:val="en-GB"/>
        </w:rPr>
        <w:t>IAB node</w:t>
      </w:r>
      <w:r w:rsidR="00296EDF">
        <w:rPr>
          <w:lang w:val="en-GB"/>
        </w:rPr>
        <w:t xml:space="preserve"> with a single panel/RF frontend, shared between IAB-MT and IAB-DU,</w:t>
      </w:r>
      <w:r>
        <w:rPr>
          <w:lang w:val="en-GB"/>
        </w:rPr>
        <w:t xml:space="preserve"> may require a perfect alignment between FDM’ed operations. Enhanced tim</w:t>
      </w:r>
      <w:r w:rsidR="00F12184">
        <w:rPr>
          <w:lang w:val="en-GB"/>
        </w:rPr>
        <w:t>ing</w:t>
      </w:r>
      <w:r>
        <w:rPr>
          <w:lang w:val="en-GB"/>
        </w:rPr>
        <w:t xml:space="preserve"> alignment cases being discussed under agenda item 8.</w:t>
      </w:r>
      <w:r w:rsidR="00BB0986">
        <w:rPr>
          <w:lang w:val="en-GB"/>
        </w:rPr>
        <w:t>10</w:t>
      </w:r>
      <w:r>
        <w:rPr>
          <w:lang w:val="en-GB"/>
        </w:rPr>
        <w:t>.2 can be employed to satisfy the timing alignment constraint for simultaneous transm</w:t>
      </w:r>
      <w:r w:rsidR="001132E9">
        <w:rPr>
          <w:lang w:val="en-GB"/>
        </w:rPr>
        <w:t>i</w:t>
      </w:r>
      <w:r>
        <w:rPr>
          <w:lang w:val="en-GB"/>
        </w:rPr>
        <w:t xml:space="preserve">ssions (Case-6) or simultaneous receptions (Case-7). Nevertheless, such a requirement can be relaxed if </w:t>
      </w:r>
      <w:r w:rsidR="00296EDF">
        <w:rPr>
          <w:lang w:val="en-GB"/>
        </w:rPr>
        <w:t xml:space="preserve">multiple baseband units are available or </w:t>
      </w:r>
      <w:r>
        <w:rPr>
          <w:lang w:val="en-GB"/>
        </w:rPr>
        <w:t xml:space="preserve">the baseband </w:t>
      </w:r>
      <w:r w:rsidR="00296EDF">
        <w:rPr>
          <w:lang w:val="en-GB"/>
        </w:rPr>
        <w:t>unit</w:t>
      </w:r>
      <w:r>
        <w:rPr>
          <w:lang w:val="en-GB"/>
        </w:rPr>
        <w:t xml:space="preserve"> is equipped with multiple IFFT/FFT windows. Whether the IAB node supports </w:t>
      </w:r>
      <w:r w:rsidR="00296EDF">
        <w:rPr>
          <w:lang w:val="en-GB"/>
        </w:rPr>
        <w:t xml:space="preserve">multiple baseband processing </w:t>
      </w:r>
      <w:r>
        <w:rPr>
          <w:lang w:val="en-GB"/>
        </w:rPr>
        <w:t xml:space="preserve">can be </w:t>
      </w:r>
      <w:r w:rsidR="00296EDF">
        <w:rPr>
          <w:lang w:val="en-GB"/>
        </w:rPr>
        <w:t>specified</w:t>
      </w:r>
      <w:r>
        <w:rPr>
          <w:lang w:val="en-GB"/>
        </w:rPr>
        <w:t xml:space="preserve"> as an IAB node capability.</w:t>
      </w:r>
    </w:p>
    <w:p w14:paraId="681CD051" w14:textId="11EBB67C" w:rsidR="000C6222" w:rsidRPr="006055A3" w:rsidRDefault="006863EA" w:rsidP="00F12184">
      <w:pPr>
        <w:pStyle w:val="Observation"/>
      </w:pPr>
      <w:bookmarkStart w:id="127" w:name="_Toc54393517"/>
      <w:bookmarkStart w:id="128" w:name="_Toc54393578"/>
      <w:bookmarkStart w:id="129" w:name="_Toc54393717"/>
      <w:bookmarkStart w:id="130" w:name="_Toc61520643"/>
      <w:bookmarkStart w:id="131" w:name="_Toc61536509"/>
      <w:bookmarkStart w:id="132" w:name="_Toc61541289"/>
      <w:bookmarkStart w:id="133" w:name="_Toc61541341"/>
      <w:bookmarkStart w:id="134" w:name="_Toc61544632"/>
      <w:bookmarkStart w:id="135" w:name="_Toc61547539"/>
      <w:bookmarkStart w:id="136" w:name="_Toc61559098"/>
      <w:bookmarkStart w:id="137" w:name="_Toc61559321"/>
      <w:bookmarkStart w:id="138" w:name="_Toc61854479"/>
      <w:bookmarkStart w:id="139" w:name="_Toc54311503"/>
      <w:bookmarkStart w:id="140" w:name="_Toc54311603"/>
      <w:bookmarkStart w:id="141" w:name="_Toc54311798"/>
      <w:bookmarkStart w:id="142" w:name="_Toc54332051"/>
      <w:bookmarkStart w:id="143" w:name="_Toc54332729"/>
      <w:bookmarkStart w:id="144" w:name="_Toc54332773"/>
      <w:bookmarkStart w:id="145" w:name="_Toc54332815"/>
      <w:bookmarkStart w:id="146" w:name="_Toc54336715"/>
      <w:bookmarkStart w:id="147" w:name="_Toc54336876"/>
      <w:bookmarkStart w:id="148" w:name="_Toc54341453"/>
      <w:bookmarkStart w:id="149" w:name="_Toc54341511"/>
      <w:bookmarkStart w:id="150" w:name="_Toc54345800"/>
      <w:bookmarkStart w:id="151" w:name="_Toc61895529"/>
      <w:bookmarkStart w:id="152" w:name="_Toc61895647"/>
      <w:r>
        <w:t xml:space="preserve">Knowledge of IAB node capability </w:t>
      </w:r>
      <w:r w:rsidR="009726F5">
        <w:t>of</w:t>
      </w:r>
      <w:r>
        <w:t xml:space="preserve"> timing alignment, multi-panel and baseband characteristics may be beneficial from system operation perspective.</w:t>
      </w:r>
      <w:bookmarkEnd w:id="127"/>
      <w:bookmarkEnd w:id="128"/>
      <w:bookmarkEnd w:id="129"/>
      <w:bookmarkEnd w:id="130"/>
      <w:bookmarkEnd w:id="131"/>
      <w:bookmarkEnd w:id="132"/>
      <w:bookmarkEnd w:id="133"/>
      <w:bookmarkEnd w:id="134"/>
      <w:bookmarkEnd w:id="135"/>
      <w:bookmarkEnd w:id="136"/>
      <w:bookmarkEnd w:id="137"/>
      <w:bookmarkEnd w:id="138"/>
      <w:bookmarkEnd w:id="151"/>
      <w:bookmarkEnd w:id="152"/>
      <w:r>
        <w:t xml:space="preserve"> </w:t>
      </w:r>
      <w:bookmarkEnd w:id="139"/>
      <w:bookmarkEnd w:id="140"/>
      <w:bookmarkEnd w:id="141"/>
      <w:bookmarkEnd w:id="142"/>
      <w:bookmarkEnd w:id="143"/>
      <w:bookmarkEnd w:id="144"/>
      <w:bookmarkEnd w:id="145"/>
      <w:bookmarkEnd w:id="146"/>
      <w:bookmarkEnd w:id="147"/>
      <w:bookmarkEnd w:id="148"/>
      <w:bookmarkEnd w:id="149"/>
      <w:bookmarkEnd w:id="150"/>
    </w:p>
    <w:p w14:paraId="7AA287A7" w14:textId="219BD561" w:rsidR="00E62EED" w:rsidRPr="007E43A4" w:rsidRDefault="00D7116E" w:rsidP="00C4248E">
      <w:pPr>
        <w:rPr>
          <w:lang w:val="en-GB"/>
        </w:rPr>
      </w:pPr>
      <w:r>
        <w:rPr>
          <w:lang w:val="en-GB"/>
        </w:rPr>
        <w:t>T</w:t>
      </w:r>
      <w:r w:rsidR="00E62EED">
        <w:rPr>
          <w:lang w:val="en-GB"/>
        </w:rPr>
        <w:t>here are considerations for simultaneous operation of an IAB node when operating at FR2.</w:t>
      </w:r>
      <w:r w:rsidR="00C4248E">
        <w:rPr>
          <w:lang w:val="en-GB"/>
        </w:rPr>
        <w:t xml:space="preserve"> </w:t>
      </w:r>
      <w:r w:rsidR="00E62EED" w:rsidRPr="007E43A4">
        <w:rPr>
          <w:lang w:val="en-GB"/>
        </w:rPr>
        <w:t xml:space="preserve">Communications of an IAB node with a single antenna panel (connected to a single RF chain) are spatially limited to one beam at a time. That means if two operations are scheduled simultaneously, the signals are constrained to </w:t>
      </w:r>
      <w:r w:rsidR="00E62EED">
        <w:rPr>
          <w:lang w:val="en-GB"/>
        </w:rPr>
        <w:t>be transmitted or received</w:t>
      </w:r>
      <w:r w:rsidR="00E62EED" w:rsidRPr="007E43A4">
        <w:rPr>
          <w:lang w:val="en-GB"/>
        </w:rPr>
        <w:t xml:space="preserve"> through </w:t>
      </w:r>
      <w:r w:rsidR="00E62EED">
        <w:rPr>
          <w:lang w:val="en-GB"/>
        </w:rPr>
        <w:t>a</w:t>
      </w:r>
      <w:r w:rsidR="00E62EED" w:rsidRPr="007E43A4">
        <w:rPr>
          <w:lang w:val="en-GB"/>
        </w:rPr>
        <w:t xml:space="preserve"> same beam.</w:t>
      </w:r>
    </w:p>
    <w:p w14:paraId="483B14A4" w14:textId="1B3E3ADA" w:rsidR="00E62EED" w:rsidRDefault="00E62EED" w:rsidP="00E62EED">
      <w:bookmarkStart w:id="153" w:name="_Ref30690270"/>
      <w:bookmarkStart w:id="154" w:name="_Ref30690541"/>
      <w:r w:rsidRPr="007E43A4">
        <w:t xml:space="preserve">Communications of an IAB node with multiple antenna panels (each connected to a separate RF chain) are not limited to one beam, but there </w:t>
      </w:r>
      <w:r>
        <w:t xml:space="preserve">are </w:t>
      </w:r>
      <w:r w:rsidRPr="007E43A4">
        <w:t xml:space="preserve">still constraints for </w:t>
      </w:r>
      <w:r>
        <w:t xml:space="preserve">simultaneous </w:t>
      </w:r>
      <w:r w:rsidRPr="007E43A4">
        <w:t>operation</w:t>
      </w:r>
      <w:r>
        <w:t>s</w:t>
      </w:r>
      <w:r w:rsidRPr="007E43A4">
        <w:t xml:space="preserve">. </w:t>
      </w:r>
      <w:r>
        <w:t xml:space="preserve">Consider the example scenario in </w:t>
      </w:r>
      <w:r>
        <w:fldChar w:fldCharType="begin"/>
      </w:r>
      <w:r>
        <w:instrText xml:space="preserve"> REF _Ref47602809 \r \h </w:instrText>
      </w:r>
      <w:r>
        <w:fldChar w:fldCharType="separate"/>
      </w:r>
      <w:r w:rsidR="000032EA">
        <w:rPr>
          <w:cs/>
        </w:rPr>
        <w:t>‎</w:t>
      </w:r>
      <w:r>
        <w:fldChar w:fldCharType="end"/>
      </w:r>
      <w:r w:rsidR="006F2A5F">
        <w:fldChar w:fldCharType="begin"/>
      </w:r>
      <w:r w:rsidR="006F2A5F">
        <w:instrText xml:space="preserve"> REF _Ref30691547 \r \h </w:instrText>
      </w:r>
      <w:r w:rsidR="006F2A5F">
        <w:fldChar w:fldCharType="separate"/>
      </w:r>
      <w:r w:rsidR="00146B09">
        <w:rPr>
          <w:cs/>
        </w:rPr>
        <w:t>‎</w:t>
      </w:r>
      <w:r w:rsidR="00146B09">
        <w:t>Figure 3</w:t>
      </w:r>
      <w:r w:rsidR="006F2A5F">
        <w:fldChar w:fldCharType="end"/>
      </w:r>
      <w:r w:rsidR="00C4248E">
        <w:t xml:space="preserve"> </w:t>
      </w:r>
      <w:r>
        <w:t>where N has two antenna panels</w:t>
      </w:r>
      <w:r w:rsidR="00146B09">
        <w:t>.</w:t>
      </w:r>
    </w:p>
    <w:p w14:paraId="1D93C4E7" w14:textId="77777777" w:rsidR="00E62EED" w:rsidRDefault="00E62EED" w:rsidP="00E62EED">
      <w:pPr>
        <w:pStyle w:val="Figure"/>
      </w:pPr>
      <w:r w:rsidRPr="00B91AD7">
        <w:rPr>
          <w:noProof/>
        </w:rPr>
        <w:lastRenderedPageBreak/>
        <w:drawing>
          <wp:inline distT="0" distB="0" distL="0" distR="0" wp14:anchorId="011073DC" wp14:editId="6F396043">
            <wp:extent cx="4160520" cy="20848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60520" cy="2084832"/>
                    </a:xfrm>
                    <a:prstGeom prst="rect">
                      <a:avLst/>
                    </a:prstGeom>
                    <a:noFill/>
                    <a:ln>
                      <a:noFill/>
                    </a:ln>
                  </pic:spPr>
                </pic:pic>
              </a:graphicData>
            </a:graphic>
          </wp:inline>
        </w:drawing>
      </w:r>
    </w:p>
    <w:p w14:paraId="48F585EB" w14:textId="77777777" w:rsidR="00E62EED" w:rsidRPr="00785381" w:rsidRDefault="00E62EED" w:rsidP="00C4248E">
      <w:pPr>
        <w:pStyle w:val="Caption"/>
      </w:pPr>
      <w:bookmarkStart w:id="155" w:name="_Ref30691547"/>
      <w:r>
        <w:t>. Simultaneous operation for a multi-panel IAB node</w:t>
      </w:r>
      <w:bookmarkEnd w:id="155"/>
    </w:p>
    <w:p w14:paraId="0E1F6476" w14:textId="77777777" w:rsidR="00E62EED" w:rsidRDefault="00E62EED" w:rsidP="00E62EED">
      <w:r>
        <w:t xml:space="preserve">Suppose that the parent IAB node (PN) schedules a PDSCH to the IAB node (N). A TCI indication determines which of the two panels of N are selected by PN. Since the PDSCH takes only one of the panels of N, the node can schedule a PUSCH from the child IAB node (CN) </w:t>
      </w:r>
      <w:r w:rsidRPr="006E3A2D">
        <w:t>simultaneously.</w:t>
      </w:r>
      <w:r>
        <w:t xml:space="preserve"> For example, if PN indicates a beam from panel P1, N will have panel P2 for communication with CN.</w:t>
      </w:r>
    </w:p>
    <w:p w14:paraId="655DBF68" w14:textId="77777777" w:rsidR="00E62EED" w:rsidRDefault="00E62EED" w:rsidP="00E62EED">
      <w:r>
        <w:t>If N knows in advance whether and which panel will be used for communication with PN, it can schedule a communication with CN in a timely manner. However, if PN schedules the PDSCH in the same time slot for example, N will not have sufficient time to decode the DCI and transmit a DCI of its own to CN.</w:t>
      </w:r>
    </w:p>
    <w:p w14:paraId="7EF7BCBC" w14:textId="4D294EC0" w:rsidR="00E62EED" w:rsidRDefault="00CE5665" w:rsidP="00F42C2D">
      <w:pPr>
        <w:pStyle w:val="Proposal"/>
      </w:pPr>
      <w:bookmarkStart w:id="156" w:name="_Toc54311504"/>
      <w:bookmarkStart w:id="157" w:name="_Toc54311604"/>
      <w:bookmarkStart w:id="158" w:name="_Toc54311799"/>
      <w:bookmarkStart w:id="159" w:name="_Toc54332052"/>
      <w:bookmarkStart w:id="160" w:name="_Toc54332730"/>
      <w:bookmarkStart w:id="161" w:name="_Toc54332774"/>
      <w:bookmarkStart w:id="162" w:name="_Toc54332816"/>
      <w:bookmarkStart w:id="163" w:name="_Toc54336716"/>
      <w:bookmarkStart w:id="164" w:name="_Toc54336877"/>
      <w:bookmarkStart w:id="165" w:name="_Toc54341454"/>
      <w:bookmarkStart w:id="166" w:name="_Toc54341512"/>
      <w:bookmarkStart w:id="167" w:name="_Toc54345801"/>
      <w:bookmarkStart w:id="168" w:name="_Toc54393518"/>
      <w:bookmarkStart w:id="169" w:name="_Toc54393579"/>
      <w:bookmarkStart w:id="170" w:name="_Toc54393718"/>
      <w:bookmarkStart w:id="171" w:name="_Toc61520644"/>
      <w:bookmarkStart w:id="172" w:name="_Toc61536510"/>
      <w:bookmarkStart w:id="173" w:name="_Toc61541290"/>
      <w:bookmarkStart w:id="174" w:name="_Toc61541342"/>
      <w:bookmarkStart w:id="175" w:name="_Toc61544633"/>
      <w:bookmarkStart w:id="176" w:name="_Toc61547546"/>
      <w:bookmarkStart w:id="177" w:name="_Toc61559091"/>
      <w:bookmarkStart w:id="178" w:name="_Toc61559328"/>
      <w:bookmarkStart w:id="179" w:name="_Toc61854474"/>
      <w:bookmarkStart w:id="180" w:name="_Toc61858381"/>
      <w:bookmarkStart w:id="181" w:name="_Toc61858815"/>
      <w:bookmarkStart w:id="182" w:name="_Toc61859146"/>
      <w:bookmarkStart w:id="183" w:name="_Toc61895540"/>
      <w:bookmarkStart w:id="184" w:name="_Toc61895642"/>
      <w:r>
        <w:t>Consider mechanisms to identify which IAB node panels are available for its scheduling to</w:t>
      </w:r>
      <w:r w:rsidR="00E62EED">
        <w:t xml:space="preserve"> facilitate SDM</w:t>
      </w:r>
      <w:r>
        <w:t xml:space="preserve"> operation between </w:t>
      </w:r>
      <w:r w:rsidR="00BA73CD">
        <w:t>p</w:t>
      </w:r>
      <w:r>
        <w:t xml:space="preserve">arent </w:t>
      </w:r>
      <w:r w:rsidR="00BA73CD">
        <w:t xml:space="preserve">IAB </w:t>
      </w:r>
      <w:r>
        <w:t xml:space="preserve">node and </w:t>
      </w:r>
      <w:r w:rsidR="00BA73CD">
        <w:t>c</w:t>
      </w:r>
      <w:r>
        <w:t xml:space="preserve">hild </w:t>
      </w:r>
      <w:r w:rsidR="00BA73CD">
        <w:t xml:space="preserve">IAB </w:t>
      </w:r>
      <w:r>
        <w:t>node</w:t>
      </w:r>
      <w:r w:rsidR="00E62EED">
        <w: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4BF07A6" w14:textId="77777777" w:rsidR="00D94456" w:rsidRPr="00D94456" w:rsidRDefault="00D94456" w:rsidP="00D94456"/>
    <w:bookmarkEnd w:id="153"/>
    <w:bookmarkEnd w:id="154"/>
    <w:p w14:paraId="7DB322CF" w14:textId="26A555E7" w:rsidR="00EA1EE4" w:rsidRDefault="00ED1FB7" w:rsidP="00ED1FB7">
      <w:pPr>
        <w:pStyle w:val="Heading2"/>
      </w:pPr>
      <w:r>
        <w:t>Dual-connectivity</w:t>
      </w:r>
    </w:p>
    <w:p w14:paraId="101C6225" w14:textId="087E62F6" w:rsidR="00C4248E" w:rsidRDefault="00C4248E" w:rsidP="00887C39">
      <w:pPr>
        <w:rPr>
          <w:lang w:val="en-GB"/>
        </w:rPr>
      </w:pPr>
      <w:r>
        <w:rPr>
          <w:lang w:val="en-GB"/>
        </w:rPr>
        <w:t>The following was agreed and proposed for further consideration in the previous meeting</w:t>
      </w:r>
      <w:r w:rsidR="00080C8B">
        <w:rPr>
          <w:lang w:val="en-GB"/>
        </w:rPr>
        <w:t>s</w:t>
      </w:r>
      <w:r>
        <w:rPr>
          <w:lang w:val="en-GB"/>
        </w:rPr>
        <w:t xml:space="preserve"> </w:t>
      </w:r>
      <w:r>
        <w:rPr>
          <w:lang w:val="en-GB"/>
        </w:rPr>
        <w:fldChar w:fldCharType="begin"/>
      </w:r>
      <w:r>
        <w:rPr>
          <w:lang w:val="en-GB"/>
        </w:rPr>
        <w:instrText xml:space="preserve"> REF _Ref54186872 \r \h </w:instrText>
      </w:r>
      <w:r>
        <w:rPr>
          <w:lang w:val="en-GB"/>
        </w:rPr>
      </w:r>
      <w:r>
        <w:rPr>
          <w:lang w:val="en-GB"/>
        </w:rPr>
        <w:fldChar w:fldCharType="separate"/>
      </w:r>
      <w:r w:rsidR="00080C8B">
        <w:rPr>
          <w:rFonts w:hint="cs"/>
          <w:cs/>
          <w:lang w:val="en-GB"/>
        </w:rPr>
        <w:t>‎</w:t>
      </w:r>
      <w:r w:rsidR="00080C8B">
        <w:rPr>
          <w:lang w:val="en-GB"/>
        </w:rPr>
        <w:t>[1]</w:t>
      </w:r>
      <w:r>
        <w:rPr>
          <w:lang w:val="en-GB"/>
        </w:rPr>
        <w:fldChar w:fldCharType="end"/>
      </w:r>
      <w:r w:rsidR="00080C8B">
        <w:rPr>
          <w:lang w:val="en-GB"/>
        </w:rPr>
        <w:fldChar w:fldCharType="begin"/>
      </w:r>
      <w:r w:rsidR="00080C8B">
        <w:rPr>
          <w:lang w:val="en-GB"/>
        </w:rPr>
        <w:instrText xml:space="preserve"> REF _Ref61545669 \r \h </w:instrText>
      </w:r>
      <w:r w:rsidR="00080C8B">
        <w:rPr>
          <w:lang w:val="en-GB"/>
        </w:rPr>
      </w:r>
      <w:r w:rsidR="00080C8B">
        <w:rPr>
          <w:lang w:val="en-GB"/>
        </w:rPr>
        <w:fldChar w:fldCharType="separate"/>
      </w:r>
      <w:r w:rsidR="00080C8B">
        <w:rPr>
          <w:rFonts w:hint="cs"/>
          <w:cs/>
          <w:lang w:val="en-GB"/>
        </w:rPr>
        <w:t>‎</w:t>
      </w:r>
      <w:r w:rsidR="00080C8B">
        <w:rPr>
          <w:lang w:val="en-GB"/>
        </w:rPr>
        <w:t>[2]</w:t>
      </w:r>
      <w:r w:rsidR="00080C8B">
        <w:rPr>
          <w:lang w:val="en-GB"/>
        </w:rPr>
        <w:fldChar w:fldCharType="end"/>
      </w:r>
      <w:r>
        <w:rPr>
          <w:lang w:val="en-GB"/>
        </w:rPr>
        <w:t>:</w:t>
      </w:r>
    </w:p>
    <w:tbl>
      <w:tblPr>
        <w:tblStyle w:val="TableGrid"/>
        <w:tblW w:w="0" w:type="auto"/>
        <w:tblLook w:val="04A0" w:firstRow="1" w:lastRow="0" w:firstColumn="1" w:lastColumn="0" w:noHBand="0" w:noVBand="1"/>
      </w:tblPr>
      <w:tblGrid>
        <w:gridCol w:w="9855"/>
      </w:tblGrid>
      <w:tr w:rsidR="00C4248E" w14:paraId="1DA6FDB5" w14:textId="77777777" w:rsidTr="00C4248E">
        <w:tc>
          <w:tcPr>
            <w:tcW w:w="9855" w:type="dxa"/>
          </w:tcPr>
          <w:p w14:paraId="3C2374F5" w14:textId="77777777" w:rsidR="00C4248E" w:rsidRDefault="00C4248E" w:rsidP="00C4248E">
            <w:pPr>
              <w:rPr>
                <w:b/>
                <w:bCs/>
                <w:lang w:eastAsia="x-none"/>
              </w:rPr>
            </w:pPr>
            <w:r>
              <w:rPr>
                <w:b/>
                <w:bCs/>
                <w:lang w:eastAsia="x-none"/>
              </w:rPr>
              <w:t>Conclusion</w:t>
            </w:r>
          </w:p>
          <w:p w14:paraId="374AA0D7" w14:textId="77777777" w:rsidR="00C4248E" w:rsidRDefault="00C4248E" w:rsidP="00C4248E">
            <w:pPr>
              <w:rPr>
                <w:lang w:eastAsia="x-none"/>
              </w:rPr>
            </w:pPr>
            <w:r>
              <w:rPr>
                <w:lang w:eastAsia="x-none"/>
              </w:rPr>
              <w:t>At least the inter-carrier DC scenario can be considered in Rel-17. Further discussion in RAN3/RAN Plenary may be necessary for the intra-carrier DC scenario.</w:t>
            </w:r>
          </w:p>
          <w:p w14:paraId="08B791AA" w14:textId="543E2170" w:rsidR="00C4248E" w:rsidRDefault="00C4248E" w:rsidP="00C4248E">
            <w:pPr>
              <w:rPr>
                <w:rFonts w:eastAsia="Calibri" w:cs="Times"/>
                <w:b/>
                <w:bCs/>
                <w:szCs w:val="20"/>
              </w:rPr>
            </w:pPr>
            <w:r>
              <w:rPr>
                <w:rFonts w:eastAsia="Calibri" w:cs="Times"/>
                <w:b/>
                <w:bCs/>
                <w:szCs w:val="20"/>
                <w:highlight w:val="green"/>
              </w:rPr>
              <w:t>Agreement</w:t>
            </w:r>
            <w:r w:rsidR="00080C8B">
              <w:rPr>
                <w:rFonts w:eastAsia="Calibri" w:cs="Times"/>
                <w:b/>
                <w:bCs/>
                <w:szCs w:val="20"/>
              </w:rPr>
              <w:t xml:space="preserve"> (RAN1#102-e)</w:t>
            </w:r>
          </w:p>
          <w:p w14:paraId="055BDDAF" w14:textId="77777777" w:rsidR="00C4248E" w:rsidRDefault="00C4248E" w:rsidP="00C4248E">
            <w:pPr>
              <w:rPr>
                <w:rFonts w:eastAsia="Calibri" w:cs="Times"/>
                <w:szCs w:val="20"/>
              </w:rPr>
            </w:pPr>
            <w:r>
              <w:rPr>
                <w:rFonts w:eastAsia="Calibri" w:cs="Times"/>
                <w:szCs w:val="20"/>
              </w:rPr>
              <w:t xml:space="preserve">Reuse by IAB-MT of existing Inter-frequency DC is considered as a starting point to support concurrent BH links to two parents. </w:t>
            </w:r>
          </w:p>
          <w:p w14:paraId="30543B85" w14:textId="77777777" w:rsidR="00C4248E" w:rsidRDefault="00C4248E" w:rsidP="00C4248E">
            <w:pPr>
              <w:pStyle w:val="ListParagraph"/>
              <w:numPr>
                <w:ilvl w:val="0"/>
                <w:numId w:val="35"/>
              </w:numPr>
              <w:spacing w:before="0" w:after="0" w:line="240" w:lineRule="auto"/>
              <w:rPr>
                <w:rFonts w:eastAsia="Calibri" w:cs="Times"/>
                <w:szCs w:val="20"/>
              </w:rPr>
            </w:pPr>
            <w:r>
              <w:rPr>
                <w:rFonts w:eastAsia="Calibri" w:cs="Times"/>
                <w:szCs w:val="20"/>
              </w:rPr>
              <w:t>FFS: Reuse of multi-TRP transmission resource allocation features (if intra-freq DC scenario is supported for IAB)</w:t>
            </w:r>
          </w:p>
          <w:p w14:paraId="2A7C38F5" w14:textId="77777777" w:rsidR="00C4248E" w:rsidRDefault="00C4248E" w:rsidP="00C4248E">
            <w:pPr>
              <w:pStyle w:val="ListParagraph"/>
              <w:numPr>
                <w:ilvl w:val="0"/>
                <w:numId w:val="35"/>
              </w:numPr>
              <w:spacing w:before="0" w:after="0" w:line="240" w:lineRule="auto"/>
              <w:rPr>
                <w:rFonts w:eastAsia="Calibri" w:cs="Times"/>
                <w:szCs w:val="20"/>
              </w:rPr>
            </w:pPr>
            <w:r>
              <w:rPr>
                <w:rFonts w:eastAsia="Calibri" w:cs="Times"/>
                <w:szCs w:val="20"/>
              </w:rPr>
              <w:t>FFS: Additional specification effort to support IAB</w:t>
            </w:r>
          </w:p>
          <w:p w14:paraId="2B8650A8" w14:textId="77777777" w:rsidR="00C4248E" w:rsidRDefault="00C4248E" w:rsidP="00C4248E">
            <w:pPr>
              <w:rPr>
                <w:rFonts w:cs="Times"/>
                <w:b/>
                <w:bCs/>
                <w:szCs w:val="20"/>
                <w:lang w:eastAsia="x-none"/>
              </w:rPr>
            </w:pPr>
            <w:r>
              <w:rPr>
                <w:rFonts w:cs="Times"/>
                <w:b/>
                <w:bCs/>
                <w:szCs w:val="20"/>
                <w:lang w:eastAsia="x-none"/>
              </w:rPr>
              <w:t>For companies to further consider:</w:t>
            </w:r>
          </w:p>
          <w:p w14:paraId="5AD11452" w14:textId="77777777" w:rsidR="00C4248E" w:rsidRDefault="00C4248E" w:rsidP="00C4248E">
            <w:pPr>
              <w:rPr>
                <w:rFonts w:eastAsia="Calibri" w:cs="Times"/>
                <w:szCs w:val="20"/>
              </w:rPr>
            </w:pPr>
            <w:r>
              <w:rPr>
                <w:rFonts w:eastAsia="Calibri" w:cs="Times"/>
                <w:szCs w:val="20"/>
              </w:rPr>
              <w:t>The following categories of enhancements have been proposed to support DC scenarios (not an exhaustive list):</w:t>
            </w:r>
          </w:p>
          <w:p w14:paraId="22057F15" w14:textId="77777777" w:rsidR="00C4248E" w:rsidRPr="00BA73CD" w:rsidRDefault="00C4248E" w:rsidP="00C4248E">
            <w:pPr>
              <w:pStyle w:val="ListParagraph"/>
              <w:numPr>
                <w:ilvl w:val="0"/>
                <w:numId w:val="36"/>
              </w:numPr>
              <w:spacing w:before="0" w:after="0" w:line="240" w:lineRule="auto"/>
              <w:rPr>
                <w:rFonts w:eastAsia="Calibri" w:cs="Times"/>
                <w:szCs w:val="20"/>
              </w:rPr>
            </w:pPr>
            <w:r w:rsidRPr="00BA73CD">
              <w:rPr>
                <w:rFonts w:eastAsia="Calibri" w:cs="Times"/>
                <w:szCs w:val="20"/>
              </w:rPr>
              <w:t>Inter-parent DU resource coordination mechanisms and signaling</w:t>
            </w:r>
          </w:p>
          <w:p w14:paraId="47E914AE" w14:textId="77777777" w:rsidR="00C4248E" w:rsidRPr="00BA73CD" w:rsidRDefault="00C4248E" w:rsidP="00C4248E">
            <w:pPr>
              <w:pStyle w:val="ListParagraph"/>
              <w:numPr>
                <w:ilvl w:val="0"/>
                <w:numId w:val="36"/>
              </w:numPr>
              <w:spacing w:before="0" w:after="0" w:line="240" w:lineRule="auto"/>
              <w:rPr>
                <w:rFonts w:eastAsia="Calibri" w:cs="Times"/>
                <w:szCs w:val="20"/>
              </w:rPr>
            </w:pPr>
            <w:r w:rsidRPr="00BA73CD">
              <w:rPr>
                <w:rFonts w:eastAsia="Calibri" w:cs="Times"/>
                <w:szCs w:val="20"/>
              </w:rPr>
              <w:t>Resource allocation/scheduling conflict resolution rules at the parent or child node</w:t>
            </w:r>
          </w:p>
          <w:p w14:paraId="7042E535" w14:textId="77777777" w:rsidR="00C4248E" w:rsidRDefault="00C4248E" w:rsidP="00C4248E">
            <w:pPr>
              <w:pStyle w:val="ListParagraph"/>
              <w:numPr>
                <w:ilvl w:val="0"/>
                <w:numId w:val="36"/>
              </w:numPr>
              <w:spacing w:before="0" w:after="0" w:line="240" w:lineRule="auto"/>
              <w:rPr>
                <w:rFonts w:eastAsia="Calibri" w:cs="Times"/>
                <w:szCs w:val="20"/>
              </w:rPr>
            </w:pPr>
            <w:r>
              <w:rPr>
                <w:rFonts w:eastAsia="Calibri" w:cs="Times"/>
                <w:szCs w:val="20"/>
              </w:rPr>
              <w:t>Per-link IAB-DU resource configurations at the parent node</w:t>
            </w:r>
          </w:p>
          <w:p w14:paraId="59E8EB8C" w14:textId="3DF86917" w:rsidR="00731566" w:rsidRDefault="00731566" w:rsidP="00731566">
            <w:pPr>
              <w:rPr>
                <w:rFonts w:eastAsia="Calibri" w:cs="Times"/>
                <w:b/>
                <w:bCs/>
                <w:szCs w:val="20"/>
                <w:highlight w:val="green"/>
              </w:rPr>
            </w:pPr>
            <w:r>
              <w:rPr>
                <w:rFonts w:eastAsia="Calibri" w:cs="Times"/>
                <w:b/>
                <w:bCs/>
                <w:szCs w:val="20"/>
                <w:highlight w:val="green"/>
              </w:rPr>
              <w:t>Agreement</w:t>
            </w:r>
            <w:r>
              <w:rPr>
                <w:rFonts w:eastAsia="Calibri" w:cs="Times"/>
                <w:b/>
                <w:bCs/>
                <w:szCs w:val="20"/>
              </w:rPr>
              <w:t xml:space="preserve"> (RAN1#103-e)</w:t>
            </w:r>
          </w:p>
          <w:p w14:paraId="57A13DE3" w14:textId="77777777" w:rsidR="00731566" w:rsidRDefault="00731566" w:rsidP="00731566">
            <w:pPr>
              <w:rPr>
                <w:rFonts w:eastAsia="Batang"/>
                <w:lang w:eastAsia="x-none"/>
              </w:rPr>
            </w:pPr>
            <w:r>
              <w:rPr>
                <w:lang w:eastAsia="x-none"/>
              </w:rPr>
              <w:t xml:space="preserve">From a RAN1 perspective, at least intra-donor multi-parent operation is supported in Rel-17 </w:t>
            </w:r>
          </w:p>
          <w:p w14:paraId="5FD01A1C" w14:textId="77777777" w:rsidR="00731566" w:rsidRDefault="00731566" w:rsidP="00731566">
            <w:pPr>
              <w:pStyle w:val="ListParagraph"/>
              <w:numPr>
                <w:ilvl w:val="0"/>
                <w:numId w:val="42"/>
              </w:numPr>
              <w:spacing w:before="0" w:after="0" w:line="240" w:lineRule="auto"/>
              <w:textAlignment w:val="baseline"/>
              <w:rPr>
                <w:rFonts w:eastAsia="Calibri" w:cs="Times"/>
                <w:color w:val="000000"/>
              </w:rPr>
            </w:pPr>
            <w:r>
              <w:rPr>
                <w:rFonts w:eastAsia="Calibri" w:cs="Times"/>
                <w:color w:val="000000"/>
              </w:rPr>
              <w:t>FFS: Inter-donor operation pending additional input from RAN2/RAN3</w:t>
            </w:r>
          </w:p>
          <w:p w14:paraId="4D868C8C" w14:textId="3ACD1D07" w:rsidR="00731566" w:rsidRDefault="00731566" w:rsidP="00731566">
            <w:pPr>
              <w:rPr>
                <w:rFonts w:eastAsia="Calibri" w:cs="Times"/>
                <w:b/>
                <w:bCs/>
                <w:szCs w:val="20"/>
                <w:highlight w:val="green"/>
              </w:rPr>
            </w:pPr>
            <w:r>
              <w:rPr>
                <w:rFonts w:eastAsia="Calibri" w:cs="Times"/>
                <w:b/>
                <w:bCs/>
                <w:szCs w:val="20"/>
                <w:highlight w:val="green"/>
              </w:rPr>
              <w:lastRenderedPageBreak/>
              <w:t>Agreement</w:t>
            </w:r>
            <w:r>
              <w:rPr>
                <w:rFonts w:eastAsia="Calibri" w:cs="Times"/>
                <w:b/>
                <w:bCs/>
                <w:szCs w:val="20"/>
              </w:rPr>
              <w:t xml:space="preserve"> (RAN1#103-e)</w:t>
            </w:r>
          </w:p>
          <w:p w14:paraId="3DCAB1AC" w14:textId="77777777" w:rsidR="00731566" w:rsidRDefault="00731566" w:rsidP="00731566">
            <w:pPr>
              <w:rPr>
                <w:rFonts w:eastAsia="Batang"/>
                <w:lang w:eastAsia="x-none"/>
              </w:rPr>
            </w:pPr>
            <w:r>
              <w:rPr>
                <w:lang w:eastAsia="x-none"/>
              </w:rPr>
              <w:t>The explicit indication of soft resources by DCI Format 2_5 is supported for multi-parent scenarios in Rel-17.</w:t>
            </w:r>
          </w:p>
          <w:p w14:paraId="240EF305" w14:textId="77777777" w:rsidR="00731566" w:rsidRDefault="00731566" w:rsidP="00731566">
            <w:pPr>
              <w:pStyle w:val="ListParagraph"/>
              <w:numPr>
                <w:ilvl w:val="0"/>
                <w:numId w:val="42"/>
              </w:numPr>
              <w:spacing w:before="0" w:after="0" w:line="240" w:lineRule="auto"/>
              <w:textAlignment w:val="baseline"/>
              <w:rPr>
                <w:rFonts w:eastAsia="Calibri" w:cs="Times"/>
                <w:color w:val="000000"/>
              </w:rPr>
            </w:pPr>
            <w:r>
              <w:rPr>
                <w:rFonts w:eastAsia="Calibri" w:cs="Times"/>
                <w:color w:val="000000"/>
              </w:rPr>
              <w:t>FFS: Whether additional enhancements over the Rel-16 solution are needed</w:t>
            </w:r>
          </w:p>
          <w:p w14:paraId="6C8DD0FE" w14:textId="2320734D" w:rsidR="00731566" w:rsidRDefault="00731566" w:rsidP="00731566">
            <w:pPr>
              <w:rPr>
                <w:rFonts w:cs="Times"/>
                <w:b/>
                <w:bCs/>
                <w:szCs w:val="20"/>
                <w:lang w:eastAsia="x-none"/>
              </w:rPr>
            </w:pPr>
            <w:r>
              <w:rPr>
                <w:rFonts w:cs="Times"/>
                <w:b/>
                <w:bCs/>
                <w:szCs w:val="20"/>
                <w:highlight w:val="green"/>
                <w:lang w:eastAsia="x-none"/>
              </w:rPr>
              <w:t>Agreement</w:t>
            </w:r>
            <w:r>
              <w:rPr>
                <w:rFonts w:eastAsia="Calibri" w:cs="Times"/>
                <w:b/>
                <w:bCs/>
                <w:szCs w:val="20"/>
              </w:rPr>
              <w:t xml:space="preserve"> (RAN1#103-e)</w:t>
            </w:r>
          </w:p>
          <w:p w14:paraId="179799BC" w14:textId="77777777" w:rsidR="00731566" w:rsidRDefault="00731566" w:rsidP="00731566">
            <w:pPr>
              <w:rPr>
                <w:lang w:eastAsia="x-none"/>
              </w:rPr>
            </w:pPr>
            <w:r>
              <w:rPr>
                <w:lang w:eastAsia="x-none"/>
              </w:rPr>
              <w:t>From a RAN1 perspective, resource multiplexing and coordination is supported for the following DC scenarios in Rel-17.</w:t>
            </w:r>
          </w:p>
          <w:p w14:paraId="2DF185B5" w14:textId="77777777" w:rsidR="00731566" w:rsidRDefault="00731566" w:rsidP="00731566">
            <w:pPr>
              <w:pStyle w:val="ListParagraph"/>
              <w:numPr>
                <w:ilvl w:val="0"/>
                <w:numId w:val="42"/>
              </w:numPr>
              <w:spacing w:before="0" w:after="0" w:line="240" w:lineRule="auto"/>
              <w:textAlignment w:val="baseline"/>
              <w:rPr>
                <w:rFonts w:eastAsia="Calibri" w:cs="Times"/>
                <w:color w:val="000000"/>
              </w:rPr>
            </w:pPr>
            <w:r>
              <w:rPr>
                <w:rFonts w:eastAsia="Calibri" w:cs="Times"/>
                <w:color w:val="000000"/>
              </w:rPr>
              <w:t xml:space="preserve">Inter-carrier, inter-band </w:t>
            </w:r>
          </w:p>
          <w:p w14:paraId="25A34460" w14:textId="77777777" w:rsidR="00731566" w:rsidRDefault="00731566" w:rsidP="00731566">
            <w:pPr>
              <w:pStyle w:val="ListParagraph"/>
              <w:numPr>
                <w:ilvl w:val="0"/>
                <w:numId w:val="42"/>
              </w:numPr>
              <w:spacing w:before="0" w:after="0" w:line="240" w:lineRule="auto"/>
              <w:textAlignment w:val="baseline"/>
              <w:rPr>
                <w:rFonts w:eastAsia="Calibri" w:cs="Times"/>
                <w:color w:val="000000"/>
              </w:rPr>
            </w:pPr>
            <w:r>
              <w:rPr>
                <w:rFonts w:eastAsia="Calibri" w:cs="Times"/>
                <w:color w:val="000000"/>
              </w:rPr>
              <w:t xml:space="preserve">Inter-carrier, intra-band is additionally supported at least for FR2 </w:t>
            </w:r>
          </w:p>
          <w:p w14:paraId="0382E5A1" w14:textId="77777777" w:rsidR="00731566" w:rsidRDefault="00731566" w:rsidP="00731566">
            <w:pPr>
              <w:pStyle w:val="ListParagraph"/>
              <w:numPr>
                <w:ilvl w:val="1"/>
                <w:numId w:val="42"/>
              </w:numPr>
              <w:spacing w:before="0" w:after="0" w:line="240" w:lineRule="auto"/>
              <w:textAlignment w:val="baseline"/>
              <w:rPr>
                <w:rFonts w:eastAsia="Calibri" w:cs="Times"/>
                <w:color w:val="000000"/>
              </w:rPr>
            </w:pPr>
            <w:r>
              <w:rPr>
                <w:rFonts w:eastAsia="Calibri" w:cs="Times"/>
                <w:color w:val="000000"/>
              </w:rPr>
              <w:t>At least to the extent it reuses solutions for supporting Inter-carrier, inter-band</w:t>
            </w:r>
          </w:p>
          <w:p w14:paraId="72AACDD3" w14:textId="4FB0014B" w:rsidR="00080C8B" w:rsidRPr="00080C8B" w:rsidRDefault="00731566" w:rsidP="00731566">
            <w:pPr>
              <w:pStyle w:val="ListParagraph"/>
              <w:numPr>
                <w:ilvl w:val="1"/>
                <w:numId w:val="42"/>
              </w:numPr>
              <w:spacing w:before="0" w:after="0" w:line="240" w:lineRule="auto"/>
              <w:textAlignment w:val="baseline"/>
              <w:rPr>
                <w:rFonts w:eastAsia="Calibri" w:cs="Times"/>
                <w:szCs w:val="20"/>
              </w:rPr>
            </w:pPr>
            <w:r>
              <w:rPr>
                <w:rFonts w:eastAsia="Calibri" w:cs="Times"/>
                <w:color w:val="000000"/>
              </w:rPr>
              <w:t>FFS: whether specific enhancements for inter-carrier, intra-band DC are introduced in Rel-17</w:t>
            </w:r>
          </w:p>
        </w:tc>
      </w:tr>
    </w:tbl>
    <w:p w14:paraId="696F3626" w14:textId="5C777DC9" w:rsidR="00C4248E" w:rsidRDefault="00C4248E" w:rsidP="00887C39">
      <w:pPr>
        <w:rPr>
          <w:lang w:val="en-GB"/>
        </w:rPr>
      </w:pPr>
    </w:p>
    <w:p w14:paraId="6F2175DD" w14:textId="02D75E56" w:rsidR="005471F1" w:rsidRDefault="005471F1" w:rsidP="00887C39">
      <w:pPr>
        <w:rPr>
          <w:lang w:val="en-GB"/>
        </w:rPr>
      </w:pPr>
      <w:r>
        <w:rPr>
          <w:lang w:val="en-GB"/>
        </w:rPr>
        <w:t xml:space="preserve">There were discussions in the last RAN1 and RAN plenary meetings on whether to support intra-carrier DC in eIAB systems. Given that intra-carrier DC can make significant improvement in resource efficiency, especially at FR2 with lower link reliability and higher available bandwidths, we support intra-carrier DC </w:t>
      </w:r>
      <w:bookmarkStart w:id="185" w:name="_Hlk61558954"/>
      <w:r>
        <w:rPr>
          <w:lang w:val="en-GB"/>
        </w:rPr>
        <w:t>at least to the extent that it reuses solutions for inter-carrier DC</w:t>
      </w:r>
      <w:bookmarkEnd w:id="185"/>
      <w:r>
        <w:rPr>
          <w:lang w:val="en-GB"/>
        </w:rPr>
        <w:t>.</w:t>
      </w:r>
    </w:p>
    <w:p w14:paraId="1B4ABBF9" w14:textId="4F38825B" w:rsidR="005471F1" w:rsidRDefault="005471F1" w:rsidP="005471F1">
      <w:pPr>
        <w:pStyle w:val="Proposal"/>
        <w:rPr>
          <w:lang w:val="en-GB"/>
        </w:rPr>
      </w:pPr>
      <w:bookmarkStart w:id="186" w:name="_Toc61559092"/>
      <w:bookmarkStart w:id="187" w:name="_Toc61559329"/>
      <w:bookmarkStart w:id="188" w:name="_Toc61854475"/>
      <w:bookmarkStart w:id="189" w:name="_Toc61858382"/>
      <w:bookmarkStart w:id="190" w:name="_Toc61858816"/>
      <w:bookmarkStart w:id="191" w:name="_Toc61859147"/>
      <w:bookmarkStart w:id="192" w:name="_Toc61895541"/>
      <w:bookmarkStart w:id="193" w:name="_Toc61895643"/>
      <w:r>
        <w:rPr>
          <w:lang w:val="en-GB"/>
        </w:rPr>
        <w:t xml:space="preserve">Support intra-carrier DC </w:t>
      </w:r>
      <w:r w:rsidRPr="005471F1">
        <w:rPr>
          <w:lang w:val="en-GB"/>
        </w:rPr>
        <w:t>at least to the extent that solutions for inter-carrier DC</w:t>
      </w:r>
      <w:r w:rsidR="00F15DE6">
        <w:rPr>
          <w:lang w:val="en-GB"/>
        </w:rPr>
        <w:t xml:space="preserve"> are reused</w:t>
      </w:r>
      <w:r>
        <w:rPr>
          <w:lang w:val="en-GB"/>
        </w:rPr>
        <w:t>.</w:t>
      </w:r>
      <w:bookmarkEnd w:id="186"/>
      <w:bookmarkEnd w:id="187"/>
      <w:bookmarkEnd w:id="188"/>
      <w:bookmarkEnd w:id="189"/>
      <w:bookmarkEnd w:id="190"/>
      <w:bookmarkEnd w:id="191"/>
      <w:bookmarkEnd w:id="192"/>
      <w:bookmarkEnd w:id="193"/>
    </w:p>
    <w:p w14:paraId="7D23FA0B" w14:textId="2E92F4A6" w:rsidR="00575A18" w:rsidRDefault="00C46264" w:rsidP="00887C39">
      <w:pPr>
        <w:rPr>
          <w:lang w:val="en-GB"/>
        </w:rPr>
      </w:pPr>
      <w:r>
        <w:rPr>
          <w:lang w:val="en-GB"/>
        </w:rPr>
        <w:t>It was agreed in RAN1#103-e to further study availability indication in DC scenarios.</w:t>
      </w:r>
      <w:r w:rsidR="00575A18">
        <w:rPr>
          <w:lang w:val="en-GB"/>
        </w:rPr>
        <w:t xml:space="preserve"> Consider the following </w:t>
      </w:r>
      <w:r w:rsidR="006F2A5F">
        <w:rPr>
          <w:lang w:val="en-GB"/>
        </w:rPr>
        <w:t>figure</w:t>
      </w:r>
      <w:r w:rsidR="00575A18">
        <w:rPr>
          <w:lang w:val="en-GB"/>
        </w:rPr>
        <w:t>.</w:t>
      </w:r>
    </w:p>
    <w:p w14:paraId="762B4049" w14:textId="10D97715" w:rsidR="00575A18" w:rsidRDefault="004226D3" w:rsidP="00575A18">
      <w:pPr>
        <w:pStyle w:val="Figure"/>
      </w:pPr>
      <w:r w:rsidRPr="004226D3">
        <w:pict w14:anchorId="5F81C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9.25pt;height:119.25pt">
            <v:imagedata r:id="rId11" o:title=""/>
          </v:shape>
        </w:pict>
      </w:r>
    </w:p>
    <w:p w14:paraId="159EECE0" w14:textId="02C73944" w:rsidR="00575A18" w:rsidRPr="00575A18" w:rsidRDefault="00575A18" w:rsidP="00575A18">
      <w:pPr>
        <w:pStyle w:val="Caption"/>
      </w:pPr>
      <w:r>
        <w:t>. IAB dual connectivity</w:t>
      </w:r>
    </w:p>
    <w:p w14:paraId="64548ABB" w14:textId="57EBF13D" w:rsidR="00DB4489" w:rsidRDefault="006F2A5F" w:rsidP="00887C39">
      <w:pPr>
        <w:rPr>
          <w:lang w:val="en-GB"/>
        </w:rPr>
      </w:pPr>
      <w:r>
        <w:rPr>
          <w:lang w:val="en-GB"/>
        </w:rPr>
        <w:t>In this figure,</w:t>
      </w:r>
      <w:r w:rsidR="00C46095">
        <w:rPr>
          <w:lang w:val="en-GB"/>
        </w:rPr>
        <w:t xml:space="preserve"> </w:t>
      </w:r>
      <w:r>
        <w:rPr>
          <w:lang w:val="en-GB"/>
        </w:rPr>
        <w:t xml:space="preserve">both </w:t>
      </w:r>
      <w:r w:rsidR="00C46095">
        <w:rPr>
          <w:lang w:val="en-GB"/>
        </w:rPr>
        <w:t xml:space="preserve">parent IAB node </w:t>
      </w:r>
      <w:r>
        <w:rPr>
          <w:lang w:val="en-GB"/>
        </w:rPr>
        <w:t>1 (PN1) and parent node 2 (PN2) can</w:t>
      </w:r>
      <w:r w:rsidR="00C46095">
        <w:rPr>
          <w:lang w:val="en-GB"/>
        </w:rPr>
        <w:t xml:space="preserve"> be informed of </w:t>
      </w:r>
      <w:r>
        <w:rPr>
          <w:lang w:val="en-GB"/>
        </w:rPr>
        <w:t xml:space="preserve">H/S/NA </w:t>
      </w:r>
      <w:r w:rsidR="00C46095">
        <w:rPr>
          <w:lang w:val="en-GB"/>
        </w:rPr>
        <w:t xml:space="preserve">resource configurations for </w:t>
      </w:r>
      <w:r>
        <w:rPr>
          <w:lang w:val="en-GB"/>
        </w:rPr>
        <w:t>the IAB node (</w:t>
      </w:r>
      <w:r w:rsidR="00C46095">
        <w:rPr>
          <w:lang w:val="en-GB"/>
        </w:rPr>
        <w:t>N</w:t>
      </w:r>
      <w:r>
        <w:rPr>
          <w:lang w:val="en-GB"/>
        </w:rPr>
        <w:t>)</w:t>
      </w:r>
      <w:r w:rsidR="00C46095">
        <w:rPr>
          <w:lang w:val="en-GB"/>
        </w:rPr>
        <w:t xml:space="preserve"> according to IAB Rel-16. However, for example, if PN1 indicates soft resources available for N</w:t>
      </w:r>
      <w:r w:rsidR="00DB4489">
        <w:rPr>
          <w:lang w:val="en-GB"/>
        </w:rPr>
        <w:t xml:space="preserve"> through DCI 2_5 signaling</w:t>
      </w:r>
      <w:r w:rsidR="00C46095">
        <w:rPr>
          <w:lang w:val="en-GB"/>
        </w:rPr>
        <w:t>, PN2 does not have access to this information</w:t>
      </w:r>
      <w:r w:rsidR="00DB4489">
        <w:rPr>
          <w:lang w:val="en-GB"/>
        </w:rPr>
        <w:t>.</w:t>
      </w:r>
    </w:p>
    <w:p w14:paraId="2FDD4FEB" w14:textId="34FA9C64" w:rsidR="00C46095" w:rsidRDefault="00DB4489" w:rsidP="00887C39">
      <w:pPr>
        <w:rPr>
          <w:lang w:val="en-GB"/>
        </w:rPr>
      </w:pPr>
      <w:r>
        <w:rPr>
          <w:lang w:val="en-GB"/>
        </w:rPr>
        <w:t xml:space="preserve">That </w:t>
      </w:r>
      <w:r w:rsidR="00C46095">
        <w:rPr>
          <w:lang w:val="en-GB"/>
        </w:rPr>
        <w:t>raises several issues. One issue is that if PN2 intends to avoid interference with transmissions scheduled by N</w:t>
      </w:r>
      <w:r>
        <w:rPr>
          <w:lang w:val="en-GB"/>
        </w:rPr>
        <w:t xml:space="preserve"> on soft resources</w:t>
      </w:r>
      <w:r w:rsidR="00C46095">
        <w:rPr>
          <w:lang w:val="en-GB"/>
        </w:rPr>
        <w:t xml:space="preserve">, it does not </w:t>
      </w:r>
      <w:r>
        <w:rPr>
          <w:lang w:val="en-GB"/>
        </w:rPr>
        <w:t xml:space="preserve">have a means to realize whether the soft resources are already available to N. Another issue </w:t>
      </w:r>
      <w:r w:rsidR="00CA3F84">
        <w:rPr>
          <w:lang w:val="en-GB"/>
        </w:rPr>
        <w:t xml:space="preserve">is during </w:t>
      </w:r>
      <w:r>
        <w:rPr>
          <w:lang w:val="en-GB"/>
        </w:rPr>
        <w:t>transition times when the link between N and PN1 is not available and PN2 should take control of resource availability for N and other child nodes without knowing which soft resources are already indicated available to N.</w:t>
      </w:r>
    </w:p>
    <w:p w14:paraId="523030DA" w14:textId="5E9D3424" w:rsidR="00DB4489" w:rsidRDefault="00DB4489" w:rsidP="00887C39">
      <w:pPr>
        <w:rPr>
          <w:lang w:val="en-GB"/>
        </w:rPr>
      </w:pPr>
      <w:r>
        <w:rPr>
          <w:lang w:val="en-GB"/>
        </w:rPr>
        <w:t xml:space="preserve">In order to address these issues, signalling can be introduced between parent nodes, or from an IAB node to its parent node, that informs the parent node of the current status of AI for soft resources </w:t>
      </w:r>
      <w:r w:rsidR="00C4248E">
        <w:rPr>
          <w:lang w:val="en-GB"/>
        </w:rPr>
        <w:t>of</w:t>
      </w:r>
      <w:r>
        <w:rPr>
          <w:lang w:val="en-GB"/>
        </w:rPr>
        <w:t xml:space="preserve"> a dually-connected IAB node.</w:t>
      </w:r>
    </w:p>
    <w:p w14:paraId="5EFE6A23" w14:textId="6F95345B" w:rsidR="00A90CE4" w:rsidRDefault="00A90CE4" w:rsidP="00F42C2D">
      <w:pPr>
        <w:pStyle w:val="Proposal"/>
      </w:pPr>
      <w:bookmarkStart w:id="194" w:name="_Toc54311507"/>
      <w:bookmarkStart w:id="195" w:name="_Toc54311607"/>
      <w:bookmarkStart w:id="196" w:name="_Toc54311802"/>
      <w:bookmarkStart w:id="197" w:name="_Toc54332055"/>
      <w:bookmarkStart w:id="198" w:name="_Toc54332733"/>
      <w:bookmarkStart w:id="199" w:name="_Toc54332777"/>
      <w:bookmarkStart w:id="200" w:name="_Toc54332819"/>
      <w:bookmarkStart w:id="201" w:name="_Toc54336719"/>
      <w:bookmarkStart w:id="202" w:name="_Toc54336880"/>
      <w:bookmarkStart w:id="203" w:name="_Toc54341457"/>
      <w:bookmarkStart w:id="204" w:name="_Toc54341515"/>
      <w:bookmarkStart w:id="205" w:name="_Toc54345804"/>
      <w:bookmarkStart w:id="206" w:name="_Toc54393521"/>
      <w:bookmarkStart w:id="207" w:name="_Toc54393582"/>
      <w:bookmarkStart w:id="208" w:name="_Toc54393721"/>
      <w:bookmarkStart w:id="209" w:name="_Toc61520647"/>
      <w:bookmarkStart w:id="210" w:name="_Toc61536513"/>
      <w:bookmarkStart w:id="211" w:name="_Toc61541293"/>
      <w:bookmarkStart w:id="212" w:name="_Toc61541345"/>
      <w:bookmarkStart w:id="213" w:name="_Toc61544636"/>
      <w:bookmarkStart w:id="214" w:name="_Toc61547549"/>
      <w:bookmarkStart w:id="215" w:name="_Toc61559093"/>
      <w:bookmarkStart w:id="216" w:name="_Toc61559330"/>
      <w:bookmarkStart w:id="217" w:name="_Toc61854476"/>
      <w:bookmarkStart w:id="218" w:name="_Toc61858383"/>
      <w:bookmarkStart w:id="219" w:name="_Toc61858817"/>
      <w:bookmarkStart w:id="220" w:name="_Toc61859148"/>
      <w:bookmarkStart w:id="221" w:name="_Toc61895542"/>
      <w:bookmarkStart w:id="222" w:name="_Toc61895644"/>
      <w:r>
        <w:t xml:space="preserve">Define </w:t>
      </w:r>
      <w:r w:rsidRPr="00994344">
        <w:t>signaling</w:t>
      </w:r>
      <w:r>
        <w:t xml:space="preserve"> </w:t>
      </w:r>
      <w:r w:rsidRPr="00994344">
        <w:t>for</w:t>
      </w:r>
      <w:r>
        <w:t xml:space="preserve"> IAB nodes in the DC mode to inform parent IAB nodes of the status of availability of soft resources.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A068B15" w14:textId="77777777" w:rsidR="00D94456" w:rsidRPr="00D94456" w:rsidRDefault="00D94456" w:rsidP="00D94456"/>
    <w:p w14:paraId="27D4F397" w14:textId="5BD92296" w:rsidR="00B1741F" w:rsidRPr="001B5AA8" w:rsidRDefault="00453465" w:rsidP="00B1741F">
      <w:pPr>
        <w:pStyle w:val="Heading1"/>
      </w:pPr>
      <w:r>
        <w:t>Conclusions</w:t>
      </w:r>
    </w:p>
    <w:p w14:paraId="2F91A1ED" w14:textId="0A1C35AF" w:rsidR="00B1741F" w:rsidRDefault="00B1741F" w:rsidP="00B1741F">
      <w:r>
        <w:t xml:space="preserve">In this contribution, we discussed </w:t>
      </w:r>
      <w:r w:rsidR="00F317D4">
        <w:t xml:space="preserve">resource multiplexing </w:t>
      </w:r>
      <w:r>
        <w:t>enhancements for simultaneous operation</w:t>
      </w:r>
      <w:r w:rsidR="00C124C4">
        <w:t>s on</w:t>
      </w:r>
      <w:r>
        <w:t xml:space="preserve"> child and parent links of an IAB</w:t>
      </w:r>
      <w:r w:rsidR="00DA2597">
        <w:t xml:space="preserve"> </w:t>
      </w:r>
      <w:r>
        <w:t xml:space="preserve">node and made the following </w:t>
      </w:r>
      <w:r w:rsidR="006F16D6">
        <w:t xml:space="preserve">observations and </w:t>
      </w:r>
      <w:r>
        <w:t>proposals:</w:t>
      </w:r>
    </w:p>
    <w:p w14:paraId="0216EB2B" w14:textId="77777777" w:rsidR="007014E1" w:rsidRDefault="006E4066">
      <w:pPr>
        <w:pStyle w:val="TableofFigures"/>
        <w:tabs>
          <w:tab w:val="left" w:pos="1701"/>
        </w:tabs>
        <w:rPr>
          <w:rFonts w:asciiTheme="minorHAnsi" w:eastAsiaTheme="minorEastAsia" w:hAnsiTheme="minorHAnsi" w:cstheme="minorBidi"/>
          <w:b w:val="0"/>
          <w:bCs w:val="0"/>
          <w:noProof/>
          <w:sz w:val="22"/>
          <w:szCs w:val="22"/>
        </w:rPr>
      </w:pPr>
      <w:r>
        <w:lastRenderedPageBreak/>
        <w:fldChar w:fldCharType="begin"/>
      </w:r>
      <w:r>
        <w:instrText xml:space="preserve"> TOC \n \t "Observation" \c </w:instrText>
      </w:r>
      <w:bookmarkStart w:id="223" w:name="_GoBack"/>
      <w:bookmarkEnd w:id="223"/>
      <w:r>
        <w:fldChar w:fldCharType="separate"/>
      </w:r>
      <w:r w:rsidR="007014E1">
        <w:rPr>
          <w:noProof/>
        </w:rPr>
        <w:t>Observation 1:</w:t>
      </w:r>
      <w:r w:rsidR="007014E1">
        <w:rPr>
          <w:rFonts w:asciiTheme="minorHAnsi" w:eastAsiaTheme="minorEastAsia" w:hAnsiTheme="minorHAnsi" w:cstheme="minorBidi"/>
          <w:b w:val="0"/>
          <w:bCs w:val="0"/>
          <w:noProof/>
          <w:sz w:val="22"/>
          <w:szCs w:val="22"/>
        </w:rPr>
        <w:tab/>
      </w:r>
      <w:r w:rsidR="007014E1">
        <w:rPr>
          <w:noProof/>
        </w:rPr>
        <w:t>The best-effort approach is insufficient for non-TDM operation in the presence of varying beam, power, interference, and timing alignment constraints.</w:t>
      </w:r>
    </w:p>
    <w:p w14:paraId="44488260" w14:textId="77777777" w:rsidR="007014E1" w:rsidRDefault="007014E1">
      <w:pPr>
        <w:pStyle w:val="TableofFigures"/>
        <w:tabs>
          <w:tab w:val="left" w:pos="1701"/>
        </w:tabs>
        <w:rPr>
          <w:rFonts w:asciiTheme="minorHAnsi" w:eastAsiaTheme="minorEastAsia" w:hAnsiTheme="minorHAnsi" w:cstheme="minorBidi"/>
          <w:b w:val="0"/>
          <w:bCs w:val="0"/>
          <w:noProof/>
          <w:sz w:val="22"/>
          <w:szCs w:val="22"/>
        </w:rPr>
      </w:pPr>
      <w:r>
        <w:rPr>
          <w:noProof/>
        </w:rPr>
        <w:t>Observation 2:</w:t>
      </w:r>
      <w:r>
        <w:rPr>
          <w:rFonts w:asciiTheme="minorHAnsi" w:eastAsiaTheme="minorEastAsia" w:hAnsiTheme="minorHAnsi" w:cstheme="minorBidi"/>
          <w:b w:val="0"/>
          <w:bCs w:val="0"/>
          <w:noProof/>
          <w:sz w:val="22"/>
          <w:szCs w:val="22"/>
        </w:rPr>
        <w:tab/>
      </w:r>
      <w:r>
        <w:rPr>
          <w:noProof/>
        </w:rPr>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p>
    <w:p w14:paraId="2CBE67BB" w14:textId="77777777" w:rsidR="007014E1" w:rsidRDefault="007014E1">
      <w:pPr>
        <w:pStyle w:val="TableofFigures"/>
        <w:tabs>
          <w:tab w:val="left" w:pos="1701"/>
        </w:tabs>
        <w:rPr>
          <w:rFonts w:asciiTheme="minorHAnsi" w:eastAsiaTheme="minorEastAsia" w:hAnsiTheme="minorHAnsi" w:cstheme="minorBidi"/>
          <w:b w:val="0"/>
          <w:bCs w:val="0"/>
          <w:noProof/>
          <w:sz w:val="22"/>
          <w:szCs w:val="22"/>
        </w:rPr>
      </w:pPr>
      <w:r>
        <w:rPr>
          <w:noProof/>
        </w:rPr>
        <w:t>Observation 3:</w:t>
      </w:r>
      <w:r>
        <w:rPr>
          <w:rFonts w:asciiTheme="minorHAnsi" w:eastAsiaTheme="minorEastAsia" w:hAnsiTheme="minorHAnsi" w:cstheme="minorBidi"/>
          <w:b w:val="0"/>
          <w:bCs w:val="0"/>
          <w:noProof/>
          <w:sz w:val="22"/>
          <w:szCs w:val="22"/>
        </w:rPr>
        <w:tab/>
      </w:r>
      <w:r>
        <w:rPr>
          <w:noProof/>
        </w:rPr>
        <w:t>Knowledge of IAB node capability of timing alignment, multi-panel and baseband characteristics may be beneficial from system operation perspective.</w:t>
      </w:r>
    </w:p>
    <w:p w14:paraId="19AED23E" w14:textId="1F9E4D06" w:rsidR="007014E1" w:rsidRDefault="006E4066" w:rsidP="003C1A23">
      <w:pPr>
        <w:pStyle w:val="TableofFigures"/>
        <w:rPr>
          <w:noProof/>
        </w:rPr>
      </w:pPr>
      <w:r>
        <w:fldChar w:fldCharType="end"/>
      </w:r>
      <w:r w:rsidR="009A7FE7">
        <w:fldChar w:fldCharType="begin"/>
      </w:r>
      <w:r w:rsidR="009A7FE7">
        <w:instrText xml:space="preserve"> TOC \n \t "Proposal" \c </w:instrText>
      </w:r>
      <w:r w:rsidR="009A7FE7">
        <w:fldChar w:fldCharType="separate"/>
      </w:r>
    </w:p>
    <w:p w14:paraId="62C4551C" w14:textId="77777777" w:rsidR="007014E1" w:rsidRDefault="007014E1">
      <w:pPr>
        <w:pStyle w:val="TableofFigures"/>
        <w:rPr>
          <w:rFonts w:asciiTheme="minorHAnsi" w:eastAsiaTheme="minorEastAsia" w:hAnsiTheme="minorHAnsi" w:cstheme="minorBidi"/>
          <w:b w:val="0"/>
          <w:bCs w:val="0"/>
          <w:noProof/>
          <w:sz w:val="22"/>
          <w:szCs w:val="22"/>
        </w:rPr>
      </w:pPr>
      <w:r w:rsidRPr="008D0E66">
        <w:rPr>
          <w:noProof/>
          <w:lang w:val="en-GB"/>
        </w:rPr>
        <w:t>Proposal 1:</w:t>
      </w:r>
      <w:r>
        <w:rPr>
          <w:rFonts w:asciiTheme="minorHAnsi" w:eastAsiaTheme="minorEastAsia" w:hAnsiTheme="minorHAnsi" w:cstheme="minorBidi"/>
          <w:b w:val="0"/>
          <w:bCs w:val="0"/>
          <w:noProof/>
          <w:sz w:val="22"/>
          <w:szCs w:val="22"/>
        </w:rPr>
        <w:tab/>
      </w:r>
      <w:r w:rsidRPr="008D0E66">
        <w:rPr>
          <w:noProof/>
          <w:lang w:val="en-GB"/>
        </w:rPr>
        <w:t>Define a group of N PRBs as the unit of bandwidth for configuration and signalling. N can be a specified constant or configured by the IAB-CU.</w:t>
      </w:r>
    </w:p>
    <w:p w14:paraId="2102030B" w14:textId="77777777" w:rsidR="007014E1" w:rsidRDefault="007014E1">
      <w:pPr>
        <w:pStyle w:val="TableofFigures"/>
        <w:rPr>
          <w:rFonts w:asciiTheme="minorHAnsi" w:eastAsiaTheme="minorEastAsia" w:hAnsiTheme="minorHAnsi" w:cstheme="minorBidi"/>
          <w:b w:val="0"/>
          <w:bCs w:val="0"/>
          <w:noProof/>
          <w:sz w:val="22"/>
          <w:szCs w:val="22"/>
        </w:rPr>
      </w:pPr>
      <w:r w:rsidRPr="008D0E66">
        <w:rPr>
          <w:noProof/>
          <w:lang w:val="en-GB"/>
        </w:rPr>
        <w:t>Proposal 2:</w:t>
      </w:r>
      <w:r>
        <w:rPr>
          <w:rFonts w:asciiTheme="minorHAnsi" w:eastAsiaTheme="minorEastAsia" w:hAnsiTheme="minorHAnsi" w:cstheme="minorBidi"/>
          <w:b w:val="0"/>
          <w:bCs w:val="0"/>
          <w:noProof/>
          <w:sz w:val="22"/>
          <w:szCs w:val="22"/>
        </w:rPr>
        <w:tab/>
      </w:r>
      <w:r>
        <w:rPr>
          <w:noProof/>
        </w:rPr>
        <w:t>Support</w:t>
      </w:r>
      <w:r w:rsidRPr="008D0E66">
        <w:rPr>
          <w:noProof/>
          <w:lang w:val="en-GB"/>
        </w:rPr>
        <w:t xml:space="preserve"> semi-static resource configuration in time and frequency domains.</w:t>
      </w:r>
    </w:p>
    <w:p w14:paraId="653B77BD" w14:textId="77777777" w:rsidR="007014E1" w:rsidRDefault="007014E1">
      <w:pPr>
        <w:pStyle w:val="TableofFigures"/>
        <w:rPr>
          <w:rFonts w:asciiTheme="minorHAnsi" w:eastAsiaTheme="minorEastAsia" w:hAnsiTheme="minorHAnsi" w:cstheme="minorBidi"/>
          <w:b w:val="0"/>
          <w:bCs w:val="0"/>
          <w:noProof/>
          <w:sz w:val="22"/>
          <w:szCs w:val="22"/>
        </w:rPr>
      </w:pPr>
      <w:r>
        <w:rPr>
          <w:noProof/>
        </w:rPr>
        <w:t>Proposal 3:</w:t>
      </w:r>
      <w:r>
        <w:rPr>
          <w:rFonts w:asciiTheme="minorHAnsi" w:eastAsiaTheme="minorEastAsia" w:hAnsiTheme="minorHAnsi" w:cstheme="minorBidi"/>
          <w:b w:val="0"/>
          <w:bCs w:val="0"/>
          <w:noProof/>
          <w:sz w:val="22"/>
          <w:szCs w:val="22"/>
        </w:rPr>
        <w:tab/>
      </w:r>
      <w:r>
        <w:rPr>
          <w:noProof/>
        </w:rPr>
        <w:t>Extend availability indication to the frequency domain.</w:t>
      </w:r>
    </w:p>
    <w:p w14:paraId="356D7716" w14:textId="77777777" w:rsidR="007014E1" w:rsidRDefault="007014E1">
      <w:pPr>
        <w:pStyle w:val="TableofFigures"/>
        <w:rPr>
          <w:rFonts w:asciiTheme="minorHAnsi" w:eastAsiaTheme="minorEastAsia" w:hAnsiTheme="minorHAnsi" w:cstheme="minorBidi"/>
          <w:b w:val="0"/>
          <w:bCs w:val="0"/>
          <w:noProof/>
          <w:sz w:val="22"/>
          <w:szCs w:val="22"/>
        </w:rPr>
      </w:pPr>
      <w:r>
        <w:rPr>
          <w:noProof/>
        </w:rPr>
        <w:t>Option 1 (higher flexibility): Extend H/S/NA configurations and availability indication to the frequency domain.</w:t>
      </w:r>
    </w:p>
    <w:p w14:paraId="437E5046" w14:textId="77777777" w:rsidR="007014E1" w:rsidRDefault="007014E1">
      <w:pPr>
        <w:pStyle w:val="TableofFigures"/>
        <w:rPr>
          <w:rFonts w:asciiTheme="minorHAnsi" w:eastAsiaTheme="minorEastAsia" w:hAnsiTheme="minorHAnsi" w:cstheme="minorBidi"/>
          <w:b w:val="0"/>
          <w:bCs w:val="0"/>
          <w:noProof/>
          <w:sz w:val="22"/>
          <w:szCs w:val="22"/>
        </w:rPr>
      </w:pPr>
      <w:r>
        <w:rPr>
          <w:noProof/>
        </w:rPr>
        <w:t>Option 2 (better coexistence): Support frequency-domain availability indication on soft symbols.</w:t>
      </w:r>
    </w:p>
    <w:p w14:paraId="5FDA59A1" w14:textId="77777777" w:rsidR="007014E1" w:rsidRDefault="007014E1">
      <w:pPr>
        <w:pStyle w:val="TableofFigures"/>
        <w:rPr>
          <w:rFonts w:asciiTheme="minorHAnsi" w:eastAsiaTheme="minorEastAsia" w:hAnsiTheme="minorHAnsi" w:cstheme="minorBidi"/>
          <w:b w:val="0"/>
          <w:bCs w:val="0"/>
          <w:noProof/>
          <w:sz w:val="22"/>
          <w:szCs w:val="22"/>
        </w:rPr>
      </w:pPr>
      <w:r w:rsidRPr="008D0E66">
        <w:rPr>
          <w:noProof/>
          <w:lang w:val="en-GB"/>
        </w:rPr>
        <w:t>Proposal 4:</w:t>
      </w:r>
      <w:r>
        <w:rPr>
          <w:rFonts w:asciiTheme="minorHAnsi" w:eastAsiaTheme="minorEastAsia" w:hAnsiTheme="minorHAnsi" w:cstheme="minorBidi"/>
          <w:b w:val="0"/>
          <w:bCs w:val="0"/>
          <w:noProof/>
          <w:sz w:val="22"/>
          <w:szCs w:val="22"/>
        </w:rPr>
        <w:tab/>
      </w:r>
      <w:r w:rsidRPr="008D0E66">
        <w:rPr>
          <w:noProof/>
          <w:lang w:val="en-GB"/>
        </w:rPr>
        <w:t>Support conditional availability indication as a balance between best-effort non-TDM and existing availability indication.</w:t>
      </w:r>
    </w:p>
    <w:p w14:paraId="56AD6B46" w14:textId="77777777" w:rsidR="007014E1" w:rsidRDefault="007014E1">
      <w:pPr>
        <w:pStyle w:val="TableofFigures"/>
        <w:rPr>
          <w:rFonts w:asciiTheme="minorHAnsi" w:eastAsiaTheme="minorEastAsia" w:hAnsiTheme="minorHAnsi" w:cstheme="minorBidi"/>
          <w:b w:val="0"/>
          <w:bCs w:val="0"/>
          <w:noProof/>
          <w:sz w:val="22"/>
          <w:szCs w:val="22"/>
        </w:rPr>
      </w:pPr>
      <w:r>
        <w:rPr>
          <w:noProof/>
        </w:rPr>
        <w:t>Proposal 5:</w:t>
      </w:r>
      <w:r>
        <w:rPr>
          <w:rFonts w:asciiTheme="minorHAnsi" w:eastAsiaTheme="minorEastAsia" w:hAnsiTheme="minorHAnsi" w:cstheme="minorBidi"/>
          <w:b w:val="0"/>
          <w:bCs w:val="0"/>
          <w:noProof/>
          <w:sz w:val="22"/>
          <w:szCs w:val="22"/>
        </w:rPr>
        <w:tab/>
      </w:r>
      <w:r>
        <w:rPr>
          <w:noProof/>
        </w:rPr>
        <w:t>Consider mechanisms to identify which IAB node panels are available for its scheduling to facilitate SDM operation between parent IAB node and child IAB node.</w:t>
      </w:r>
    </w:p>
    <w:p w14:paraId="55F94AF3" w14:textId="77777777" w:rsidR="007014E1" w:rsidRDefault="007014E1">
      <w:pPr>
        <w:pStyle w:val="TableofFigures"/>
        <w:rPr>
          <w:rFonts w:asciiTheme="minorHAnsi" w:eastAsiaTheme="minorEastAsia" w:hAnsiTheme="minorHAnsi" w:cstheme="minorBidi"/>
          <w:b w:val="0"/>
          <w:bCs w:val="0"/>
          <w:noProof/>
          <w:sz w:val="22"/>
          <w:szCs w:val="22"/>
        </w:rPr>
      </w:pPr>
      <w:r w:rsidRPr="008D0E66">
        <w:rPr>
          <w:noProof/>
          <w:lang w:val="en-GB"/>
        </w:rPr>
        <w:t>Proposal 6:</w:t>
      </w:r>
      <w:r>
        <w:rPr>
          <w:rFonts w:asciiTheme="minorHAnsi" w:eastAsiaTheme="minorEastAsia" w:hAnsiTheme="minorHAnsi" w:cstheme="minorBidi"/>
          <w:b w:val="0"/>
          <w:bCs w:val="0"/>
          <w:noProof/>
          <w:sz w:val="22"/>
          <w:szCs w:val="22"/>
        </w:rPr>
        <w:tab/>
      </w:r>
      <w:r w:rsidRPr="008D0E66">
        <w:rPr>
          <w:noProof/>
          <w:lang w:val="en-GB"/>
        </w:rPr>
        <w:t>Support intra-carrier DC at least to the extent that solutions for inter-carrier DC are reused.</w:t>
      </w:r>
    </w:p>
    <w:p w14:paraId="57BD230B" w14:textId="77777777" w:rsidR="007014E1" w:rsidRDefault="007014E1">
      <w:pPr>
        <w:pStyle w:val="TableofFigures"/>
        <w:rPr>
          <w:rFonts w:asciiTheme="minorHAnsi" w:eastAsiaTheme="minorEastAsia" w:hAnsiTheme="minorHAnsi" w:cstheme="minorBidi"/>
          <w:b w:val="0"/>
          <w:bCs w:val="0"/>
          <w:noProof/>
          <w:sz w:val="22"/>
          <w:szCs w:val="22"/>
        </w:rPr>
      </w:pPr>
      <w:r>
        <w:rPr>
          <w:noProof/>
        </w:rPr>
        <w:t>Proposal 7:</w:t>
      </w:r>
      <w:r>
        <w:rPr>
          <w:rFonts w:asciiTheme="minorHAnsi" w:eastAsiaTheme="minorEastAsia" w:hAnsiTheme="minorHAnsi" w:cstheme="minorBidi"/>
          <w:b w:val="0"/>
          <w:bCs w:val="0"/>
          <w:noProof/>
          <w:sz w:val="22"/>
          <w:szCs w:val="22"/>
        </w:rPr>
        <w:tab/>
      </w:r>
      <w:r>
        <w:rPr>
          <w:noProof/>
        </w:rPr>
        <w:t>Define signaling for IAB nodes in the DC mode to inform parent IAB nodes of the status of availability of soft resources.</w:t>
      </w:r>
    </w:p>
    <w:p w14:paraId="3D51BDC7" w14:textId="6FCAE085" w:rsidR="006055A3" w:rsidRDefault="009A7FE7" w:rsidP="001D539E">
      <w:pPr>
        <w:pStyle w:val="TableofFigures"/>
        <w:tabs>
          <w:tab w:val="clear" w:pos="1411"/>
          <w:tab w:val="left" w:pos="1418"/>
          <w:tab w:val="right" w:pos="9629"/>
        </w:tabs>
      </w:pPr>
      <w:r>
        <w:fldChar w:fldCharType="end"/>
      </w:r>
    </w:p>
    <w:p w14:paraId="2AAA3E1B" w14:textId="7D685E96" w:rsidR="00B1741F" w:rsidRPr="001B5AA8" w:rsidRDefault="00B1741F" w:rsidP="00B1741F">
      <w:pPr>
        <w:pStyle w:val="Heading1"/>
      </w:pPr>
      <w:r>
        <w:rPr>
          <w:lang w:val="en-US"/>
        </w:rPr>
        <w:t>References</w:t>
      </w:r>
    </w:p>
    <w:p w14:paraId="4D9EC02B" w14:textId="676CFF99" w:rsidR="00F95439" w:rsidRDefault="00F95439" w:rsidP="00900A18">
      <w:pPr>
        <w:pStyle w:val="References"/>
        <w:numPr>
          <w:ilvl w:val="0"/>
          <w:numId w:val="11"/>
        </w:numPr>
      </w:pPr>
      <w:bookmarkStart w:id="224" w:name="_Ref54186872"/>
      <w:bookmarkStart w:id="225" w:name="_Ref30491916"/>
      <w:bookmarkEnd w:id="3"/>
      <w:bookmarkEnd w:id="4"/>
      <w:r>
        <w:t>RAN1#102-e Chairman’s Notes.</w:t>
      </w:r>
      <w:bookmarkEnd w:id="224"/>
    </w:p>
    <w:p w14:paraId="5B967A9B" w14:textId="1F5823BC" w:rsidR="00E0525C" w:rsidRDefault="00E0525C" w:rsidP="00900A18">
      <w:pPr>
        <w:pStyle w:val="References"/>
        <w:numPr>
          <w:ilvl w:val="0"/>
          <w:numId w:val="11"/>
        </w:numPr>
      </w:pPr>
      <w:bookmarkStart w:id="226" w:name="_Ref61545669"/>
      <w:r>
        <w:t>RAN1#103-e Chairman’s Notes.</w:t>
      </w:r>
      <w:bookmarkEnd w:id="226"/>
    </w:p>
    <w:p w14:paraId="7CC3CF51" w14:textId="65DC0282" w:rsidR="00F83912" w:rsidRPr="00B23C80" w:rsidRDefault="00DA2E53" w:rsidP="0063027B">
      <w:pPr>
        <w:pStyle w:val="References"/>
        <w:numPr>
          <w:ilvl w:val="0"/>
          <w:numId w:val="11"/>
        </w:numPr>
      </w:pPr>
      <w:bookmarkStart w:id="227" w:name="_Ref30492464"/>
      <w:bookmarkEnd w:id="5"/>
      <w:bookmarkEnd w:id="225"/>
      <w:r w:rsidRPr="00DA2E53">
        <w:t>R1-</w:t>
      </w:r>
      <w:r w:rsidR="0013017B">
        <w:t>2100991</w:t>
      </w:r>
      <w:r w:rsidR="0063027B">
        <w:t>, “</w:t>
      </w:r>
      <w:r w:rsidR="00286426" w:rsidRPr="00286426">
        <w:t>Timing, interference, and power control in enhanced IAB systems</w:t>
      </w:r>
      <w:r w:rsidR="0063027B">
        <w:t xml:space="preserve">,” Lenovo, </w:t>
      </w:r>
      <w:bookmarkEnd w:id="227"/>
      <w:r w:rsidR="00BA438E">
        <w:t xml:space="preserve">Motorola Mobility, </w:t>
      </w:r>
      <w:r w:rsidR="0063027B">
        <w:t>RAN1#10</w:t>
      </w:r>
      <w:r w:rsidR="00553D14">
        <w:t>3</w:t>
      </w:r>
      <w:r w:rsidR="00304F48">
        <w:t>-</w:t>
      </w:r>
      <w:r w:rsidR="00BA438E">
        <w:t xml:space="preserve">e, Electronic Meeting, </w:t>
      </w:r>
      <w:r w:rsidR="00286426">
        <w:t>January/February</w:t>
      </w:r>
      <w:r w:rsidR="0063027B">
        <w:t xml:space="preserve"> 202</w:t>
      </w:r>
      <w:r w:rsidR="00286426">
        <w:t>1</w:t>
      </w:r>
      <w:r w:rsidR="0063027B">
        <w:t>.</w:t>
      </w:r>
    </w:p>
    <w:sectPr w:rsidR="00F83912" w:rsidRPr="00B23C80" w:rsidSect="00E054B7">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44CA6" w14:textId="77777777" w:rsidR="001C1AD0" w:rsidRDefault="001C1AD0">
      <w:r>
        <w:separator/>
      </w:r>
    </w:p>
  </w:endnote>
  <w:endnote w:type="continuationSeparator" w:id="0">
    <w:p w14:paraId="637273BD" w14:textId="77777777" w:rsidR="001C1AD0" w:rsidRDefault="001C1AD0">
      <w:r>
        <w:continuationSeparator/>
      </w:r>
    </w:p>
  </w:endnote>
  <w:endnote w:type="continuationNotice" w:id="1">
    <w:p w14:paraId="7B59ADE1" w14:textId="77777777" w:rsidR="001C1AD0" w:rsidRDefault="001C1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78AE7" w14:textId="77777777" w:rsidR="00976E39" w:rsidRDefault="00B67E87" w:rsidP="00F837DD">
    <w:pPr>
      <w:pStyle w:val="Footer"/>
      <w:framePr w:wrap="around" w:vAnchor="text" w:hAnchor="margin" w:xAlign="right" w:y="1"/>
      <w:rPr>
        <w:rStyle w:val="PageNumber"/>
      </w:rPr>
    </w:pPr>
    <w:r>
      <w:rPr>
        <w:rStyle w:val="PageNumber"/>
      </w:rPr>
      <w:fldChar w:fldCharType="begin"/>
    </w:r>
    <w:r w:rsidR="00976E39">
      <w:rPr>
        <w:rStyle w:val="PageNumber"/>
      </w:rPr>
      <w:instrText xml:space="preserve">PAGE  </w:instrText>
    </w:r>
    <w:r>
      <w:rPr>
        <w:rStyle w:val="PageNumber"/>
      </w:rPr>
      <w:fldChar w:fldCharType="end"/>
    </w:r>
  </w:p>
  <w:p w14:paraId="4E88AFDC" w14:textId="77777777" w:rsidR="00976E39" w:rsidRDefault="00976E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145AE" w14:textId="2DA8EDFF" w:rsidR="00976E39" w:rsidRDefault="00B67E87" w:rsidP="00450D3B">
    <w:pPr>
      <w:pStyle w:val="Footer"/>
      <w:ind w:right="360"/>
    </w:pPr>
    <w:r>
      <w:rPr>
        <w:rStyle w:val="PageNumber"/>
      </w:rPr>
      <w:fldChar w:fldCharType="begin"/>
    </w:r>
    <w:r w:rsidR="00976E39">
      <w:rPr>
        <w:rStyle w:val="PageNumber"/>
      </w:rPr>
      <w:instrText xml:space="preserve"> PAGE </w:instrText>
    </w:r>
    <w:r>
      <w:rPr>
        <w:rStyle w:val="PageNumber"/>
      </w:rPr>
      <w:fldChar w:fldCharType="separate"/>
    </w:r>
    <w:r w:rsidR="007F04E6">
      <w:rPr>
        <w:rStyle w:val="PageNumber"/>
      </w:rPr>
      <w:t>3</w:t>
    </w:r>
    <w:r>
      <w:rPr>
        <w:rStyle w:val="PageNumber"/>
      </w:rPr>
      <w:fldChar w:fldCharType="end"/>
    </w:r>
    <w:r w:rsidR="00976E39">
      <w:rPr>
        <w:rStyle w:val="PageNumber"/>
      </w:rPr>
      <w:t>/</w:t>
    </w:r>
    <w:r>
      <w:rPr>
        <w:rStyle w:val="PageNumber"/>
      </w:rPr>
      <w:fldChar w:fldCharType="begin"/>
    </w:r>
    <w:r w:rsidR="00976E39">
      <w:rPr>
        <w:rStyle w:val="PageNumber"/>
      </w:rPr>
      <w:instrText xml:space="preserve"> NUMPAGES </w:instrText>
    </w:r>
    <w:r>
      <w:rPr>
        <w:rStyle w:val="PageNumber"/>
      </w:rPr>
      <w:fldChar w:fldCharType="separate"/>
    </w:r>
    <w:r w:rsidR="007F04E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16B89" w14:textId="77777777" w:rsidR="001C1AD0" w:rsidRDefault="001C1AD0">
      <w:r>
        <w:separator/>
      </w:r>
    </w:p>
  </w:footnote>
  <w:footnote w:type="continuationSeparator" w:id="0">
    <w:p w14:paraId="59CD0FE3" w14:textId="77777777" w:rsidR="001C1AD0" w:rsidRDefault="001C1AD0">
      <w:r>
        <w:continuationSeparator/>
      </w:r>
    </w:p>
  </w:footnote>
  <w:footnote w:type="continuationNotice" w:id="1">
    <w:p w14:paraId="06D95281" w14:textId="77777777" w:rsidR="001C1AD0" w:rsidRDefault="001C1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0A9B9" w14:textId="77777777" w:rsidR="00976E39" w:rsidRDefault="00976E39">
    <w:r>
      <w:t xml:space="preserve">Page </w:t>
    </w:r>
    <w:r w:rsidR="00B67E87">
      <w:fldChar w:fldCharType="begin"/>
    </w:r>
    <w:r>
      <w:instrText>PAGE</w:instrText>
    </w:r>
    <w:r w:rsidR="00B67E87">
      <w:fldChar w:fldCharType="separate"/>
    </w:r>
    <w:r>
      <w:rPr>
        <w:noProof/>
      </w:rPr>
      <w:t>1</w:t>
    </w:r>
    <w:r w:rsidR="00B67E8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FE7B35"/>
    <w:multiLevelType w:val="hybridMultilevel"/>
    <w:tmpl w:val="D9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00B65"/>
    <w:multiLevelType w:val="hybridMultilevel"/>
    <w:tmpl w:val="C9D6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E56B1"/>
    <w:multiLevelType w:val="hybridMultilevel"/>
    <w:tmpl w:val="0590AF88"/>
    <w:lvl w:ilvl="0" w:tplc="8CDE8C5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C4EDE"/>
    <w:multiLevelType w:val="hybridMultilevel"/>
    <w:tmpl w:val="5F98B502"/>
    <w:lvl w:ilvl="0" w:tplc="8A9AC4E6">
      <w:start w:val="1"/>
      <w:numFmt w:val="decimal"/>
      <w:pStyle w:val="Observation"/>
      <w:lvlText w:val="Observa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D011D"/>
    <w:multiLevelType w:val="hybridMultilevel"/>
    <w:tmpl w:val="B50C3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B4698"/>
    <w:multiLevelType w:val="hybridMultilevel"/>
    <w:tmpl w:val="87CE5404"/>
    <w:lvl w:ilvl="0" w:tplc="719A90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8" w15:restartNumberingAfterBreak="0">
    <w:nsid w:val="1FD269EA"/>
    <w:multiLevelType w:val="hybridMultilevel"/>
    <w:tmpl w:val="46CA3B64"/>
    <w:lvl w:ilvl="0" w:tplc="DA00E52A">
      <w:start w:val="1"/>
      <w:numFmt w:val="decimal"/>
      <w:pStyle w:val="Proposal"/>
      <w:lvlText w:val="Proposal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587D22"/>
    <w:multiLevelType w:val="hybridMultilevel"/>
    <w:tmpl w:val="B1684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ED1AD6"/>
    <w:multiLevelType w:val="hybridMultilevel"/>
    <w:tmpl w:val="F8F8D220"/>
    <w:lvl w:ilvl="0" w:tplc="99A002DC">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9346F5"/>
    <w:multiLevelType w:val="hybridMultilevel"/>
    <w:tmpl w:val="E062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A00EB"/>
    <w:multiLevelType w:val="hybridMultilevel"/>
    <w:tmpl w:val="40C402DC"/>
    <w:lvl w:ilvl="0" w:tplc="D7ECFDD0">
      <w:numFmt w:val="bullet"/>
      <w:lvlText w:val="-"/>
      <w:lvlJc w:val="left"/>
      <w:pPr>
        <w:ind w:left="1004" w:hanging="360"/>
      </w:pPr>
      <w:rPr>
        <w:rFonts w:ascii="Calibri" w:eastAsiaTheme="minorHAnsi" w:hAnsi="Calibri" w:cs="Calibr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8D1B80"/>
    <w:multiLevelType w:val="hybridMultilevel"/>
    <w:tmpl w:val="CA4EA048"/>
    <w:lvl w:ilvl="0" w:tplc="FDC0631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4211F7"/>
    <w:multiLevelType w:val="hybridMultilevel"/>
    <w:tmpl w:val="A4DA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443E3"/>
    <w:multiLevelType w:val="hybridMultilevel"/>
    <w:tmpl w:val="4B5218EA"/>
    <w:lvl w:ilvl="0" w:tplc="2938B0D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5" w15:restartNumberingAfterBreak="0">
    <w:nsid w:val="58161224"/>
    <w:multiLevelType w:val="hybridMultilevel"/>
    <w:tmpl w:val="08529A68"/>
    <w:lvl w:ilvl="0" w:tplc="4CB6650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672E1908"/>
    <w:multiLevelType w:val="hybridMultilevel"/>
    <w:tmpl w:val="B5AE602A"/>
    <w:lvl w:ilvl="0" w:tplc="D7ECFDD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74E78"/>
    <w:multiLevelType w:val="hybridMultilevel"/>
    <w:tmpl w:val="DD18703E"/>
    <w:lvl w:ilvl="0" w:tplc="4EC443B4">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8D03A6"/>
    <w:multiLevelType w:val="hybridMultilevel"/>
    <w:tmpl w:val="BD7245E0"/>
    <w:lvl w:ilvl="0" w:tplc="8FAE8BC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8B66B5"/>
    <w:multiLevelType w:val="hybridMultilevel"/>
    <w:tmpl w:val="E592D996"/>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7"/>
  </w:num>
  <w:num w:numId="3">
    <w:abstractNumId w:val="17"/>
  </w:num>
  <w:num w:numId="4">
    <w:abstractNumId w:val="10"/>
  </w:num>
  <w:num w:numId="5">
    <w:abstractNumId w:val="1"/>
  </w:num>
  <w:num w:numId="6">
    <w:abstractNumId w:val="5"/>
  </w:num>
  <w:num w:numId="7">
    <w:abstractNumId w:val="9"/>
  </w:num>
  <w:num w:numId="8">
    <w:abstractNumId w:val="14"/>
  </w:num>
  <w:num w:numId="9">
    <w:abstractNumId w:val="15"/>
  </w:num>
  <w:num w:numId="10">
    <w:abstractNumId w:val="2"/>
  </w:num>
  <w:num w:numId="11">
    <w:abstractNumId w:val="17"/>
    <w:lvlOverride w:ilvl="0">
      <w:startOverride w:val="1"/>
    </w:lvlOverride>
  </w:num>
  <w:num w:numId="12">
    <w:abstractNumId w:val="20"/>
  </w:num>
  <w:num w:numId="13">
    <w:abstractNumId w:val="11"/>
  </w:num>
  <w:num w:numId="14">
    <w:abstractNumId w:val="19"/>
  </w:num>
  <w:num w:numId="15">
    <w:abstractNumId w:val="3"/>
  </w:num>
  <w:num w:numId="16">
    <w:abstractNumId w:val="12"/>
  </w:num>
  <w:num w:numId="17">
    <w:abstractNumId w:val="31"/>
  </w:num>
  <w:num w:numId="18">
    <w:abstractNumId w:val="29"/>
  </w:num>
  <w:num w:numId="19">
    <w:abstractNumId w:val="18"/>
  </w:num>
  <w:num w:numId="20">
    <w:abstractNumId w:val="25"/>
  </w:num>
  <w:num w:numId="21">
    <w:abstractNumId w:val="31"/>
  </w:num>
  <w:num w:numId="22">
    <w:abstractNumId w:val="0"/>
  </w:num>
  <w:num w:numId="23">
    <w:abstractNumId w:val="24"/>
  </w:num>
  <w:num w:numId="24">
    <w:abstractNumId w:val="26"/>
  </w:num>
  <w:num w:numId="25">
    <w:abstractNumId w:val="22"/>
  </w:num>
  <w:num w:numId="26">
    <w:abstractNumId w:val="27"/>
  </w:num>
  <w:num w:numId="27">
    <w:abstractNumId w:val="31"/>
    <w:lvlOverride w:ilvl="0">
      <w:startOverride w:val="1"/>
    </w:lvlOverride>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24"/>
  </w:num>
  <w:num w:numId="36">
    <w:abstractNumId w:val="26"/>
  </w:num>
  <w:num w:numId="37">
    <w:abstractNumId w:val="8"/>
  </w:num>
  <w:num w:numId="38">
    <w:abstractNumId w:val="8"/>
    <w:lvlOverride w:ilvl="0">
      <w:startOverride w:val="1"/>
    </w:lvlOverride>
  </w:num>
  <w:num w:numId="39">
    <w:abstractNumId w:val="8"/>
  </w:num>
  <w:num w:numId="40">
    <w:abstractNumId w:val="8"/>
    <w:lvlOverride w:ilvl="0">
      <w:startOverride w:val="1"/>
    </w:lvlOverride>
  </w:num>
  <w:num w:numId="41">
    <w:abstractNumId w:val="28"/>
  </w:num>
  <w:num w:numId="42">
    <w:abstractNumId w:val="23"/>
  </w:num>
  <w:num w:numId="43">
    <w:abstractNumId w:val="8"/>
  </w:num>
  <w:num w:numId="44">
    <w:abstractNumId w:val="16"/>
  </w:num>
  <w:num w:numId="45">
    <w:abstractNumId w:val="4"/>
  </w:num>
  <w:num w:numId="46">
    <w:abstractNumId w:val="6"/>
  </w:num>
  <w:num w:numId="47">
    <w:abstractNumId w:val="30"/>
  </w:num>
  <w:num w:numId="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2EA"/>
    <w:rsid w:val="000037FB"/>
    <w:rsid w:val="00003EF0"/>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2735A"/>
    <w:rsid w:val="000300FE"/>
    <w:rsid w:val="00030F08"/>
    <w:rsid w:val="00030F74"/>
    <w:rsid w:val="000319C1"/>
    <w:rsid w:val="00031EDD"/>
    <w:rsid w:val="00032DAB"/>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173"/>
    <w:rsid w:val="00051711"/>
    <w:rsid w:val="00051BDC"/>
    <w:rsid w:val="00052588"/>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19CC"/>
    <w:rsid w:val="00062551"/>
    <w:rsid w:val="00062963"/>
    <w:rsid w:val="00062CA8"/>
    <w:rsid w:val="00063E21"/>
    <w:rsid w:val="00063F57"/>
    <w:rsid w:val="0006549C"/>
    <w:rsid w:val="0006633C"/>
    <w:rsid w:val="00066576"/>
    <w:rsid w:val="000665AA"/>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0C8B"/>
    <w:rsid w:val="0008115F"/>
    <w:rsid w:val="00081546"/>
    <w:rsid w:val="000820C9"/>
    <w:rsid w:val="0008257A"/>
    <w:rsid w:val="000827E6"/>
    <w:rsid w:val="00083322"/>
    <w:rsid w:val="000840E7"/>
    <w:rsid w:val="00084255"/>
    <w:rsid w:val="00084C78"/>
    <w:rsid w:val="00085465"/>
    <w:rsid w:val="00085C0B"/>
    <w:rsid w:val="00086602"/>
    <w:rsid w:val="00086864"/>
    <w:rsid w:val="00086B50"/>
    <w:rsid w:val="00087085"/>
    <w:rsid w:val="00087E29"/>
    <w:rsid w:val="000900D7"/>
    <w:rsid w:val="00090323"/>
    <w:rsid w:val="000913D5"/>
    <w:rsid w:val="00091978"/>
    <w:rsid w:val="000931C3"/>
    <w:rsid w:val="00093582"/>
    <w:rsid w:val="00094EF2"/>
    <w:rsid w:val="0009559C"/>
    <w:rsid w:val="00095B6A"/>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19A"/>
    <w:rsid w:val="000B23E2"/>
    <w:rsid w:val="000B245F"/>
    <w:rsid w:val="000B247A"/>
    <w:rsid w:val="000B256B"/>
    <w:rsid w:val="000B3F37"/>
    <w:rsid w:val="000B546F"/>
    <w:rsid w:val="000B58B7"/>
    <w:rsid w:val="000B5E4A"/>
    <w:rsid w:val="000B60D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4FB"/>
    <w:rsid w:val="000C657C"/>
    <w:rsid w:val="000C764F"/>
    <w:rsid w:val="000D037E"/>
    <w:rsid w:val="000D0C91"/>
    <w:rsid w:val="000D0F9A"/>
    <w:rsid w:val="000D11B1"/>
    <w:rsid w:val="000D148D"/>
    <w:rsid w:val="000D1570"/>
    <w:rsid w:val="000D1610"/>
    <w:rsid w:val="000D1842"/>
    <w:rsid w:val="000D1A08"/>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6DDE"/>
    <w:rsid w:val="000F7452"/>
    <w:rsid w:val="000F794D"/>
    <w:rsid w:val="00100E41"/>
    <w:rsid w:val="00101489"/>
    <w:rsid w:val="00101ACE"/>
    <w:rsid w:val="00102147"/>
    <w:rsid w:val="00102FE9"/>
    <w:rsid w:val="00103E0E"/>
    <w:rsid w:val="00104058"/>
    <w:rsid w:val="0010405D"/>
    <w:rsid w:val="00104228"/>
    <w:rsid w:val="0010458A"/>
    <w:rsid w:val="00104A80"/>
    <w:rsid w:val="00105820"/>
    <w:rsid w:val="001059E6"/>
    <w:rsid w:val="00105CEE"/>
    <w:rsid w:val="00105FC2"/>
    <w:rsid w:val="00106117"/>
    <w:rsid w:val="00106CC3"/>
    <w:rsid w:val="00106E7E"/>
    <w:rsid w:val="00107123"/>
    <w:rsid w:val="00107A94"/>
    <w:rsid w:val="00110030"/>
    <w:rsid w:val="00110086"/>
    <w:rsid w:val="0011051C"/>
    <w:rsid w:val="0011093D"/>
    <w:rsid w:val="00110AE3"/>
    <w:rsid w:val="00111011"/>
    <w:rsid w:val="001115C0"/>
    <w:rsid w:val="00111AD9"/>
    <w:rsid w:val="00112B8F"/>
    <w:rsid w:val="00112CFB"/>
    <w:rsid w:val="001132E9"/>
    <w:rsid w:val="001133B5"/>
    <w:rsid w:val="001134DA"/>
    <w:rsid w:val="001140FA"/>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17B"/>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540"/>
    <w:rsid w:val="00146B09"/>
    <w:rsid w:val="00146E5E"/>
    <w:rsid w:val="0014719D"/>
    <w:rsid w:val="001474D9"/>
    <w:rsid w:val="00147B5F"/>
    <w:rsid w:val="00147D67"/>
    <w:rsid w:val="00147E88"/>
    <w:rsid w:val="0015019F"/>
    <w:rsid w:val="00150577"/>
    <w:rsid w:val="00150616"/>
    <w:rsid w:val="0015135A"/>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3EAD"/>
    <w:rsid w:val="0016465B"/>
    <w:rsid w:val="001647FA"/>
    <w:rsid w:val="00166868"/>
    <w:rsid w:val="001669CF"/>
    <w:rsid w:val="00167857"/>
    <w:rsid w:val="001678EF"/>
    <w:rsid w:val="00167C50"/>
    <w:rsid w:val="00167ECA"/>
    <w:rsid w:val="00172414"/>
    <w:rsid w:val="001724C5"/>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7D0"/>
    <w:rsid w:val="00197FA7"/>
    <w:rsid w:val="001A019F"/>
    <w:rsid w:val="001A0303"/>
    <w:rsid w:val="001A037C"/>
    <w:rsid w:val="001A067A"/>
    <w:rsid w:val="001A0D8D"/>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4A8"/>
    <w:rsid w:val="001C063F"/>
    <w:rsid w:val="001C16A9"/>
    <w:rsid w:val="001C1AD0"/>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39E"/>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661"/>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4519"/>
    <w:rsid w:val="002562E9"/>
    <w:rsid w:val="00256B8F"/>
    <w:rsid w:val="00257A62"/>
    <w:rsid w:val="002605CB"/>
    <w:rsid w:val="0026075E"/>
    <w:rsid w:val="00260906"/>
    <w:rsid w:val="00260998"/>
    <w:rsid w:val="00261142"/>
    <w:rsid w:val="002612AF"/>
    <w:rsid w:val="00261D05"/>
    <w:rsid w:val="00262830"/>
    <w:rsid w:val="00262952"/>
    <w:rsid w:val="00263BC6"/>
    <w:rsid w:val="00263C17"/>
    <w:rsid w:val="002644D5"/>
    <w:rsid w:val="00264B50"/>
    <w:rsid w:val="00265701"/>
    <w:rsid w:val="00265996"/>
    <w:rsid w:val="00265A57"/>
    <w:rsid w:val="00265B7E"/>
    <w:rsid w:val="00266210"/>
    <w:rsid w:val="00266FF8"/>
    <w:rsid w:val="0026716C"/>
    <w:rsid w:val="002676D3"/>
    <w:rsid w:val="002676EA"/>
    <w:rsid w:val="00270087"/>
    <w:rsid w:val="0027074B"/>
    <w:rsid w:val="00271501"/>
    <w:rsid w:val="002727C8"/>
    <w:rsid w:val="00272FEB"/>
    <w:rsid w:val="002738C9"/>
    <w:rsid w:val="00273B2D"/>
    <w:rsid w:val="00273CFB"/>
    <w:rsid w:val="00274B3C"/>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426"/>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EDF"/>
    <w:rsid w:val="00296FD8"/>
    <w:rsid w:val="0029743A"/>
    <w:rsid w:val="00297DBE"/>
    <w:rsid w:val="002A0724"/>
    <w:rsid w:val="002A07C1"/>
    <w:rsid w:val="002A08EC"/>
    <w:rsid w:val="002A1DF0"/>
    <w:rsid w:val="002A205B"/>
    <w:rsid w:val="002A3668"/>
    <w:rsid w:val="002A53DF"/>
    <w:rsid w:val="002A67AD"/>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6EB"/>
    <w:rsid w:val="002C3AE4"/>
    <w:rsid w:val="002C4749"/>
    <w:rsid w:val="002C4CB7"/>
    <w:rsid w:val="002C5620"/>
    <w:rsid w:val="002C57BB"/>
    <w:rsid w:val="002C61E0"/>
    <w:rsid w:val="002C6221"/>
    <w:rsid w:val="002C6374"/>
    <w:rsid w:val="002C6BE0"/>
    <w:rsid w:val="002C7B03"/>
    <w:rsid w:val="002D0657"/>
    <w:rsid w:val="002D08DC"/>
    <w:rsid w:val="002D13B7"/>
    <w:rsid w:val="002D1A21"/>
    <w:rsid w:val="002D20FC"/>
    <w:rsid w:val="002D26FA"/>
    <w:rsid w:val="002D2B4E"/>
    <w:rsid w:val="002D40D9"/>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2F7D9F"/>
    <w:rsid w:val="0030000D"/>
    <w:rsid w:val="003005AC"/>
    <w:rsid w:val="00300A26"/>
    <w:rsid w:val="003011C0"/>
    <w:rsid w:val="0030121F"/>
    <w:rsid w:val="00301890"/>
    <w:rsid w:val="003024DE"/>
    <w:rsid w:val="00302701"/>
    <w:rsid w:val="00302CBE"/>
    <w:rsid w:val="0030305A"/>
    <w:rsid w:val="00303442"/>
    <w:rsid w:val="003044B9"/>
    <w:rsid w:val="00304F48"/>
    <w:rsid w:val="003073BB"/>
    <w:rsid w:val="00307683"/>
    <w:rsid w:val="00307B27"/>
    <w:rsid w:val="00307D3F"/>
    <w:rsid w:val="0031013F"/>
    <w:rsid w:val="0031058E"/>
    <w:rsid w:val="00311941"/>
    <w:rsid w:val="003123EA"/>
    <w:rsid w:val="003125FA"/>
    <w:rsid w:val="00313982"/>
    <w:rsid w:val="00313C4F"/>
    <w:rsid w:val="00314280"/>
    <w:rsid w:val="003158FE"/>
    <w:rsid w:val="00315DD9"/>
    <w:rsid w:val="00316717"/>
    <w:rsid w:val="00317050"/>
    <w:rsid w:val="00320B56"/>
    <w:rsid w:val="00320BED"/>
    <w:rsid w:val="00320F94"/>
    <w:rsid w:val="003230B0"/>
    <w:rsid w:val="00325F5C"/>
    <w:rsid w:val="003268CF"/>
    <w:rsid w:val="00326974"/>
    <w:rsid w:val="00327A0A"/>
    <w:rsid w:val="0033007D"/>
    <w:rsid w:val="0033027D"/>
    <w:rsid w:val="003308C4"/>
    <w:rsid w:val="00330DE8"/>
    <w:rsid w:val="00331EDC"/>
    <w:rsid w:val="00331FF4"/>
    <w:rsid w:val="003323F3"/>
    <w:rsid w:val="0033306E"/>
    <w:rsid w:val="00333DC8"/>
    <w:rsid w:val="00335250"/>
    <w:rsid w:val="0033592C"/>
    <w:rsid w:val="00335B9C"/>
    <w:rsid w:val="00336164"/>
    <w:rsid w:val="0034150F"/>
    <w:rsid w:val="0034298C"/>
    <w:rsid w:val="0034305B"/>
    <w:rsid w:val="00343E84"/>
    <w:rsid w:val="003444EB"/>
    <w:rsid w:val="00344778"/>
    <w:rsid w:val="00344E12"/>
    <w:rsid w:val="00344F78"/>
    <w:rsid w:val="0034511B"/>
    <w:rsid w:val="00345740"/>
    <w:rsid w:val="00346F28"/>
    <w:rsid w:val="003504EC"/>
    <w:rsid w:val="00350996"/>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0C31"/>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709A"/>
    <w:rsid w:val="003773C7"/>
    <w:rsid w:val="00377569"/>
    <w:rsid w:val="00377A68"/>
    <w:rsid w:val="00377C91"/>
    <w:rsid w:val="00377CE8"/>
    <w:rsid w:val="003810EA"/>
    <w:rsid w:val="003811F7"/>
    <w:rsid w:val="0038166A"/>
    <w:rsid w:val="0038187D"/>
    <w:rsid w:val="003821E7"/>
    <w:rsid w:val="00382B96"/>
    <w:rsid w:val="00383130"/>
    <w:rsid w:val="003834C7"/>
    <w:rsid w:val="00383881"/>
    <w:rsid w:val="00383D4B"/>
    <w:rsid w:val="00384735"/>
    <w:rsid w:val="003848D9"/>
    <w:rsid w:val="00385614"/>
    <w:rsid w:val="00385DBB"/>
    <w:rsid w:val="00386B71"/>
    <w:rsid w:val="003871D9"/>
    <w:rsid w:val="00387771"/>
    <w:rsid w:val="00387B4D"/>
    <w:rsid w:val="003908C2"/>
    <w:rsid w:val="0039178D"/>
    <w:rsid w:val="00392C0A"/>
    <w:rsid w:val="00392D4A"/>
    <w:rsid w:val="00393367"/>
    <w:rsid w:val="003939F6"/>
    <w:rsid w:val="00393AA5"/>
    <w:rsid w:val="00393B78"/>
    <w:rsid w:val="00393B7F"/>
    <w:rsid w:val="003942A4"/>
    <w:rsid w:val="00394E4F"/>
    <w:rsid w:val="003959A9"/>
    <w:rsid w:val="0039665F"/>
    <w:rsid w:val="00396D81"/>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A7AF7"/>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A23"/>
    <w:rsid w:val="003C1F75"/>
    <w:rsid w:val="003C23C3"/>
    <w:rsid w:val="003C28E6"/>
    <w:rsid w:val="003C4F25"/>
    <w:rsid w:val="003C5113"/>
    <w:rsid w:val="003C5399"/>
    <w:rsid w:val="003C5FE4"/>
    <w:rsid w:val="003C6E9F"/>
    <w:rsid w:val="003C78A0"/>
    <w:rsid w:val="003C7CE7"/>
    <w:rsid w:val="003D0246"/>
    <w:rsid w:val="003D09DA"/>
    <w:rsid w:val="003D0A1E"/>
    <w:rsid w:val="003D0AD2"/>
    <w:rsid w:val="003D12AF"/>
    <w:rsid w:val="003D132A"/>
    <w:rsid w:val="003D1529"/>
    <w:rsid w:val="003D2339"/>
    <w:rsid w:val="003D26AA"/>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F4B"/>
    <w:rsid w:val="004073B0"/>
    <w:rsid w:val="004077CC"/>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192"/>
    <w:rsid w:val="0042156E"/>
    <w:rsid w:val="0042221A"/>
    <w:rsid w:val="004226D3"/>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364"/>
    <w:rsid w:val="0043480E"/>
    <w:rsid w:val="004352B4"/>
    <w:rsid w:val="004355EB"/>
    <w:rsid w:val="00435602"/>
    <w:rsid w:val="00435635"/>
    <w:rsid w:val="004356FA"/>
    <w:rsid w:val="00435CCF"/>
    <w:rsid w:val="004365C5"/>
    <w:rsid w:val="00437179"/>
    <w:rsid w:val="004371AB"/>
    <w:rsid w:val="0044035D"/>
    <w:rsid w:val="0044166C"/>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DEF"/>
    <w:rsid w:val="004543E4"/>
    <w:rsid w:val="00454539"/>
    <w:rsid w:val="004548E5"/>
    <w:rsid w:val="004549AF"/>
    <w:rsid w:val="00454C27"/>
    <w:rsid w:val="00455B39"/>
    <w:rsid w:val="00456114"/>
    <w:rsid w:val="004562F8"/>
    <w:rsid w:val="00456971"/>
    <w:rsid w:val="00456DBF"/>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3146"/>
    <w:rsid w:val="004641FE"/>
    <w:rsid w:val="0046434B"/>
    <w:rsid w:val="00465573"/>
    <w:rsid w:val="00465FF9"/>
    <w:rsid w:val="0046649C"/>
    <w:rsid w:val="004670B3"/>
    <w:rsid w:val="00467A56"/>
    <w:rsid w:val="00467B21"/>
    <w:rsid w:val="00470750"/>
    <w:rsid w:val="004707FD"/>
    <w:rsid w:val="00471856"/>
    <w:rsid w:val="004720EB"/>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C33"/>
    <w:rsid w:val="00495AA2"/>
    <w:rsid w:val="004961DB"/>
    <w:rsid w:val="00496899"/>
    <w:rsid w:val="00496927"/>
    <w:rsid w:val="00496A97"/>
    <w:rsid w:val="00497E75"/>
    <w:rsid w:val="00497FF8"/>
    <w:rsid w:val="004A04B1"/>
    <w:rsid w:val="004A0C8F"/>
    <w:rsid w:val="004A11C3"/>
    <w:rsid w:val="004A15A9"/>
    <w:rsid w:val="004A201F"/>
    <w:rsid w:val="004A2EF3"/>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63"/>
    <w:rsid w:val="004E2487"/>
    <w:rsid w:val="004E3FD8"/>
    <w:rsid w:val="004E4503"/>
    <w:rsid w:val="004E46BD"/>
    <w:rsid w:val="004E49DC"/>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42A"/>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8A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AA5"/>
    <w:rsid w:val="00525CAE"/>
    <w:rsid w:val="00526653"/>
    <w:rsid w:val="00526C8A"/>
    <w:rsid w:val="00527489"/>
    <w:rsid w:val="00527DB2"/>
    <w:rsid w:val="00530BD5"/>
    <w:rsid w:val="00531307"/>
    <w:rsid w:val="0053173A"/>
    <w:rsid w:val="00531824"/>
    <w:rsid w:val="00532462"/>
    <w:rsid w:val="00532976"/>
    <w:rsid w:val="00533215"/>
    <w:rsid w:val="005339D2"/>
    <w:rsid w:val="00533B96"/>
    <w:rsid w:val="0053437E"/>
    <w:rsid w:val="0053476E"/>
    <w:rsid w:val="005349EB"/>
    <w:rsid w:val="00534B42"/>
    <w:rsid w:val="00534D96"/>
    <w:rsid w:val="0053542C"/>
    <w:rsid w:val="005408FD"/>
    <w:rsid w:val="00540EC8"/>
    <w:rsid w:val="005412C8"/>
    <w:rsid w:val="005417A0"/>
    <w:rsid w:val="005422E8"/>
    <w:rsid w:val="005426C4"/>
    <w:rsid w:val="00543342"/>
    <w:rsid w:val="00543A66"/>
    <w:rsid w:val="0054556C"/>
    <w:rsid w:val="0054556F"/>
    <w:rsid w:val="00546738"/>
    <w:rsid w:val="005467D6"/>
    <w:rsid w:val="00546942"/>
    <w:rsid w:val="00546ACE"/>
    <w:rsid w:val="00546D42"/>
    <w:rsid w:val="005471F1"/>
    <w:rsid w:val="00547E9B"/>
    <w:rsid w:val="00550151"/>
    <w:rsid w:val="00551204"/>
    <w:rsid w:val="00552163"/>
    <w:rsid w:val="00552569"/>
    <w:rsid w:val="0055269F"/>
    <w:rsid w:val="005527EA"/>
    <w:rsid w:val="00552AC3"/>
    <w:rsid w:val="00552EC0"/>
    <w:rsid w:val="005533EA"/>
    <w:rsid w:val="0055348E"/>
    <w:rsid w:val="00553C13"/>
    <w:rsid w:val="00553D14"/>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5D9A"/>
    <w:rsid w:val="0056710F"/>
    <w:rsid w:val="0056719E"/>
    <w:rsid w:val="00567D6E"/>
    <w:rsid w:val="00570859"/>
    <w:rsid w:val="00570B67"/>
    <w:rsid w:val="00570C83"/>
    <w:rsid w:val="0057137A"/>
    <w:rsid w:val="00572583"/>
    <w:rsid w:val="00572A3E"/>
    <w:rsid w:val="00572B21"/>
    <w:rsid w:val="00573146"/>
    <w:rsid w:val="005735E8"/>
    <w:rsid w:val="0057380A"/>
    <w:rsid w:val="00573A84"/>
    <w:rsid w:val="00573B1B"/>
    <w:rsid w:val="00573BC0"/>
    <w:rsid w:val="00573E29"/>
    <w:rsid w:val="00573F24"/>
    <w:rsid w:val="00575248"/>
    <w:rsid w:val="00575716"/>
    <w:rsid w:val="005758CE"/>
    <w:rsid w:val="00575A18"/>
    <w:rsid w:val="00575E94"/>
    <w:rsid w:val="005770BC"/>
    <w:rsid w:val="00577BE7"/>
    <w:rsid w:val="00580760"/>
    <w:rsid w:val="00581367"/>
    <w:rsid w:val="005819D7"/>
    <w:rsid w:val="00582D3E"/>
    <w:rsid w:val="00582E3D"/>
    <w:rsid w:val="0058314F"/>
    <w:rsid w:val="005836D0"/>
    <w:rsid w:val="00583766"/>
    <w:rsid w:val="005840CB"/>
    <w:rsid w:val="005840E5"/>
    <w:rsid w:val="0058445A"/>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A05C6"/>
    <w:rsid w:val="005A0753"/>
    <w:rsid w:val="005A0789"/>
    <w:rsid w:val="005A167B"/>
    <w:rsid w:val="005A2219"/>
    <w:rsid w:val="005A2229"/>
    <w:rsid w:val="005A2832"/>
    <w:rsid w:val="005A320D"/>
    <w:rsid w:val="005A3468"/>
    <w:rsid w:val="005A35EA"/>
    <w:rsid w:val="005A36E3"/>
    <w:rsid w:val="005A4A64"/>
    <w:rsid w:val="005A50A0"/>
    <w:rsid w:val="005A50FE"/>
    <w:rsid w:val="005A59CF"/>
    <w:rsid w:val="005A6CB4"/>
    <w:rsid w:val="005A7ECD"/>
    <w:rsid w:val="005A7F72"/>
    <w:rsid w:val="005B097C"/>
    <w:rsid w:val="005B1CC4"/>
    <w:rsid w:val="005B1D3E"/>
    <w:rsid w:val="005B2EB8"/>
    <w:rsid w:val="005B33A1"/>
    <w:rsid w:val="005B4282"/>
    <w:rsid w:val="005B5251"/>
    <w:rsid w:val="005B54FE"/>
    <w:rsid w:val="005B5A55"/>
    <w:rsid w:val="005B5F56"/>
    <w:rsid w:val="005B67F6"/>
    <w:rsid w:val="005B7D8A"/>
    <w:rsid w:val="005C0904"/>
    <w:rsid w:val="005C09BF"/>
    <w:rsid w:val="005C0D61"/>
    <w:rsid w:val="005C0E62"/>
    <w:rsid w:val="005C17D4"/>
    <w:rsid w:val="005C18B0"/>
    <w:rsid w:val="005C1B10"/>
    <w:rsid w:val="005C1F4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D7B01"/>
    <w:rsid w:val="005E0010"/>
    <w:rsid w:val="005E0EAD"/>
    <w:rsid w:val="005E0EB3"/>
    <w:rsid w:val="005E1F47"/>
    <w:rsid w:val="005E260D"/>
    <w:rsid w:val="005E35FD"/>
    <w:rsid w:val="005E383F"/>
    <w:rsid w:val="005E4972"/>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0E33"/>
    <w:rsid w:val="006012E3"/>
    <w:rsid w:val="00601FCD"/>
    <w:rsid w:val="00602949"/>
    <w:rsid w:val="00602CFB"/>
    <w:rsid w:val="00602F2F"/>
    <w:rsid w:val="00602FB5"/>
    <w:rsid w:val="0060342E"/>
    <w:rsid w:val="0060384D"/>
    <w:rsid w:val="006039C5"/>
    <w:rsid w:val="0060515F"/>
    <w:rsid w:val="006055A3"/>
    <w:rsid w:val="00606C6F"/>
    <w:rsid w:val="00606FA6"/>
    <w:rsid w:val="00607079"/>
    <w:rsid w:val="00607ADE"/>
    <w:rsid w:val="00611C83"/>
    <w:rsid w:val="00612015"/>
    <w:rsid w:val="006120D1"/>
    <w:rsid w:val="006122CF"/>
    <w:rsid w:val="0061286E"/>
    <w:rsid w:val="00612C73"/>
    <w:rsid w:val="006133F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253"/>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1D11"/>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29A"/>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6C3F"/>
    <w:rsid w:val="006478E6"/>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6FFB"/>
    <w:rsid w:val="00677B01"/>
    <w:rsid w:val="00677E8D"/>
    <w:rsid w:val="00680A97"/>
    <w:rsid w:val="00680C3F"/>
    <w:rsid w:val="0068102D"/>
    <w:rsid w:val="0068226B"/>
    <w:rsid w:val="00682ED3"/>
    <w:rsid w:val="0068370B"/>
    <w:rsid w:val="00684BDE"/>
    <w:rsid w:val="00684FBD"/>
    <w:rsid w:val="00685535"/>
    <w:rsid w:val="00685D3B"/>
    <w:rsid w:val="006863EA"/>
    <w:rsid w:val="00687817"/>
    <w:rsid w:val="0069008A"/>
    <w:rsid w:val="00690881"/>
    <w:rsid w:val="00692799"/>
    <w:rsid w:val="00692A0D"/>
    <w:rsid w:val="00693077"/>
    <w:rsid w:val="00693295"/>
    <w:rsid w:val="006936BD"/>
    <w:rsid w:val="0069447C"/>
    <w:rsid w:val="00695E3A"/>
    <w:rsid w:val="00697076"/>
    <w:rsid w:val="006979CD"/>
    <w:rsid w:val="00697FE2"/>
    <w:rsid w:val="006A05E8"/>
    <w:rsid w:val="006A0B49"/>
    <w:rsid w:val="006A1313"/>
    <w:rsid w:val="006A1C6F"/>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A7C"/>
    <w:rsid w:val="006B1DA2"/>
    <w:rsid w:val="006B1F5F"/>
    <w:rsid w:val="006B2064"/>
    <w:rsid w:val="006B2AAC"/>
    <w:rsid w:val="006B3AD6"/>
    <w:rsid w:val="006B4F5B"/>
    <w:rsid w:val="006B5922"/>
    <w:rsid w:val="006B67DE"/>
    <w:rsid w:val="006B6C94"/>
    <w:rsid w:val="006B6E3E"/>
    <w:rsid w:val="006C0900"/>
    <w:rsid w:val="006C09DD"/>
    <w:rsid w:val="006C10C0"/>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A2D"/>
    <w:rsid w:val="006E3B45"/>
    <w:rsid w:val="006E4066"/>
    <w:rsid w:val="006E512D"/>
    <w:rsid w:val="006E53A6"/>
    <w:rsid w:val="006E5C3A"/>
    <w:rsid w:val="006E610E"/>
    <w:rsid w:val="006E6F8F"/>
    <w:rsid w:val="006E6FC9"/>
    <w:rsid w:val="006E7093"/>
    <w:rsid w:val="006E7496"/>
    <w:rsid w:val="006E7969"/>
    <w:rsid w:val="006F0104"/>
    <w:rsid w:val="006F0B08"/>
    <w:rsid w:val="006F0C12"/>
    <w:rsid w:val="006F0EB1"/>
    <w:rsid w:val="006F1636"/>
    <w:rsid w:val="006F16B4"/>
    <w:rsid w:val="006F16D6"/>
    <w:rsid w:val="006F2A5F"/>
    <w:rsid w:val="006F2CCB"/>
    <w:rsid w:val="006F2E9D"/>
    <w:rsid w:val="006F314D"/>
    <w:rsid w:val="006F57A2"/>
    <w:rsid w:val="006F59D4"/>
    <w:rsid w:val="006F5CDF"/>
    <w:rsid w:val="006F5FAA"/>
    <w:rsid w:val="006F61B8"/>
    <w:rsid w:val="006F6BE1"/>
    <w:rsid w:val="006F738F"/>
    <w:rsid w:val="006F7E42"/>
    <w:rsid w:val="0070023A"/>
    <w:rsid w:val="00700EC2"/>
    <w:rsid w:val="00700F47"/>
    <w:rsid w:val="00700F6E"/>
    <w:rsid w:val="007014E1"/>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566"/>
    <w:rsid w:val="0073171A"/>
    <w:rsid w:val="0073278B"/>
    <w:rsid w:val="00733FA0"/>
    <w:rsid w:val="00734049"/>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83D"/>
    <w:rsid w:val="00760D79"/>
    <w:rsid w:val="0076121D"/>
    <w:rsid w:val="007616CD"/>
    <w:rsid w:val="007619FB"/>
    <w:rsid w:val="00761C91"/>
    <w:rsid w:val="00762924"/>
    <w:rsid w:val="00762D30"/>
    <w:rsid w:val="00763339"/>
    <w:rsid w:val="00763355"/>
    <w:rsid w:val="00763522"/>
    <w:rsid w:val="00763FE8"/>
    <w:rsid w:val="00764A6B"/>
    <w:rsid w:val="00764E1D"/>
    <w:rsid w:val="00765327"/>
    <w:rsid w:val="007661E2"/>
    <w:rsid w:val="00766AE4"/>
    <w:rsid w:val="00766BFB"/>
    <w:rsid w:val="007678B6"/>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732"/>
    <w:rsid w:val="0078095A"/>
    <w:rsid w:val="0078146E"/>
    <w:rsid w:val="0078165E"/>
    <w:rsid w:val="00781B9A"/>
    <w:rsid w:val="0078243D"/>
    <w:rsid w:val="00783659"/>
    <w:rsid w:val="0078380D"/>
    <w:rsid w:val="00783BCC"/>
    <w:rsid w:val="007842F0"/>
    <w:rsid w:val="00784702"/>
    <w:rsid w:val="007847B9"/>
    <w:rsid w:val="00785381"/>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252"/>
    <w:rsid w:val="007E276E"/>
    <w:rsid w:val="007E27CC"/>
    <w:rsid w:val="007E2B64"/>
    <w:rsid w:val="007E3051"/>
    <w:rsid w:val="007E4238"/>
    <w:rsid w:val="007E43A4"/>
    <w:rsid w:val="007E491B"/>
    <w:rsid w:val="007E4E4F"/>
    <w:rsid w:val="007E6477"/>
    <w:rsid w:val="007E686B"/>
    <w:rsid w:val="007E6D46"/>
    <w:rsid w:val="007E6DA8"/>
    <w:rsid w:val="007E73ED"/>
    <w:rsid w:val="007E7A3E"/>
    <w:rsid w:val="007E7C75"/>
    <w:rsid w:val="007F04E6"/>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3C7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0FE6"/>
    <w:rsid w:val="00821167"/>
    <w:rsid w:val="00821737"/>
    <w:rsid w:val="00821B0B"/>
    <w:rsid w:val="00821D40"/>
    <w:rsid w:val="008233F8"/>
    <w:rsid w:val="008237B2"/>
    <w:rsid w:val="00827A8A"/>
    <w:rsid w:val="00830D11"/>
    <w:rsid w:val="008314F0"/>
    <w:rsid w:val="008319D3"/>
    <w:rsid w:val="00832C18"/>
    <w:rsid w:val="0083388D"/>
    <w:rsid w:val="00833A21"/>
    <w:rsid w:val="0083411C"/>
    <w:rsid w:val="008343CB"/>
    <w:rsid w:val="00834512"/>
    <w:rsid w:val="00835544"/>
    <w:rsid w:val="00835967"/>
    <w:rsid w:val="00835B82"/>
    <w:rsid w:val="00836157"/>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D97"/>
    <w:rsid w:val="00845F51"/>
    <w:rsid w:val="00846069"/>
    <w:rsid w:val="0084637B"/>
    <w:rsid w:val="00846467"/>
    <w:rsid w:val="0084760D"/>
    <w:rsid w:val="00847991"/>
    <w:rsid w:val="008479F4"/>
    <w:rsid w:val="00847C4E"/>
    <w:rsid w:val="0085172A"/>
    <w:rsid w:val="008517E2"/>
    <w:rsid w:val="008535B0"/>
    <w:rsid w:val="00853A21"/>
    <w:rsid w:val="00853BD0"/>
    <w:rsid w:val="008544D2"/>
    <w:rsid w:val="00854983"/>
    <w:rsid w:val="00854DBE"/>
    <w:rsid w:val="00855C75"/>
    <w:rsid w:val="008569DF"/>
    <w:rsid w:val="00856B6B"/>
    <w:rsid w:val="00856E4A"/>
    <w:rsid w:val="00856EEA"/>
    <w:rsid w:val="008579B1"/>
    <w:rsid w:val="00857DB5"/>
    <w:rsid w:val="00857F97"/>
    <w:rsid w:val="0086007E"/>
    <w:rsid w:val="0086037F"/>
    <w:rsid w:val="00860777"/>
    <w:rsid w:val="00860AD4"/>
    <w:rsid w:val="0086119E"/>
    <w:rsid w:val="008614CF"/>
    <w:rsid w:val="00861B0E"/>
    <w:rsid w:val="00861B16"/>
    <w:rsid w:val="00861B41"/>
    <w:rsid w:val="00861DA1"/>
    <w:rsid w:val="00862173"/>
    <w:rsid w:val="008621F7"/>
    <w:rsid w:val="008626B0"/>
    <w:rsid w:val="00864A2A"/>
    <w:rsid w:val="00864E86"/>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7C0"/>
    <w:rsid w:val="008B0872"/>
    <w:rsid w:val="008B0DCC"/>
    <w:rsid w:val="008B1651"/>
    <w:rsid w:val="008B27A6"/>
    <w:rsid w:val="008B2DEB"/>
    <w:rsid w:val="008B3537"/>
    <w:rsid w:val="008B3D4F"/>
    <w:rsid w:val="008B4B0D"/>
    <w:rsid w:val="008B4B33"/>
    <w:rsid w:val="008B511C"/>
    <w:rsid w:val="008B5578"/>
    <w:rsid w:val="008B5867"/>
    <w:rsid w:val="008B5A81"/>
    <w:rsid w:val="008B7441"/>
    <w:rsid w:val="008B767A"/>
    <w:rsid w:val="008C0743"/>
    <w:rsid w:val="008C084B"/>
    <w:rsid w:val="008C0DB5"/>
    <w:rsid w:val="008C1581"/>
    <w:rsid w:val="008C17CD"/>
    <w:rsid w:val="008C2453"/>
    <w:rsid w:val="008C2920"/>
    <w:rsid w:val="008C32F7"/>
    <w:rsid w:val="008C39B0"/>
    <w:rsid w:val="008C436D"/>
    <w:rsid w:val="008C4853"/>
    <w:rsid w:val="008C48F2"/>
    <w:rsid w:val="008C5040"/>
    <w:rsid w:val="008C5BE7"/>
    <w:rsid w:val="008C74CC"/>
    <w:rsid w:val="008C7737"/>
    <w:rsid w:val="008C7C3C"/>
    <w:rsid w:val="008C7F77"/>
    <w:rsid w:val="008D095D"/>
    <w:rsid w:val="008D0EB5"/>
    <w:rsid w:val="008D13DC"/>
    <w:rsid w:val="008D1980"/>
    <w:rsid w:val="008D1E23"/>
    <w:rsid w:val="008D2461"/>
    <w:rsid w:val="008D2C0B"/>
    <w:rsid w:val="008D34B7"/>
    <w:rsid w:val="008D39AB"/>
    <w:rsid w:val="008D3CF6"/>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5B72"/>
    <w:rsid w:val="008F62E5"/>
    <w:rsid w:val="008F7697"/>
    <w:rsid w:val="008F7AEE"/>
    <w:rsid w:val="00900A18"/>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07F41"/>
    <w:rsid w:val="009108A7"/>
    <w:rsid w:val="009114A5"/>
    <w:rsid w:val="00911E1A"/>
    <w:rsid w:val="009123B9"/>
    <w:rsid w:val="00912DDD"/>
    <w:rsid w:val="00913F4C"/>
    <w:rsid w:val="0091404B"/>
    <w:rsid w:val="0091423A"/>
    <w:rsid w:val="00914307"/>
    <w:rsid w:val="00914370"/>
    <w:rsid w:val="00914AD4"/>
    <w:rsid w:val="00914CA0"/>
    <w:rsid w:val="00914DE2"/>
    <w:rsid w:val="0091537E"/>
    <w:rsid w:val="00915DE0"/>
    <w:rsid w:val="009167FB"/>
    <w:rsid w:val="00916CCF"/>
    <w:rsid w:val="00920236"/>
    <w:rsid w:val="00920B65"/>
    <w:rsid w:val="00920BC8"/>
    <w:rsid w:val="00920D4C"/>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93E"/>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D2A"/>
    <w:rsid w:val="00951FFF"/>
    <w:rsid w:val="009520A6"/>
    <w:rsid w:val="009526F7"/>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A1"/>
    <w:rsid w:val="009726F5"/>
    <w:rsid w:val="009728FB"/>
    <w:rsid w:val="0097298A"/>
    <w:rsid w:val="0097373B"/>
    <w:rsid w:val="00973BAF"/>
    <w:rsid w:val="00974182"/>
    <w:rsid w:val="00975236"/>
    <w:rsid w:val="0097579F"/>
    <w:rsid w:val="00975CBD"/>
    <w:rsid w:val="0097672C"/>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344"/>
    <w:rsid w:val="00994D1C"/>
    <w:rsid w:val="009950A1"/>
    <w:rsid w:val="009951BE"/>
    <w:rsid w:val="009952D9"/>
    <w:rsid w:val="009958D0"/>
    <w:rsid w:val="009961C9"/>
    <w:rsid w:val="00996354"/>
    <w:rsid w:val="00996A8B"/>
    <w:rsid w:val="009974A0"/>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A7FE7"/>
    <w:rsid w:val="009B003C"/>
    <w:rsid w:val="009B0DFC"/>
    <w:rsid w:val="009B114C"/>
    <w:rsid w:val="009B2465"/>
    <w:rsid w:val="009B285A"/>
    <w:rsid w:val="009B300F"/>
    <w:rsid w:val="009B3745"/>
    <w:rsid w:val="009B3C7E"/>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E3B"/>
    <w:rsid w:val="009D6F0D"/>
    <w:rsid w:val="009D7423"/>
    <w:rsid w:val="009D7576"/>
    <w:rsid w:val="009D7776"/>
    <w:rsid w:val="009D7C4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732A"/>
    <w:rsid w:val="009E73D9"/>
    <w:rsid w:val="009F01C9"/>
    <w:rsid w:val="009F0BCF"/>
    <w:rsid w:val="009F0CD1"/>
    <w:rsid w:val="009F115A"/>
    <w:rsid w:val="009F15B3"/>
    <w:rsid w:val="009F187B"/>
    <w:rsid w:val="009F23DC"/>
    <w:rsid w:val="009F3CC3"/>
    <w:rsid w:val="009F3F25"/>
    <w:rsid w:val="009F42FA"/>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C99"/>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2F30"/>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A6"/>
    <w:rsid w:val="00A905F1"/>
    <w:rsid w:val="00A90CE4"/>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49B7"/>
    <w:rsid w:val="00AA61DD"/>
    <w:rsid w:val="00AA630A"/>
    <w:rsid w:val="00AA64F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2F4"/>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C1A"/>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1D7"/>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00"/>
    <w:rsid w:val="00AF66F1"/>
    <w:rsid w:val="00AF6C00"/>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5A9"/>
    <w:rsid w:val="00B05688"/>
    <w:rsid w:val="00B05A41"/>
    <w:rsid w:val="00B06241"/>
    <w:rsid w:val="00B07988"/>
    <w:rsid w:val="00B07EDA"/>
    <w:rsid w:val="00B11AC8"/>
    <w:rsid w:val="00B11C22"/>
    <w:rsid w:val="00B11E9A"/>
    <w:rsid w:val="00B13818"/>
    <w:rsid w:val="00B13C59"/>
    <w:rsid w:val="00B14939"/>
    <w:rsid w:val="00B14DDF"/>
    <w:rsid w:val="00B14E6C"/>
    <w:rsid w:val="00B14F21"/>
    <w:rsid w:val="00B151C6"/>
    <w:rsid w:val="00B15CC4"/>
    <w:rsid w:val="00B1741F"/>
    <w:rsid w:val="00B17793"/>
    <w:rsid w:val="00B17D79"/>
    <w:rsid w:val="00B17F5F"/>
    <w:rsid w:val="00B20057"/>
    <w:rsid w:val="00B208A5"/>
    <w:rsid w:val="00B209B5"/>
    <w:rsid w:val="00B20E2B"/>
    <w:rsid w:val="00B21CA7"/>
    <w:rsid w:val="00B21D24"/>
    <w:rsid w:val="00B22651"/>
    <w:rsid w:val="00B22CE2"/>
    <w:rsid w:val="00B23216"/>
    <w:rsid w:val="00B23960"/>
    <w:rsid w:val="00B23C80"/>
    <w:rsid w:val="00B24165"/>
    <w:rsid w:val="00B2484E"/>
    <w:rsid w:val="00B24C37"/>
    <w:rsid w:val="00B24F49"/>
    <w:rsid w:val="00B25064"/>
    <w:rsid w:val="00B255A7"/>
    <w:rsid w:val="00B25A70"/>
    <w:rsid w:val="00B25F9A"/>
    <w:rsid w:val="00B263DD"/>
    <w:rsid w:val="00B265B9"/>
    <w:rsid w:val="00B27080"/>
    <w:rsid w:val="00B272D3"/>
    <w:rsid w:val="00B27F0A"/>
    <w:rsid w:val="00B315B1"/>
    <w:rsid w:val="00B31F85"/>
    <w:rsid w:val="00B3245C"/>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30B"/>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77E12"/>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6D0"/>
    <w:rsid w:val="00B9086A"/>
    <w:rsid w:val="00B915BE"/>
    <w:rsid w:val="00B91AD7"/>
    <w:rsid w:val="00B91DBA"/>
    <w:rsid w:val="00B92037"/>
    <w:rsid w:val="00B92189"/>
    <w:rsid w:val="00B93093"/>
    <w:rsid w:val="00B93392"/>
    <w:rsid w:val="00B93412"/>
    <w:rsid w:val="00B93453"/>
    <w:rsid w:val="00B93664"/>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EFB"/>
    <w:rsid w:val="00BA659A"/>
    <w:rsid w:val="00BA6874"/>
    <w:rsid w:val="00BA68C1"/>
    <w:rsid w:val="00BA6E74"/>
    <w:rsid w:val="00BA715B"/>
    <w:rsid w:val="00BA73CD"/>
    <w:rsid w:val="00BA79BC"/>
    <w:rsid w:val="00BA7EB0"/>
    <w:rsid w:val="00BB022B"/>
    <w:rsid w:val="00BB0528"/>
    <w:rsid w:val="00BB07FA"/>
    <w:rsid w:val="00BB0986"/>
    <w:rsid w:val="00BB1D67"/>
    <w:rsid w:val="00BB214E"/>
    <w:rsid w:val="00BB23BD"/>
    <w:rsid w:val="00BB301E"/>
    <w:rsid w:val="00BB3F4C"/>
    <w:rsid w:val="00BB5260"/>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FE8"/>
    <w:rsid w:val="00BE40F3"/>
    <w:rsid w:val="00BE65B3"/>
    <w:rsid w:val="00BE69FE"/>
    <w:rsid w:val="00BE742D"/>
    <w:rsid w:val="00BE779A"/>
    <w:rsid w:val="00BE7D51"/>
    <w:rsid w:val="00BF0487"/>
    <w:rsid w:val="00BF0ACA"/>
    <w:rsid w:val="00BF0FD5"/>
    <w:rsid w:val="00BF10D2"/>
    <w:rsid w:val="00BF116C"/>
    <w:rsid w:val="00BF120B"/>
    <w:rsid w:val="00BF19D1"/>
    <w:rsid w:val="00BF22EE"/>
    <w:rsid w:val="00BF2AF0"/>
    <w:rsid w:val="00BF31CB"/>
    <w:rsid w:val="00BF4881"/>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BF0"/>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8DA"/>
    <w:rsid w:val="00C10F74"/>
    <w:rsid w:val="00C11183"/>
    <w:rsid w:val="00C118E4"/>
    <w:rsid w:val="00C11CA8"/>
    <w:rsid w:val="00C11FA5"/>
    <w:rsid w:val="00C11FE5"/>
    <w:rsid w:val="00C11FF6"/>
    <w:rsid w:val="00C122BF"/>
    <w:rsid w:val="00C124C4"/>
    <w:rsid w:val="00C12D59"/>
    <w:rsid w:val="00C13AD5"/>
    <w:rsid w:val="00C13C8A"/>
    <w:rsid w:val="00C14FE4"/>
    <w:rsid w:val="00C15135"/>
    <w:rsid w:val="00C17D89"/>
    <w:rsid w:val="00C20049"/>
    <w:rsid w:val="00C2068D"/>
    <w:rsid w:val="00C206C4"/>
    <w:rsid w:val="00C20D6F"/>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25D2"/>
    <w:rsid w:val="00C337F3"/>
    <w:rsid w:val="00C33B98"/>
    <w:rsid w:val="00C33FF0"/>
    <w:rsid w:val="00C34751"/>
    <w:rsid w:val="00C34C05"/>
    <w:rsid w:val="00C34E0B"/>
    <w:rsid w:val="00C3566B"/>
    <w:rsid w:val="00C35A2B"/>
    <w:rsid w:val="00C35B23"/>
    <w:rsid w:val="00C35BE3"/>
    <w:rsid w:val="00C36064"/>
    <w:rsid w:val="00C36BFA"/>
    <w:rsid w:val="00C37050"/>
    <w:rsid w:val="00C37D75"/>
    <w:rsid w:val="00C4018E"/>
    <w:rsid w:val="00C40FA9"/>
    <w:rsid w:val="00C41332"/>
    <w:rsid w:val="00C419A3"/>
    <w:rsid w:val="00C41B56"/>
    <w:rsid w:val="00C41D2B"/>
    <w:rsid w:val="00C4248E"/>
    <w:rsid w:val="00C42A8C"/>
    <w:rsid w:val="00C444D9"/>
    <w:rsid w:val="00C44500"/>
    <w:rsid w:val="00C447FB"/>
    <w:rsid w:val="00C45B4A"/>
    <w:rsid w:val="00C46095"/>
    <w:rsid w:val="00C460CA"/>
    <w:rsid w:val="00C46264"/>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D3B"/>
    <w:rsid w:val="00C60EC1"/>
    <w:rsid w:val="00C61F3D"/>
    <w:rsid w:val="00C620E3"/>
    <w:rsid w:val="00C62997"/>
    <w:rsid w:val="00C62B6B"/>
    <w:rsid w:val="00C62DEF"/>
    <w:rsid w:val="00C62F42"/>
    <w:rsid w:val="00C633AB"/>
    <w:rsid w:val="00C64849"/>
    <w:rsid w:val="00C65F58"/>
    <w:rsid w:val="00C661CD"/>
    <w:rsid w:val="00C66571"/>
    <w:rsid w:val="00C667F6"/>
    <w:rsid w:val="00C66941"/>
    <w:rsid w:val="00C66B7F"/>
    <w:rsid w:val="00C66C4B"/>
    <w:rsid w:val="00C66E0C"/>
    <w:rsid w:val="00C67420"/>
    <w:rsid w:val="00C679BA"/>
    <w:rsid w:val="00C70551"/>
    <w:rsid w:val="00C7094D"/>
    <w:rsid w:val="00C71CB1"/>
    <w:rsid w:val="00C7296E"/>
    <w:rsid w:val="00C72AD3"/>
    <w:rsid w:val="00C73242"/>
    <w:rsid w:val="00C7357D"/>
    <w:rsid w:val="00C741B5"/>
    <w:rsid w:val="00C74C3E"/>
    <w:rsid w:val="00C75004"/>
    <w:rsid w:val="00C755E8"/>
    <w:rsid w:val="00C75970"/>
    <w:rsid w:val="00C75A42"/>
    <w:rsid w:val="00C75C9D"/>
    <w:rsid w:val="00C77113"/>
    <w:rsid w:val="00C8009E"/>
    <w:rsid w:val="00C811D4"/>
    <w:rsid w:val="00C8128C"/>
    <w:rsid w:val="00C8198E"/>
    <w:rsid w:val="00C82AE6"/>
    <w:rsid w:val="00C82C71"/>
    <w:rsid w:val="00C82E5F"/>
    <w:rsid w:val="00C83234"/>
    <w:rsid w:val="00C8338A"/>
    <w:rsid w:val="00C83FEB"/>
    <w:rsid w:val="00C84103"/>
    <w:rsid w:val="00C8567F"/>
    <w:rsid w:val="00C8572A"/>
    <w:rsid w:val="00C85784"/>
    <w:rsid w:val="00C85BCA"/>
    <w:rsid w:val="00C8614D"/>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5DB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F84"/>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665"/>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D37"/>
    <w:rsid w:val="00CF2304"/>
    <w:rsid w:val="00CF2639"/>
    <w:rsid w:val="00CF2C82"/>
    <w:rsid w:val="00CF2ED9"/>
    <w:rsid w:val="00CF35E4"/>
    <w:rsid w:val="00CF399F"/>
    <w:rsid w:val="00CF3F01"/>
    <w:rsid w:val="00CF4219"/>
    <w:rsid w:val="00CF557C"/>
    <w:rsid w:val="00CF6AF3"/>
    <w:rsid w:val="00CF75C7"/>
    <w:rsid w:val="00D014A9"/>
    <w:rsid w:val="00D017EE"/>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E49"/>
    <w:rsid w:val="00D10FB7"/>
    <w:rsid w:val="00D11683"/>
    <w:rsid w:val="00D11873"/>
    <w:rsid w:val="00D12BDB"/>
    <w:rsid w:val="00D13880"/>
    <w:rsid w:val="00D14204"/>
    <w:rsid w:val="00D14F37"/>
    <w:rsid w:val="00D1624D"/>
    <w:rsid w:val="00D164BF"/>
    <w:rsid w:val="00D16A3F"/>
    <w:rsid w:val="00D20083"/>
    <w:rsid w:val="00D20E2C"/>
    <w:rsid w:val="00D217CE"/>
    <w:rsid w:val="00D21FD2"/>
    <w:rsid w:val="00D22050"/>
    <w:rsid w:val="00D22D38"/>
    <w:rsid w:val="00D22EE4"/>
    <w:rsid w:val="00D22F97"/>
    <w:rsid w:val="00D231AF"/>
    <w:rsid w:val="00D23556"/>
    <w:rsid w:val="00D235F9"/>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77B"/>
    <w:rsid w:val="00D429B7"/>
    <w:rsid w:val="00D4357E"/>
    <w:rsid w:val="00D44A5C"/>
    <w:rsid w:val="00D44B18"/>
    <w:rsid w:val="00D45E78"/>
    <w:rsid w:val="00D4611C"/>
    <w:rsid w:val="00D46E80"/>
    <w:rsid w:val="00D46F2D"/>
    <w:rsid w:val="00D475CC"/>
    <w:rsid w:val="00D50835"/>
    <w:rsid w:val="00D50931"/>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5A2"/>
    <w:rsid w:val="00D6670E"/>
    <w:rsid w:val="00D67947"/>
    <w:rsid w:val="00D7010A"/>
    <w:rsid w:val="00D7040B"/>
    <w:rsid w:val="00D70B79"/>
    <w:rsid w:val="00D70D46"/>
    <w:rsid w:val="00D70E81"/>
    <w:rsid w:val="00D70F5E"/>
    <w:rsid w:val="00D7116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1FF1"/>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1BD8"/>
    <w:rsid w:val="00D92265"/>
    <w:rsid w:val="00D9230B"/>
    <w:rsid w:val="00D92F6C"/>
    <w:rsid w:val="00D93307"/>
    <w:rsid w:val="00D93946"/>
    <w:rsid w:val="00D93FFD"/>
    <w:rsid w:val="00D94372"/>
    <w:rsid w:val="00D94456"/>
    <w:rsid w:val="00D9493F"/>
    <w:rsid w:val="00D94FF3"/>
    <w:rsid w:val="00D957C0"/>
    <w:rsid w:val="00D95B59"/>
    <w:rsid w:val="00D95BFF"/>
    <w:rsid w:val="00D96AF8"/>
    <w:rsid w:val="00D96F51"/>
    <w:rsid w:val="00DA019E"/>
    <w:rsid w:val="00DA0590"/>
    <w:rsid w:val="00DA0F8E"/>
    <w:rsid w:val="00DA0FC0"/>
    <w:rsid w:val="00DA1176"/>
    <w:rsid w:val="00DA12A3"/>
    <w:rsid w:val="00DA1985"/>
    <w:rsid w:val="00DA1B85"/>
    <w:rsid w:val="00DA1D80"/>
    <w:rsid w:val="00DA1E0F"/>
    <w:rsid w:val="00DA2046"/>
    <w:rsid w:val="00DA2597"/>
    <w:rsid w:val="00DA2BCC"/>
    <w:rsid w:val="00DA2E53"/>
    <w:rsid w:val="00DA3048"/>
    <w:rsid w:val="00DA30FB"/>
    <w:rsid w:val="00DA39C6"/>
    <w:rsid w:val="00DA3F00"/>
    <w:rsid w:val="00DA5C4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CA0"/>
    <w:rsid w:val="00DB4FD7"/>
    <w:rsid w:val="00DB518A"/>
    <w:rsid w:val="00DB533A"/>
    <w:rsid w:val="00DB5C4A"/>
    <w:rsid w:val="00DB5EE5"/>
    <w:rsid w:val="00DB67D0"/>
    <w:rsid w:val="00DB68AB"/>
    <w:rsid w:val="00DB6AEF"/>
    <w:rsid w:val="00DB6DF3"/>
    <w:rsid w:val="00DB7507"/>
    <w:rsid w:val="00DB75E6"/>
    <w:rsid w:val="00DB7E8C"/>
    <w:rsid w:val="00DC0BF8"/>
    <w:rsid w:val="00DC0F93"/>
    <w:rsid w:val="00DC16C2"/>
    <w:rsid w:val="00DC1763"/>
    <w:rsid w:val="00DC17C6"/>
    <w:rsid w:val="00DC28A6"/>
    <w:rsid w:val="00DC31EE"/>
    <w:rsid w:val="00DC3BC7"/>
    <w:rsid w:val="00DC4A29"/>
    <w:rsid w:val="00DC4B4C"/>
    <w:rsid w:val="00DC4E8D"/>
    <w:rsid w:val="00DC54B4"/>
    <w:rsid w:val="00DC5A5E"/>
    <w:rsid w:val="00DC5C23"/>
    <w:rsid w:val="00DC5E79"/>
    <w:rsid w:val="00DC60E1"/>
    <w:rsid w:val="00DC6A94"/>
    <w:rsid w:val="00DC76BA"/>
    <w:rsid w:val="00DD132F"/>
    <w:rsid w:val="00DD1521"/>
    <w:rsid w:val="00DD1C2F"/>
    <w:rsid w:val="00DD1ED7"/>
    <w:rsid w:val="00DD242B"/>
    <w:rsid w:val="00DD278D"/>
    <w:rsid w:val="00DD2C54"/>
    <w:rsid w:val="00DD3430"/>
    <w:rsid w:val="00DD35A0"/>
    <w:rsid w:val="00DD5312"/>
    <w:rsid w:val="00DD6396"/>
    <w:rsid w:val="00DD6C70"/>
    <w:rsid w:val="00DD6E8E"/>
    <w:rsid w:val="00DD70C8"/>
    <w:rsid w:val="00DD7F36"/>
    <w:rsid w:val="00DE0C03"/>
    <w:rsid w:val="00DE21CF"/>
    <w:rsid w:val="00DE273A"/>
    <w:rsid w:val="00DE285A"/>
    <w:rsid w:val="00DE3E7C"/>
    <w:rsid w:val="00DE4664"/>
    <w:rsid w:val="00DE5335"/>
    <w:rsid w:val="00DE562C"/>
    <w:rsid w:val="00DE67B4"/>
    <w:rsid w:val="00DE6DAE"/>
    <w:rsid w:val="00DE7524"/>
    <w:rsid w:val="00DF02EC"/>
    <w:rsid w:val="00DF098C"/>
    <w:rsid w:val="00DF1249"/>
    <w:rsid w:val="00DF24B9"/>
    <w:rsid w:val="00DF2DA0"/>
    <w:rsid w:val="00DF2EEE"/>
    <w:rsid w:val="00DF32AF"/>
    <w:rsid w:val="00DF3E4D"/>
    <w:rsid w:val="00DF42F3"/>
    <w:rsid w:val="00DF46CF"/>
    <w:rsid w:val="00DF4D70"/>
    <w:rsid w:val="00DF4DBC"/>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25C"/>
    <w:rsid w:val="00E05375"/>
    <w:rsid w:val="00E054B7"/>
    <w:rsid w:val="00E05A22"/>
    <w:rsid w:val="00E05AC5"/>
    <w:rsid w:val="00E06AF4"/>
    <w:rsid w:val="00E07DFF"/>
    <w:rsid w:val="00E07E45"/>
    <w:rsid w:val="00E10043"/>
    <w:rsid w:val="00E1039A"/>
    <w:rsid w:val="00E119CF"/>
    <w:rsid w:val="00E126D0"/>
    <w:rsid w:val="00E1296E"/>
    <w:rsid w:val="00E12B11"/>
    <w:rsid w:val="00E12C4F"/>
    <w:rsid w:val="00E131BE"/>
    <w:rsid w:val="00E1331F"/>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22"/>
    <w:rsid w:val="00E222AC"/>
    <w:rsid w:val="00E224C9"/>
    <w:rsid w:val="00E2272F"/>
    <w:rsid w:val="00E229F7"/>
    <w:rsid w:val="00E22A2D"/>
    <w:rsid w:val="00E22EE3"/>
    <w:rsid w:val="00E23416"/>
    <w:rsid w:val="00E2391F"/>
    <w:rsid w:val="00E242E6"/>
    <w:rsid w:val="00E24E3D"/>
    <w:rsid w:val="00E24EE2"/>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0288"/>
    <w:rsid w:val="00E421CF"/>
    <w:rsid w:val="00E42782"/>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3FAB"/>
    <w:rsid w:val="00E5413F"/>
    <w:rsid w:val="00E541D0"/>
    <w:rsid w:val="00E543CA"/>
    <w:rsid w:val="00E54EC5"/>
    <w:rsid w:val="00E55335"/>
    <w:rsid w:val="00E55D2A"/>
    <w:rsid w:val="00E57FA4"/>
    <w:rsid w:val="00E60ADA"/>
    <w:rsid w:val="00E61C29"/>
    <w:rsid w:val="00E624D8"/>
    <w:rsid w:val="00E62EED"/>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01FE"/>
    <w:rsid w:val="00E82560"/>
    <w:rsid w:val="00E825E3"/>
    <w:rsid w:val="00E828B0"/>
    <w:rsid w:val="00E82EF4"/>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519"/>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EE4"/>
    <w:rsid w:val="00EA20F1"/>
    <w:rsid w:val="00EA2730"/>
    <w:rsid w:val="00EA42BA"/>
    <w:rsid w:val="00EA4F96"/>
    <w:rsid w:val="00EA531A"/>
    <w:rsid w:val="00EA54BC"/>
    <w:rsid w:val="00EA589B"/>
    <w:rsid w:val="00EA73FE"/>
    <w:rsid w:val="00EA7499"/>
    <w:rsid w:val="00EA74E3"/>
    <w:rsid w:val="00EA7744"/>
    <w:rsid w:val="00EB178A"/>
    <w:rsid w:val="00EB2435"/>
    <w:rsid w:val="00EB2A33"/>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404"/>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6EF"/>
    <w:rsid w:val="00ED19F8"/>
    <w:rsid w:val="00ED1FB7"/>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A54"/>
    <w:rsid w:val="00EE459C"/>
    <w:rsid w:val="00EE62B4"/>
    <w:rsid w:val="00EF0E50"/>
    <w:rsid w:val="00EF1FE3"/>
    <w:rsid w:val="00EF20FD"/>
    <w:rsid w:val="00EF220D"/>
    <w:rsid w:val="00EF2337"/>
    <w:rsid w:val="00EF2439"/>
    <w:rsid w:val="00EF2A75"/>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2184"/>
    <w:rsid w:val="00F14351"/>
    <w:rsid w:val="00F154C5"/>
    <w:rsid w:val="00F15744"/>
    <w:rsid w:val="00F15A4F"/>
    <w:rsid w:val="00F15DE6"/>
    <w:rsid w:val="00F16565"/>
    <w:rsid w:val="00F165FE"/>
    <w:rsid w:val="00F16BB1"/>
    <w:rsid w:val="00F17689"/>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7D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2C2D"/>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2F4E"/>
    <w:rsid w:val="00F533DB"/>
    <w:rsid w:val="00F5376A"/>
    <w:rsid w:val="00F53E2D"/>
    <w:rsid w:val="00F542D8"/>
    <w:rsid w:val="00F54367"/>
    <w:rsid w:val="00F548C8"/>
    <w:rsid w:val="00F54986"/>
    <w:rsid w:val="00F54DEB"/>
    <w:rsid w:val="00F55A3B"/>
    <w:rsid w:val="00F563B2"/>
    <w:rsid w:val="00F56848"/>
    <w:rsid w:val="00F56FA3"/>
    <w:rsid w:val="00F5765A"/>
    <w:rsid w:val="00F57A26"/>
    <w:rsid w:val="00F57A55"/>
    <w:rsid w:val="00F57C72"/>
    <w:rsid w:val="00F60802"/>
    <w:rsid w:val="00F611F0"/>
    <w:rsid w:val="00F61564"/>
    <w:rsid w:val="00F61614"/>
    <w:rsid w:val="00F6190D"/>
    <w:rsid w:val="00F61D1B"/>
    <w:rsid w:val="00F61FDE"/>
    <w:rsid w:val="00F62BB8"/>
    <w:rsid w:val="00F63DE6"/>
    <w:rsid w:val="00F64966"/>
    <w:rsid w:val="00F65A43"/>
    <w:rsid w:val="00F661A3"/>
    <w:rsid w:val="00F66544"/>
    <w:rsid w:val="00F669E3"/>
    <w:rsid w:val="00F670C3"/>
    <w:rsid w:val="00F67219"/>
    <w:rsid w:val="00F675AE"/>
    <w:rsid w:val="00F70225"/>
    <w:rsid w:val="00F703C3"/>
    <w:rsid w:val="00F703EE"/>
    <w:rsid w:val="00F709F5"/>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912"/>
    <w:rsid w:val="00F83C07"/>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D8F"/>
    <w:rsid w:val="00FA1E61"/>
    <w:rsid w:val="00FA2B5A"/>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2D3C"/>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593"/>
    <w:rsid w:val="00FF5929"/>
    <w:rsid w:val="00FF6227"/>
    <w:rsid w:val="00FF62EF"/>
    <w:rsid w:val="00FF68C4"/>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D"/>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1109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093D"/>
  </w:style>
  <w:style w:type="paragraph" w:styleId="TOC8">
    <w:name w:val="toc 8"/>
    <w:basedOn w:val="TOC1"/>
    <w:semiHidden/>
    <w:rsid w:val="005B4282"/>
    <w:pPr>
      <w:spacing w:before="180"/>
      <w:ind w:left="2693" w:hanging="2693"/>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rsid w:val="005B4282"/>
    <w:rPr>
      <w:b/>
    </w:rPr>
  </w:style>
  <w:style w:type="paragraph" w:customStyle="1" w:styleId="TAC">
    <w:name w:val="TAC"/>
    <w:basedOn w:val="TAL"/>
    <w:link w:val="TACChar"/>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lang w:eastAsia="zh-CN"/>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1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lang w:eastAsia="zh-CN"/>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locked/>
    <w:rsid w:val="00404024"/>
    <w:rPr>
      <w:rFonts w:ascii="Arial" w:eastAsia="Times New Roman" w:hAnsi="Arial"/>
      <w:sz w:val="18"/>
      <w:lang w:val="en-GB" w:eastAsia="en-US"/>
    </w:rPr>
  </w:style>
  <w:style w:type="character" w:customStyle="1" w:styleId="TAHCar">
    <w:name w:val="TAH Car"/>
    <w:link w:val="TAH"/>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imes New Roman" w:eastAsia="Times New Roman" w:hAnsi="Times New Roman"/>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uiPriority w:val="99"/>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F42C2D"/>
    <w:pPr>
      <w:numPr>
        <w:numId w:val="28"/>
      </w:numPr>
      <w:ind w:left="0" w:firstLine="0"/>
    </w:pPr>
    <w:rPr>
      <w:b/>
    </w:rPr>
  </w:style>
  <w:style w:type="paragraph" w:styleId="TableofFigures">
    <w:name w:val="table of figures"/>
    <w:basedOn w:val="Normal"/>
    <w:next w:val="Normal"/>
    <w:uiPriority w:val="99"/>
    <w:unhideWhenUsed/>
    <w:rsid w:val="006E4066"/>
    <w:pPr>
      <w:tabs>
        <w:tab w:val="left" w:pos="1080"/>
        <w:tab w:val="left" w:pos="1411"/>
      </w:tabs>
    </w:pPr>
    <w:rPr>
      <w:rFonts w:cs="Times New Roman"/>
      <w:b/>
      <w:bCs/>
      <w:szCs w:val="24"/>
    </w:rPr>
  </w:style>
  <w:style w:type="character" w:customStyle="1" w:styleId="ProposalChar">
    <w:name w:val="Proposal Char"/>
    <w:basedOn w:val="DefaultParagraphFont"/>
    <w:link w:val="Proposal"/>
    <w:rsid w:val="00F42C2D"/>
    <w:rPr>
      <w:rFonts w:asciiTheme="minorHAnsi" w:eastAsiaTheme="minorHAnsi" w:hAnsiTheme="minorHAnsi" w:cstheme="minorBidi"/>
      <w:b/>
      <w:sz w:val="22"/>
      <w:szCs w:val="22"/>
      <w:lang w:eastAsia="en-US"/>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45"/>
      </w:numPr>
      <w:ind w:left="0" w:firstLine="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096E4-AE9C-4F7A-BBBF-3600B131E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2794</Words>
  <Characters>15931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2021-01-18T23:03:00Z</dcterms:created>
  <dcterms:modified xsi:type="dcterms:W3CDTF">2021-01-19T02:54:00Z</dcterms:modified>
</cp:coreProperties>
</file>