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752BAAF6" w:rsidR="00332753" w:rsidRPr="00470FA4" w:rsidRDefault="00332753" w:rsidP="00332753">
      <w:pPr>
        <w:pStyle w:val="3GPPHeader"/>
        <w:spacing w:after="60"/>
        <w:rPr>
          <w:rFonts w:ascii="Arial" w:hAnsi="Arial" w:cs="Arial"/>
          <w:lang w:val="de-DE"/>
        </w:rPr>
      </w:pPr>
      <w:r w:rsidRPr="00470FA4">
        <w:rPr>
          <w:lang w:val="de-DE"/>
        </w:rPr>
        <w:t>3GPP TSG-RAN WG1 #10</w:t>
      </w:r>
      <w:r w:rsidR="008272F9" w:rsidRPr="00470FA4">
        <w:rPr>
          <w:lang w:val="de-DE"/>
        </w:rPr>
        <w:t>4</w:t>
      </w:r>
      <w:r w:rsidR="00C91B44" w:rsidRPr="00470FA4">
        <w:rPr>
          <w:lang w:val="de-DE"/>
        </w:rPr>
        <w:t>-e</w:t>
      </w:r>
      <w:r w:rsidR="001841A9" w:rsidRPr="00470FA4">
        <w:rPr>
          <w:lang w:val="de-DE"/>
        </w:rPr>
        <w:t xml:space="preserve"> </w:t>
      </w:r>
      <w:r w:rsidRPr="00470FA4">
        <w:rPr>
          <w:rFonts w:ascii="Arial" w:hAnsi="Arial" w:cs="Arial"/>
          <w:lang w:val="de-DE"/>
        </w:rPr>
        <w:tab/>
        <w:t>R1-</w:t>
      </w:r>
      <w:bookmarkStart w:id="1" w:name="_GoBack"/>
      <w:bookmarkEnd w:id="1"/>
      <w:r w:rsidR="009546B1" w:rsidRPr="00470FA4">
        <w:rPr>
          <w:rFonts w:ascii="Arial" w:hAnsi="Arial" w:cs="Arial"/>
          <w:lang w:val="de-DE"/>
        </w:rPr>
        <w:t>2100755</w:t>
      </w:r>
      <w:r w:rsidR="009546B1" w:rsidRPr="00470FA4" w:rsidDel="009546B1">
        <w:rPr>
          <w:rFonts w:ascii="Arial" w:hAnsi="Arial" w:cs="Arial"/>
          <w:lang w:val="de-DE"/>
        </w:rPr>
        <w:t xml:space="preserve"> </w:t>
      </w:r>
      <w:r w:rsidRPr="00470FA4" w:rsidDel="00EB7925">
        <w:rPr>
          <w:rFonts w:ascii="Arial" w:hAnsi="Arial" w:cs="Arial"/>
          <w:lang w:val="de-DE"/>
        </w:rPr>
        <w:t xml:space="preserve"> </w:t>
      </w:r>
      <w:r w:rsidRPr="00470FA4" w:rsidDel="00070695">
        <w:rPr>
          <w:rFonts w:ascii="Arial" w:hAnsi="Arial" w:cs="Arial"/>
          <w:lang w:val="de-DE"/>
        </w:rPr>
        <w:t xml:space="preserve"> </w:t>
      </w:r>
      <w:r w:rsidRPr="00470FA4" w:rsidDel="005A147F">
        <w:rPr>
          <w:rFonts w:ascii="Arial" w:hAnsi="Arial" w:cs="Arial"/>
          <w:lang w:val="de-DE"/>
        </w:rPr>
        <w:t xml:space="preserve"> </w:t>
      </w:r>
    </w:p>
    <w:p w14:paraId="6F031CAE" w14:textId="0B262772" w:rsidR="00332753" w:rsidRPr="007A3FE1" w:rsidRDefault="004E3157" w:rsidP="00332753">
      <w:pPr>
        <w:pStyle w:val="3GPPHeader"/>
        <w:spacing w:after="60"/>
        <w:rPr>
          <w:rFonts w:ascii="Arial" w:hAnsi="Arial" w:cs="Arial"/>
          <w:b w:val="0"/>
          <w:noProof/>
        </w:rPr>
      </w:pPr>
      <w:r>
        <w:t xml:space="preserve">e-Meeting, </w:t>
      </w:r>
      <w:r w:rsidR="008272F9">
        <w:t>January</w:t>
      </w:r>
      <w:r w:rsidR="00C91B44">
        <w:t xml:space="preserve"> </w:t>
      </w:r>
      <w:r w:rsidR="00D563ED">
        <w:t>2</w:t>
      </w:r>
      <w:r w:rsidR="00B84011">
        <w:t>5</w:t>
      </w:r>
      <w:r w:rsidR="00517862" w:rsidRPr="00517862">
        <w:rPr>
          <w:vertAlign w:val="superscript"/>
        </w:rPr>
        <w:t>th</w:t>
      </w:r>
      <w:r w:rsidR="00517862">
        <w:t xml:space="preserve"> </w:t>
      </w:r>
      <w:r w:rsidR="00332753">
        <w:t xml:space="preserve">– </w:t>
      </w:r>
      <w:r w:rsidR="00B84011">
        <w:t>February</w:t>
      </w:r>
      <w:r w:rsidR="00116C2F">
        <w:t xml:space="preserve"> </w:t>
      </w:r>
      <w:r w:rsidR="00B84011">
        <w:t>5</w:t>
      </w:r>
      <w:r w:rsidR="00332753" w:rsidRPr="00E666C9">
        <w:rPr>
          <w:vertAlign w:val="superscript"/>
        </w:rPr>
        <w:t>th</w:t>
      </w:r>
      <w:r w:rsidR="00332753">
        <w:t>, 202</w:t>
      </w:r>
      <w:r w:rsidR="00B84011">
        <w:t>1</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3AE056D4"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A57DB">
        <w:rPr>
          <w:rFonts w:ascii="Arial" w:hAnsi="Arial" w:cs="Arial"/>
          <w:sz w:val="22"/>
        </w:rPr>
        <w:t>2</w:t>
      </w:r>
      <w:r w:rsidR="004F308B">
        <w:rPr>
          <w:rFonts w:ascii="Arial" w:hAnsi="Arial" w:cs="Arial"/>
          <w:sz w:val="22"/>
        </w:rPr>
        <w:t>.</w:t>
      </w:r>
      <w:r w:rsidR="00CA57DB">
        <w:rPr>
          <w:rFonts w:ascii="Arial" w:hAnsi="Arial" w:cs="Arial"/>
          <w:sz w:val="22"/>
        </w:rPr>
        <w:t>6</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4EE4402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0629FD">
        <w:rPr>
          <w:rFonts w:ascii="Arial" w:hAnsi="Arial" w:cs="Arial"/>
          <w:sz w:val="22"/>
        </w:rPr>
        <w:t xml:space="preserve">Channel access </w:t>
      </w:r>
      <w:r w:rsidR="00EE3391">
        <w:rPr>
          <w:rFonts w:ascii="Arial" w:hAnsi="Arial" w:cs="Arial"/>
          <w:sz w:val="22"/>
        </w:rPr>
        <w:t>for multi-beam operation</w:t>
      </w:r>
      <w:r>
        <w:rPr>
          <w:rFonts w:ascii="Arial" w:hAnsi="Arial" w:cs="Arial"/>
          <w:sz w:val="22"/>
        </w:rPr>
        <w:t xml:space="preserve"> </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756A8B52" w14:textId="1CD75CC1" w:rsidR="00EA6B30" w:rsidRDefault="00EA6B30" w:rsidP="00EA6B3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the previous RAN1 meeting, </w:t>
      </w:r>
      <w:r w:rsidR="00910D77">
        <w:rPr>
          <w:rFonts w:ascii="Times New Roman" w:eastAsia="MS Mincho" w:hAnsi="Times New Roman" w:cs="Times New Roman"/>
          <w:sz w:val="20"/>
          <w:szCs w:val="20"/>
        </w:rPr>
        <w:t xml:space="preserve">it have been identified </w:t>
      </w:r>
      <w:r>
        <w:rPr>
          <w:rFonts w:ascii="Times New Roman" w:eastAsia="MS Mincho" w:hAnsi="Times New Roman" w:cs="Times New Roman"/>
          <w:sz w:val="20"/>
          <w:szCs w:val="20"/>
        </w:rPr>
        <w:t>the benefits of supporting both spatial domain multiplexing of different beams (MU-MIMO) and the time domain multiplexing of different beams in the same COT . The related agreements are as follows.</w:t>
      </w:r>
    </w:p>
    <w:tbl>
      <w:tblPr>
        <w:tblStyle w:val="TableGrid"/>
        <w:tblW w:w="0" w:type="auto"/>
        <w:tblLook w:val="04A0" w:firstRow="1" w:lastRow="0" w:firstColumn="1" w:lastColumn="0" w:noHBand="0" w:noVBand="1"/>
      </w:tblPr>
      <w:tblGrid>
        <w:gridCol w:w="9629"/>
      </w:tblGrid>
      <w:tr w:rsidR="00EA6B30" w14:paraId="170D3538" w14:textId="77777777" w:rsidTr="007D13FF">
        <w:tc>
          <w:tcPr>
            <w:tcW w:w="9629" w:type="dxa"/>
          </w:tcPr>
          <w:p w14:paraId="136FC94B" w14:textId="77777777" w:rsidR="00EA6B30" w:rsidRPr="009A1C17" w:rsidRDefault="00EA6B30" w:rsidP="007D13FF">
            <w:pPr>
              <w:spacing w:after="0" w:line="240" w:lineRule="auto"/>
              <w:rPr>
                <w:rFonts w:ascii="Times New Roman" w:eastAsia="Times New Roman" w:hAnsi="Times New Roman" w:cs="Times New Roman"/>
                <w:sz w:val="20"/>
                <w:szCs w:val="24"/>
                <w:lang w:eastAsia="x-none"/>
              </w:rPr>
            </w:pPr>
            <w:r w:rsidRPr="009A1C17">
              <w:rPr>
                <w:rFonts w:ascii="Times New Roman" w:eastAsia="Times New Roman" w:hAnsi="Times New Roman" w:cs="Times New Roman"/>
                <w:sz w:val="20"/>
                <w:szCs w:val="24"/>
                <w:highlight w:val="green"/>
                <w:lang w:eastAsia="x-none"/>
              </w:rPr>
              <w:t>Agreement</w:t>
            </w:r>
            <w:r>
              <w:rPr>
                <w:rFonts w:ascii="Times New Roman" w:eastAsia="Times New Roman" w:hAnsi="Times New Roman" w:cs="Times New Roman"/>
                <w:sz w:val="20"/>
                <w:szCs w:val="24"/>
                <w:lang w:eastAsia="x-none"/>
              </w:rPr>
              <w:t>:</w:t>
            </w:r>
          </w:p>
          <w:p w14:paraId="428A0981" w14:textId="77777777" w:rsidR="00EA6B30" w:rsidRPr="009A1C17" w:rsidRDefault="00EA6B30" w:rsidP="007D13FF">
            <w:pPr>
              <w:spacing w:after="0" w:line="240" w:lineRule="auto"/>
              <w:rPr>
                <w:rFonts w:ascii="Times New Roman" w:eastAsia="Times New Roman" w:hAnsi="Times New Roman" w:cs="Times New Roman"/>
                <w:sz w:val="20"/>
                <w:szCs w:val="24"/>
                <w:lang w:eastAsia="x-none"/>
              </w:rPr>
            </w:pPr>
            <w:r w:rsidRPr="009A1C17">
              <w:rPr>
                <w:rFonts w:ascii="Times New Roman" w:eastAsia="Times New Roman" w:hAnsi="Times New Roman" w:cs="Times New Roman"/>
                <w:sz w:val="20"/>
                <w:szCs w:val="24"/>
                <w:lang w:eastAsia="x-none"/>
              </w:rPr>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449B69BD" w14:textId="77777777" w:rsidR="00EA6B30" w:rsidRPr="009A1C17" w:rsidRDefault="00EA6B30" w:rsidP="00EA6B30">
            <w:pPr>
              <w:numPr>
                <w:ilvl w:val="0"/>
                <w:numId w:val="38"/>
              </w:numPr>
              <w:spacing w:after="0" w:line="240" w:lineRule="auto"/>
              <w:rPr>
                <w:rFonts w:ascii="Times New Roman" w:eastAsia="Times New Roman" w:hAnsi="Times New Roman" w:cs="Times New Roman"/>
                <w:sz w:val="20"/>
                <w:szCs w:val="24"/>
                <w:lang w:eastAsia="x-none"/>
              </w:rPr>
            </w:pPr>
            <w:r w:rsidRPr="009A1C17">
              <w:rPr>
                <w:rFonts w:ascii="Times New Roman" w:eastAsia="Times New Roman" w:hAnsi="Times New Roman" w:cs="Times New Roman"/>
                <w:sz w:val="20"/>
                <w:szCs w:val="24"/>
                <w:lang w:eastAsia="x-none"/>
              </w:rPr>
              <w:t>Leave the LBT behaviour for implementation</w:t>
            </w:r>
          </w:p>
          <w:p w14:paraId="19344344" w14:textId="77777777" w:rsidR="00EA6B30" w:rsidRPr="009A1C17" w:rsidRDefault="00EA6B30" w:rsidP="00EA6B30">
            <w:pPr>
              <w:numPr>
                <w:ilvl w:val="0"/>
                <w:numId w:val="38"/>
              </w:numPr>
              <w:spacing w:after="0" w:line="240" w:lineRule="auto"/>
              <w:rPr>
                <w:rFonts w:ascii="Times New Roman" w:eastAsia="Times New Roman" w:hAnsi="Times New Roman" w:cs="Times New Roman"/>
                <w:sz w:val="20"/>
                <w:szCs w:val="24"/>
                <w:lang w:eastAsia="x-none"/>
              </w:rPr>
            </w:pPr>
            <w:r w:rsidRPr="009A1C17">
              <w:rPr>
                <w:rFonts w:ascii="Times New Roman" w:eastAsia="Times New Roman" w:hAnsi="Times New Roman" w:cs="Times New Roman"/>
                <w:sz w:val="20"/>
                <w:szCs w:val="24"/>
                <w:lang w:eastAsia="x-none"/>
              </w:rPr>
              <w:t>One LBT beam covers all transmission beams</w:t>
            </w:r>
          </w:p>
          <w:p w14:paraId="050545BF" w14:textId="77777777" w:rsidR="00EA6B30" w:rsidRPr="009A1C17" w:rsidRDefault="00EA6B30" w:rsidP="00EA6B30">
            <w:pPr>
              <w:numPr>
                <w:ilvl w:val="0"/>
                <w:numId w:val="38"/>
              </w:numPr>
              <w:spacing w:after="0" w:line="240" w:lineRule="auto"/>
              <w:rPr>
                <w:rFonts w:ascii="Times New Roman" w:eastAsia="Times New Roman" w:hAnsi="Times New Roman" w:cs="Times New Roman"/>
                <w:sz w:val="20"/>
                <w:szCs w:val="24"/>
                <w:lang w:eastAsia="x-none"/>
              </w:rPr>
            </w:pPr>
            <w:r w:rsidRPr="009A1C17">
              <w:rPr>
                <w:rFonts w:ascii="Times New Roman" w:eastAsia="Times New Roman" w:hAnsi="Times New Roman" w:cs="Times New Roman"/>
                <w:sz w:val="20"/>
                <w:szCs w:val="24"/>
                <w:lang w:eastAsia="x-none"/>
              </w:rPr>
              <w:t>Multiple LBT beams cover multiple transmission beams</w:t>
            </w:r>
          </w:p>
          <w:p w14:paraId="36517326" w14:textId="77777777" w:rsidR="00EA6B30" w:rsidRPr="009A1C17" w:rsidRDefault="00EA6B30" w:rsidP="007D13FF">
            <w:pPr>
              <w:spacing w:after="0" w:line="240" w:lineRule="auto"/>
              <w:rPr>
                <w:rFonts w:ascii="Times" w:eastAsia="Batang" w:hAnsi="Times" w:cs="Times New Roman"/>
                <w:sz w:val="20"/>
                <w:szCs w:val="24"/>
                <w:highlight w:val="green"/>
                <w:lang w:eastAsia="x-none"/>
              </w:rPr>
            </w:pPr>
          </w:p>
          <w:p w14:paraId="6DBB4C92" w14:textId="77777777" w:rsidR="00EA6B30" w:rsidRPr="009A1C17" w:rsidRDefault="00EA6B30" w:rsidP="007D13FF">
            <w:pPr>
              <w:spacing w:after="0" w:line="240" w:lineRule="auto"/>
              <w:rPr>
                <w:rFonts w:ascii="Times New Roman" w:eastAsia="Times New Roman" w:hAnsi="Times New Roman" w:cs="Times New Roman"/>
                <w:sz w:val="20"/>
                <w:szCs w:val="24"/>
                <w:lang w:eastAsia="x-none"/>
              </w:rPr>
            </w:pPr>
            <w:r w:rsidRPr="009A1C17">
              <w:rPr>
                <w:rFonts w:ascii="Times New Roman" w:eastAsia="Times New Roman" w:hAnsi="Times New Roman" w:cs="Times New Roman"/>
                <w:sz w:val="20"/>
                <w:szCs w:val="24"/>
                <w:highlight w:val="green"/>
                <w:lang w:eastAsia="x-none"/>
              </w:rPr>
              <w:t>Agreement</w:t>
            </w:r>
            <w:r>
              <w:rPr>
                <w:rFonts w:ascii="Times New Roman" w:eastAsia="Times New Roman" w:hAnsi="Times New Roman" w:cs="Times New Roman"/>
                <w:sz w:val="20"/>
                <w:szCs w:val="24"/>
                <w:lang w:eastAsia="x-none"/>
              </w:rPr>
              <w:t>:</w:t>
            </w:r>
          </w:p>
          <w:p w14:paraId="45758017" w14:textId="77777777" w:rsidR="00EA6B30" w:rsidRPr="009A1C17" w:rsidRDefault="00EA6B30" w:rsidP="007D13FF">
            <w:pPr>
              <w:spacing w:after="0" w:line="240" w:lineRule="auto"/>
              <w:rPr>
                <w:rFonts w:ascii="Times New Roman" w:eastAsia="Malgun Gothic" w:hAnsi="Times New Roman" w:cs="Times New Roman"/>
                <w:sz w:val="20"/>
                <w:szCs w:val="24"/>
                <w:lang w:eastAsia="en-US"/>
              </w:rPr>
            </w:pPr>
            <w:r w:rsidRPr="009A1C17">
              <w:rPr>
                <w:rFonts w:ascii="Times New Roman" w:eastAsia="Times New Roman" w:hAnsi="Times New Roman" w:cs="Times New Roman"/>
                <w:sz w:val="20"/>
                <w:szCs w:val="24"/>
                <w:lang w:eastAsia="en-US"/>
              </w:rPr>
              <w:t xml:space="preserve">When LBT mode is used, time domain multiplexing of DL/UL transmissions in different beams in the same COT is supported. The LBT requirement (if any) for time domain multiplexing of DL/UL transmissions in multiple beams can be </w:t>
            </w:r>
            <w:r w:rsidRPr="009A1C17">
              <w:rPr>
                <w:rFonts w:ascii="Times New Roman" w:eastAsia="Malgun Gothic" w:hAnsi="Times New Roman" w:cs="Times New Roman"/>
                <w:sz w:val="20"/>
                <w:szCs w:val="24"/>
                <w:lang w:eastAsia="en-US"/>
              </w:rPr>
              <w:t>further discussed when specifications are developed. At least the following can be considered while other LBT considerations are not excluded</w:t>
            </w:r>
          </w:p>
          <w:p w14:paraId="47BFC05B" w14:textId="77777777" w:rsidR="00EA6B30" w:rsidRPr="009A1C17" w:rsidRDefault="00EA6B30" w:rsidP="00EA6B30">
            <w:pPr>
              <w:numPr>
                <w:ilvl w:val="0"/>
                <w:numId w:val="39"/>
              </w:numPr>
              <w:kinsoku w:val="0"/>
              <w:overflowPunct w:val="0"/>
              <w:adjustRightInd w:val="0"/>
              <w:spacing w:after="60" w:line="256" w:lineRule="auto"/>
              <w:textAlignment w:val="baseline"/>
              <w:rPr>
                <w:rFonts w:ascii="Times New Roman" w:eastAsia="Malgun Gothic" w:hAnsi="Times New Roman" w:cs="Times New Roman"/>
                <w:sz w:val="20"/>
                <w:szCs w:val="24"/>
                <w:lang w:eastAsia="x-none"/>
              </w:rPr>
            </w:pPr>
            <w:r w:rsidRPr="009A1C17">
              <w:rPr>
                <w:rFonts w:ascii="Times New Roman" w:eastAsia="Malgun Gothic" w:hAnsi="Times New Roman" w:cs="Times New Roman"/>
                <w:sz w:val="20"/>
                <w:szCs w:val="24"/>
                <w:lang w:eastAsia="x-none"/>
              </w:rPr>
              <w:t>No additional LBT requirement defined and leave the LBT behaviour for implementation</w:t>
            </w:r>
          </w:p>
          <w:p w14:paraId="22434046" w14:textId="77777777" w:rsidR="00EA6B30" w:rsidRPr="009A1C17" w:rsidRDefault="00EA6B30" w:rsidP="00EA6B30">
            <w:pPr>
              <w:numPr>
                <w:ilvl w:val="0"/>
                <w:numId w:val="39"/>
              </w:numPr>
              <w:kinsoku w:val="0"/>
              <w:overflowPunct w:val="0"/>
              <w:adjustRightInd w:val="0"/>
              <w:spacing w:after="60" w:line="256" w:lineRule="auto"/>
              <w:textAlignment w:val="baseline"/>
              <w:rPr>
                <w:rFonts w:ascii="Times New Roman" w:eastAsia="Malgun Gothic" w:hAnsi="Times New Roman" w:cs="Times New Roman"/>
                <w:sz w:val="20"/>
                <w:szCs w:val="24"/>
                <w:lang w:eastAsia="x-none"/>
              </w:rPr>
            </w:pPr>
            <w:r w:rsidRPr="009A1C17">
              <w:rPr>
                <w:rFonts w:ascii="Times New Roman" w:eastAsia="Malgun Gothic" w:hAnsi="Times New Roman" w:cs="Times New Roman"/>
                <w:sz w:val="20"/>
                <w:szCs w:val="24"/>
                <w:lang w:eastAsia="x-none"/>
              </w:rPr>
              <w:t xml:space="preserve">Perform directional or omni-directional LBT at the beginning of COT with sensing beam(s) that covers all TDM beams and with no LBT before each beam switching in the middle of COT. </w:t>
            </w:r>
          </w:p>
          <w:p w14:paraId="09056F69" w14:textId="77777777" w:rsidR="00EA6B30" w:rsidRPr="009A1C17" w:rsidRDefault="00EA6B30" w:rsidP="00EA6B30">
            <w:pPr>
              <w:numPr>
                <w:ilvl w:val="0"/>
                <w:numId w:val="39"/>
              </w:numPr>
              <w:kinsoku w:val="0"/>
              <w:overflowPunct w:val="0"/>
              <w:adjustRightInd w:val="0"/>
              <w:spacing w:after="60" w:line="256" w:lineRule="auto"/>
              <w:textAlignment w:val="baseline"/>
              <w:rPr>
                <w:rFonts w:ascii="Times New Roman" w:eastAsia="Malgun Gothic" w:hAnsi="Times New Roman" w:cs="Times New Roman"/>
                <w:sz w:val="20"/>
                <w:szCs w:val="24"/>
                <w:lang w:eastAsia="x-none"/>
              </w:rPr>
            </w:pPr>
            <w:r w:rsidRPr="009A1C17">
              <w:rPr>
                <w:rFonts w:ascii="Times New Roman" w:eastAsia="Malgun Gothic" w:hAnsi="Times New Roman" w:cs="Times New Roman"/>
                <w:sz w:val="20"/>
                <w:szCs w:val="24"/>
                <w:lang w:eastAsia="x-none"/>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14:paraId="308FC88A" w14:textId="77777777" w:rsidR="00EA6B30" w:rsidRPr="009A1C17" w:rsidRDefault="00EA6B30" w:rsidP="007D13FF">
            <w:pPr>
              <w:rPr>
                <w:rFonts w:ascii="Times New Roman" w:eastAsia="MS Mincho" w:hAnsi="Times New Roman" w:cs="Times New Roman"/>
                <w:sz w:val="20"/>
                <w:szCs w:val="20"/>
              </w:rPr>
            </w:pPr>
          </w:p>
        </w:tc>
      </w:tr>
    </w:tbl>
    <w:p w14:paraId="32BE7A69" w14:textId="3D18E72E" w:rsidR="001D2C0F" w:rsidRDefault="00A70E09" w:rsidP="008D41FD">
      <w:pPr>
        <w:rPr>
          <w:rFonts w:ascii="Times New Roman" w:hAnsi="Times New Roman" w:cs="Times New Roman"/>
          <w:sz w:val="20"/>
          <w:szCs w:val="20"/>
        </w:rPr>
      </w:pPr>
      <w:r>
        <w:rPr>
          <w:rFonts w:ascii="Times New Roman" w:eastAsia="MS Mincho" w:hAnsi="Times New Roman" w:cs="Times New Roman"/>
          <w:sz w:val="20"/>
          <w:szCs w:val="20"/>
        </w:rPr>
        <w:t xml:space="preserve"> </w:t>
      </w:r>
      <w:r w:rsidR="00332753">
        <w:rPr>
          <w:rFonts w:ascii="Times New Roman" w:hAnsi="Times New Roman" w:cs="Times New Roman"/>
          <w:sz w:val="20"/>
          <w:szCs w:val="20"/>
        </w:rPr>
        <w:t xml:space="preserve">  </w:t>
      </w:r>
    </w:p>
    <w:p w14:paraId="7F69ACC5" w14:textId="5176B0DC" w:rsidR="00794C6A" w:rsidRDefault="005927B4" w:rsidP="008D41FD">
      <w:pPr>
        <w:rPr>
          <w:rFonts w:ascii="Times New Roman" w:hAnsi="Times New Roman" w:cs="Times New Roman"/>
          <w:sz w:val="20"/>
          <w:szCs w:val="20"/>
        </w:rPr>
      </w:pPr>
      <w:r>
        <w:rPr>
          <w:rFonts w:ascii="Times New Roman" w:hAnsi="Times New Roman" w:cs="Times New Roman"/>
          <w:sz w:val="20"/>
          <w:szCs w:val="20"/>
        </w:rPr>
        <w:t>In this document, we discuss the</w:t>
      </w:r>
      <w:r w:rsidRPr="005927B4">
        <w:rPr>
          <w:rFonts w:ascii="Times New Roman" w:hAnsi="Times New Roman" w:cs="Times New Roman"/>
          <w:sz w:val="20"/>
          <w:szCs w:val="20"/>
        </w:rPr>
        <w:t xml:space="preserve"> LBT</w:t>
      </w:r>
      <w:r>
        <w:rPr>
          <w:rFonts w:ascii="Times New Roman" w:hAnsi="Times New Roman" w:cs="Times New Roman"/>
          <w:sz w:val="20"/>
          <w:szCs w:val="20"/>
        </w:rPr>
        <w:t xml:space="preserve"> requirements</w:t>
      </w:r>
      <w:r w:rsidRPr="005927B4">
        <w:rPr>
          <w:rFonts w:ascii="Times New Roman" w:hAnsi="Times New Roman" w:cs="Times New Roman"/>
          <w:sz w:val="20"/>
          <w:szCs w:val="20"/>
        </w:rPr>
        <w:t xml:space="preserve"> for </w:t>
      </w:r>
      <w:r w:rsidR="00A90A96">
        <w:rPr>
          <w:rFonts w:ascii="Times New Roman" w:hAnsi="Times New Roman" w:cs="Times New Roman"/>
          <w:sz w:val="20"/>
          <w:szCs w:val="20"/>
        </w:rPr>
        <w:t>multi-beam</w:t>
      </w:r>
      <w:r w:rsidRPr="005927B4">
        <w:rPr>
          <w:rFonts w:ascii="Times New Roman" w:hAnsi="Times New Roman" w:cs="Times New Roman"/>
          <w:sz w:val="20"/>
          <w:szCs w:val="20"/>
        </w:rPr>
        <w:t xml:space="preserve"> transmissions in the same</w:t>
      </w:r>
      <w:r w:rsidR="002C7CBE">
        <w:rPr>
          <w:rFonts w:ascii="Times New Roman" w:hAnsi="Times New Roman" w:cs="Times New Roman"/>
          <w:sz w:val="20"/>
          <w:szCs w:val="20"/>
        </w:rPr>
        <w:t xml:space="preserve"> COT</w:t>
      </w:r>
      <w:r w:rsidRPr="005927B4">
        <w:rPr>
          <w:rFonts w:ascii="Times New Roman" w:hAnsi="Times New Roman" w:cs="Times New Roman"/>
          <w:sz w:val="20"/>
          <w:szCs w:val="20"/>
        </w:rPr>
        <w:t>.</w:t>
      </w:r>
    </w:p>
    <w:p w14:paraId="64DE4112" w14:textId="7269470B" w:rsidR="005E1602" w:rsidRDefault="00DE1161" w:rsidP="005E1602">
      <w:pPr>
        <w:pStyle w:val="Heading1"/>
        <w:rPr>
          <w:lang w:val="en-US"/>
        </w:rPr>
      </w:pPr>
      <w:r>
        <w:rPr>
          <w:lang w:val="en-US"/>
        </w:rPr>
        <w:t>Discussion</w:t>
      </w:r>
    </w:p>
    <w:p w14:paraId="7930FAB5" w14:textId="7D3CCC4E" w:rsidR="00B91D5D" w:rsidRDefault="0053253D"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first discuss </w:t>
      </w:r>
      <w:r w:rsidR="004E4E5F">
        <w:rPr>
          <w:rFonts w:ascii="Times New Roman" w:eastAsia="Malgun Gothic" w:hAnsi="Times New Roman" w:cs="Times New Roman"/>
          <w:sz w:val="20"/>
          <w:szCs w:val="20"/>
          <w:lang w:eastAsia="ko-KR"/>
        </w:rPr>
        <w:t xml:space="preserve">the case of TDMed </w:t>
      </w:r>
      <w:r w:rsidR="002C630F">
        <w:rPr>
          <w:rFonts w:ascii="Times New Roman" w:eastAsia="Malgun Gothic" w:hAnsi="Times New Roman" w:cs="Times New Roman"/>
          <w:sz w:val="20"/>
          <w:szCs w:val="20"/>
          <w:lang w:eastAsia="ko-KR"/>
        </w:rPr>
        <w:t xml:space="preserve">beams and then the case of </w:t>
      </w:r>
      <w:r w:rsidR="00B16476">
        <w:rPr>
          <w:rFonts w:ascii="Times New Roman" w:eastAsia="Malgun Gothic" w:hAnsi="Times New Roman" w:cs="Times New Roman"/>
          <w:sz w:val="20"/>
          <w:szCs w:val="20"/>
          <w:lang w:eastAsia="ko-KR"/>
        </w:rPr>
        <w:t>both TDMed and SDMed beams in a COT.</w:t>
      </w:r>
    </w:p>
    <w:p w14:paraId="2076D96E" w14:textId="77777777" w:rsidR="00540048" w:rsidRDefault="00540048" w:rsidP="008D41FD">
      <w:pPr>
        <w:rPr>
          <w:rFonts w:ascii="Times New Roman" w:eastAsia="Malgun Gothic" w:hAnsi="Times New Roman" w:cs="Times New Roman"/>
          <w:sz w:val="20"/>
          <w:szCs w:val="20"/>
          <w:lang w:eastAsia="ko-KR"/>
        </w:rPr>
      </w:pPr>
    </w:p>
    <w:p w14:paraId="7433403D" w14:textId="4B474C78" w:rsidR="00B16476" w:rsidRPr="00540048" w:rsidRDefault="00B91D5D" w:rsidP="00387A5F">
      <w:pPr>
        <w:pStyle w:val="Heading2"/>
        <w:rPr>
          <w:rFonts w:eastAsia="Malgun Gothic"/>
          <w:lang w:eastAsia="ko-KR"/>
        </w:rPr>
      </w:pPr>
      <w:r w:rsidRPr="00540048">
        <w:t xml:space="preserve">TDMed beams </w:t>
      </w:r>
    </w:p>
    <w:p w14:paraId="6B2FB5A0" w14:textId="77777777" w:rsidR="00540048" w:rsidRDefault="00540048" w:rsidP="00540048">
      <w:pPr>
        <w:rPr>
          <w:rFonts w:ascii="Times New Roman" w:eastAsia="MS Mincho" w:hAnsi="Times New Roman" w:cs="Times New Roman"/>
          <w:sz w:val="20"/>
          <w:szCs w:val="20"/>
        </w:rPr>
      </w:pPr>
      <w:r>
        <w:rPr>
          <w:rFonts w:ascii="Times New Roman" w:eastAsia="MS Mincho" w:hAnsi="Times New Roman" w:cs="Times New Roman"/>
          <w:sz w:val="20"/>
          <w:szCs w:val="20"/>
        </w:rPr>
        <w:t>As an example, the following figure shows one possible COT structure:</w:t>
      </w:r>
    </w:p>
    <w:p w14:paraId="205799E9" w14:textId="77777777" w:rsidR="00540048" w:rsidRDefault="00540048" w:rsidP="00540048">
      <w:pPr>
        <w:rPr>
          <w:rFonts w:ascii="Times New Roman" w:eastAsia="MS Mincho" w:hAnsi="Times New Roman" w:cs="Times New Roman"/>
          <w:sz w:val="20"/>
          <w:szCs w:val="20"/>
        </w:rPr>
      </w:pPr>
      <w:r>
        <w:object w:dxaOrig="9640" w:dyaOrig="3960" w14:anchorId="296D8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8pt" o:ole="">
            <v:imagedata r:id="rId11" o:title=""/>
          </v:shape>
          <o:OLEObject Type="Embed" ProgID="Visio.Drawing.15" ShapeID="_x0000_i1025" DrawAspect="Content" ObjectID="_1672485554" r:id="rId12"/>
        </w:object>
      </w:r>
    </w:p>
    <w:p w14:paraId="5BB850F1" w14:textId="77777777" w:rsidR="00540048" w:rsidRDefault="00540048" w:rsidP="00540048">
      <w:pPr>
        <w:jc w:val="center"/>
        <w:rPr>
          <w:rFonts w:ascii="Times New Roman" w:eastAsia="MS Mincho" w:hAnsi="Times New Roman" w:cs="Times New Roman"/>
          <w:sz w:val="20"/>
          <w:szCs w:val="20"/>
        </w:rPr>
      </w:pPr>
      <w:r>
        <w:rPr>
          <w:rFonts w:ascii="Times New Roman" w:eastAsia="MS Mincho" w:hAnsi="Times New Roman" w:cs="Times New Roman"/>
          <w:sz w:val="20"/>
          <w:szCs w:val="20"/>
        </w:rPr>
        <w:t>Fig.1  TDMed transmission in different beams in a COT</w:t>
      </w:r>
    </w:p>
    <w:p w14:paraId="2C151771" w14:textId="77777777" w:rsidR="00540048" w:rsidRDefault="00540048" w:rsidP="008D41FD">
      <w:pPr>
        <w:rPr>
          <w:rFonts w:ascii="Times New Roman" w:eastAsia="Malgun Gothic" w:hAnsi="Times New Roman" w:cs="Times New Roman"/>
          <w:sz w:val="20"/>
          <w:szCs w:val="20"/>
          <w:lang w:eastAsia="ko-KR"/>
        </w:rPr>
      </w:pPr>
    </w:p>
    <w:p w14:paraId="27DF0B0B" w14:textId="6762A599" w:rsidR="00E373BD" w:rsidRDefault="00E373BD" w:rsidP="00E373BD">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the above example, t1 to t8 are the time instants </w:t>
      </w:r>
      <w:r w:rsidR="00CA5288">
        <w:rPr>
          <w:rFonts w:ascii="Times New Roman" w:eastAsia="MS Mincho" w:hAnsi="Times New Roman" w:cs="Times New Roman"/>
          <w:sz w:val="20"/>
          <w:szCs w:val="20"/>
        </w:rPr>
        <w:t>of</w:t>
      </w:r>
      <w:r>
        <w:rPr>
          <w:rFonts w:ascii="Times New Roman" w:eastAsia="MS Mincho" w:hAnsi="Times New Roman" w:cs="Times New Roman"/>
          <w:sz w:val="20"/>
          <w:szCs w:val="20"/>
        </w:rPr>
        <w:t xml:space="preserve"> either beam switching or DL/UL direction switching where potential LBT requirements </w:t>
      </w:r>
      <w:r w:rsidR="003E57B2">
        <w:rPr>
          <w:rFonts w:ascii="Times New Roman" w:eastAsia="MS Mincho" w:hAnsi="Times New Roman" w:cs="Times New Roman"/>
          <w:sz w:val="20"/>
          <w:szCs w:val="20"/>
        </w:rPr>
        <w:t>are</w:t>
      </w:r>
      <w:r>
        <w:rPr>
          <w:rFonts w:ascii="Times New Roman" w:eastAsia="MS Mincho" w:hAnsi="Times New Roman" w:cs="Times New Roman"/>
          <w:sz w:val="20"/>
          <w:szCs w:val="20"/>
        </w:rPr>
        <w:t xml:space="preserve"> discussed</w:t>
      </w:r>
      <w:r w:rsidR="003E57B2">
        <w:rPr>
          <w:rFonts w:ascii="Times New Roman" w:eastAsia="MS Mincho" w:hAnsi="Times New Roman" w:cs="Times New Roman"/>
          <w:sz w:val="20"/>
          <w:szCs w:val="20"/>
        </w:rPr>
        <w:t xml:space="preserve"> as follows</w:t>
      </w:r>
      <w:r>
        <w:rPr>
          <w:rFonts w:ascii="Times New Roman" w:eastAsia="MS Mincho" w:hAnsi="Times New Roman" w:cs="Times New Roman"/>
          <w:sz w:val="20"/>
          <w:szCs w:val="20"/>
        </w:rPr>
        <w:t xml:space="preserve">. </w:t>
      </w:r>
    </w:p>
    <w:p w14:paraId="32B769B5" w14:textId="7ECE56CF" w:rsidR="00E373BD" w:rsidRPr="009E4A87" w:rsidRDefault="00E373BD" w:rsidP="00A83FA6">
      <w:pPr>
        <w:spacing w:line="256" w:lineRule="auto"/>
        <w:rPr>
          <w:rFonts w:ascii="Times New Roman" w:eastAsia="MS Mincho" w:hAnsi="Times New Roman" w:cs="Times New Roman"/>
          <w:sz w:val="20"/>
          <w:szCs w:val="20"/>
          <w:u w:val="single"/>
        </w:rPr>
      </w:pPr>
      <w:r w:rsidRPr="009E4A87">
        <w:rPr>
          <w:rFonts w:ascii="Times New Roman" w:eastAsia="MS Mincho" w:hAnsi="Times New Roman" w:cs="Times New Roman"/>
          <w:sz w:val="20"/>
          <w:szCs w:val="20"/>
          <w:u w:val="single"/>
        </w:rPr>
        <w:t>At the beginning of COT (i.e. t1), and each points when gNB switches its TX beams (</w:t>
      </w:r>
      <w:r w:rsidR="00193A13" w:rsidRPr="009E4A87">
        <w:rPr>
          <w:rFonts w:ascii="Times New Roman" w:eastAsia="MS Mincho" w:hAnsi="Times New Roman" w:cs="Times New Roman"/>
          <w:sz w:val="20"/>
          <w:szCs w:val="20"/>
          <w:u w:val="single"/>
        </w:rPr>
        <w:t>i.e.</w:t>
      </w:r>
      <w:r w:rsidR="00910D77">
        <w:rPr>
          <w:rFonts w:ascii="Times New Roman" w:eastAsia="MS Mincho" w:hAnsi="Times New Roman" w:cs="Times New Roman"/>
          <w:sz w:val="20"/>
          <w:szCs w:val="20"/>
          <w:u w:val="single"/>
        </w:rPr>
        <w:t xml:space="preserve"> </w:t>
      </w:r>
      <w:r w:rsidRPr="009E4A87">
        <w:rPr>
          <w:rFonts w:ascii="Times New Roman" w:eastAsia="MS Mincho" w:hAnsi="Times New Roman" w:cs="Times New Roman"/>
          <w:sz w:val="20"/>
          <w:szCs w:val="20"/>
          <w:u w:val="single"/>
        </w:rPr>
        <w:t>t2,</w:t>
      </w:r>
      <w:r w:rsidR="00910D77">
        <w:rPr>
          <w:rFonts w:ascii="Times New Roman" w:eastAsia="MS Mincho" w:hAnsi="Times New Roman" w:cs="Times New Roman"/>
          <w:sz w:val="20"/>
          <w:szCs w:val="20"/>
          <w:u w:val="single"/>
        </w:rPr>
        <w:t xml:space="preserve"> </w:t>
      </w:r>
      <w:r w:rsidRPr="009E4A87">
        <w:rPr>
          <w:rFonts w:ascii="Times New Roman" w:eastAsia="MS Mincho" w:hAnsi="Times New Roman" w:cs="Times New Roman"/>
          <w:sz w:val="20"/>
          <w:szCs w:val="20"/>
          <w:u w:val="single"/>
        </w:rPr>
        <w:t>t3)</w:t>
      </w:r>
    </w:p>
    <w:p w14:paraId="415F0DE2" w14:textId="7020E0BF" w:rsidR="00E373BD" w:rsidRDefault="00E373BD" w:rsidP="00E373BD">
      <w:pPr>
        <w:rPr>
          <w:rFonts w:ascii="Times New Roman" w:eastAsia="MS Mincho" w:hAnsi="Times New Roman" w:cs="Times New Roman"/>
          <w:sz w:val="20"/>
          <w:szCs w:val="20"/>
        </w:rPr>
      </w:pPr>
      <w:r>
        <w:rPr>
          <w:rFonts w:ascii="Times New Roman" w:eastAsia="MS Mincho" w:hAnsi="Times New Roman" w:cs="Times New Roman"/>
          <w:sz w:val="20"/>
          <w:szCs w:val="20"/>
        </w:rPr>
        <w:t>Although both LBT mode and no-LBT mode are agreed to be specified</w:t>
      </w:r>
      <w:r w:rsidR="006341FB">
        <w:rPr>
          <w:rFonts w:ascii="Times New Roman" w:eastAsia="MS Mincho" w:hAnsi="Times New Roman" w:cs="Times New Roman"/>
          <w:sz w:val="20"/>
          <w:szCs w:val="20"/>
        </w:rPr>
        <w:t xml:space="preserve"> for NR operation above 52GHz</w:t>
      </w:r>
      <w:r>
        <w:rPr>
          <w:rFonts w:ascii="Times New Roman" w:eastAsia="MS Mincho" w:hAnsi="Times New Roman" w:cs="Times New Roman"/>
          <w:sz w:val="20"/>
          <w:szCs w:val="20"/>
        </w:rPr>
        <w:t xml:space="preserve">, if the initiating device transmits a transmission without performing LBT, then there </w:t>
      </w:r>
      <w:r w:rsidR="00330D5B">
        <w:rPr>
          <w:rFonts w:ascii="Times New Roman" w:eastAsia="MS Mincho" w:hAnsi="Times New Roman" w:cs="Times New Roman"/>
          <w:sz w:val="20"/>
          <w:szCs w:val="20"/>
        </w:rPr>
        <w:t>should be</w:t>
      </w:r>
      <w:r>
        <w:rPr>
          <w:rFonts w:ascii="Times New Roman" w:eastAsia="MS Mincho" w:hAnsi="Times New Roman" w:cs="Times New Roman"/>
          <w:sz w:val="20"/>
          <w:szCs w:val="20"/>
        </w:rPr>
        <w:t xml:space="preserve"> no COT sharing, otherwise it could cause fairness issue. Therefore, for the operation like Fig.1 where DL/UL sharing is involved, LBT should be performed before t1. </w:t>
      </w:r>
    </w:p>
    <w:p w14:paraId="59DAB12C" w14:textId="12669E86" w:rsidR="00D36FF6" w:rsidRDefault="00641239" w:rsidP="00E373BD">
      <w:pPr>
        <w:rPr>
          <w:rFonts w:ascii="Times New Roman" w:eastAsia="MS Mincho" w:hAnsi="Times New Roman" w:cs="Times New Roman"/>
          <w:sz w:val="20"/>
          <w:szCs w:val="20"/>
        </w:rPr>
      </w:pPr>
      <w:r>
        <w:rPr>
          <w:rFonts w:ascii="Times New Roman" w:eastAsia="MS Mincho" w:hAnsi="Times New Roman" w:cs="Times New Roman"/>
          <w:sz w:val="20"/>
          <w:szCs w:val="20"/>
        </w:rPr>
        <w:t>O</w:t>
      </w:r>
      <w:r w:rsidR="00E373BD">
        <w:rPr>
          <w:rFonts w:ascii="Times New Roman" w:eastAsia="MS Mincho" w:hAnsi="Times New Roman" w:cs="Times New Roman"/>
          <w:sz w:val="20"/>
          <w:szCs w:val="20"/>
        </w:rPr>
        <w:t>ne reasonable option is to perform directional LBT at the beginning of COT with a</w:t>
      </w:r>
      <w:r w:rsidR="00962E73">
        <w:rPr>
          <w:rFonts w:ascii="Times New Roman" w:eastAsia="MS Mincho" w:hAnsi="Times New Roman" w:cs="Times New Roman"/>
          <w:sz w:val="20"/>
          <w:szCs w:val="20"/>
        </w:rPr>
        <w:t xml:space="preserve"> (wider)</w:t>
      </w:r>
      <w:r w:rsidR="00E373BD">
        <w:rPr>
          <w:rFonts w:ascii="Times New Roman" w:eastAsia="MS Mincho" w:hAnsi="Times New Roman" w:cs="Times New Roman"/>
          <w:sz w:val="20"/>
          <w:szCs w:val="20"/>
        </w:rPr>
        <w:t xml:space="preserve"> sensing beam</w:t>
      </w:r>
      <w:r w:rsidR="00461A69">
        <w:rPr>
          <w:rFonts w:ascii="Times New Roman" w:eastAsia="MS Mincho" w:hAnsi="Times New Roman" w:cs="Times New Roman"/>
          <w:sz w:val="20"/>
          <w:szCs w:val="20"/>
        </w:rPr>
        <w:t xml:space="preserve"> or multiple</w:t>
      </w:r>
      <w:r w:rsidR="00962E73">
        <w:rPr>
          <w:rFonts w:ascii="Times New Roman" w:eastAsia="MS Mincho" w:hAnsi="Times New Roman" w:cs="Times New Roman"/>
          <w:sz w:val="20"/>
          <w:szCs w:val="20"/>
        </w:rPr>
        <w:t xml:space="preserve"> (narrower)</w:t>
      </w:r>
      <w:r w:rsidR="00461A69">
        <w:rPr>
          <w:rFonts w:ascii="Times New Roman" w:eastAsia="MS Mincho" w:hAnsi="Times New Roman" w:cs="Times New Roman"/>
          <w:sz w:val="20"/>
          <w:szCs w:val="20"/>
        </w:rPr>
        <w:t xml:space="preserve"> sensing beams</w:t>
      </w:r>
      <w:r w:rsidR="00E373BD">
        <w:rPr>
          <w:rFonts w:ascii="Times New Roman" w:eastAsia="MS Mincho" w:hAnsi="Times New Roman" w:cs="Times New Roman"/>
          <w:sz w:val="20"/>
          <w:szCs w:val="20"/>
        </w:rPr>
        <w:t xml:space="preserve"> that covers </w:t>
      </w:r>
      <w:r w:rsidR="00E373BD">
        <w:rPr>
          <w:rFonts w:ascii="Times New Roman" w:eastAsia="MS Mincho" w:hAnsi="Times New Roman" w:cs="Times New Roman"/>
          <w:i/>
          <w:iCs/>
          <w:sz w:val="20"/>
          <w:szCs w:val="20"/>
        </w:rPr>
        <w:t>all</w:t>
      </w:r>
      <w:r w:rsidR="00E373BD">
        <w:rPr>
          <w:rFonts w:ascii="Times New Roman" w:eastAsia="MS Mincho" w:hAnsi="Times New Roman" w:cs="Times New Roman"/>
          <w:sz w:val="20"/>
          <w:szCs w:val="20"/>
        </w:rPr>
        <w:t xml:space="preserve"> </w:t>
      </w:r>
      <w:r w:rsidR="00C82F59">
        <w:rPr>
          <w:rFonts w:ascii="Times New Roman" w:eastAsia="MS Mincho" w:hAnsi="Times New Roman" w:cs="Times New Roman"/>
          <w:sz w:val="20"/>
          <w:szCs w:val="20"/>
        </w:rPr>
        <w:t xml:space="preserve">intended </w:t>
      </w:r>
      <w:r w:rsidR="00E373BD">
        <w:rPr>
          <w:rFonts w:ascii="Times New Roman" w:eastAsia="MS Mincho" w:hAnsi="Times New Roman" w:cs="Times New Roman"/>
          <w:sz w:val="20"/>
          <w:szCs w:val="20"/>
        </w:rPr>
        <w:t>TDM</w:t>
      </w:r>
      <w:r w:rsidR="00F67114">
        <w:rPr>
          <w:rFonts w:ascii="Times New Roman" w:eastAsia="MS Mincho" w:hAnsi="Times New Roman" w:cs="Times New Roman"/>
          <w:sz w:val="20"/>
          <w:szCs w:val="20"/>
        </w:rPr>
        <w:t>ed</w:t>
      </w:r>
      <w:r w:rsidR="00E373BD">
        <w:rPr>
          <w:rFonts w:ascii="Times New Roman" w:eastAsia="MS Mincho" w:hAnsi="Times New Roman" w:cs="Times New Roman"/>
          <w:sz w:val="20"/>
          <w:szCs w:val="20"/>
        </w:rPr>
        <w:t xml:space="preserve"> beams</w:t>
      </w:r>
      <w:r w:rsidR="00461A69">
        <w:rPr>
          <w:rFonts w:ascii="Times New Roman" w:eastAsia="MS Mincho" w:hAnsi="Times New Roman" w:cs="Times New Roman"/>
          <w:sz w:val="20"/>
          <w:szCs w:val="20"/>
        </w:rPr>
        <w:t xml:space="preserve">. If one sensing beam is used, </w:t>
      </w:r>
      <w:r w:rsidR="009F6A52">
        <w:rPr>
          <w:rFonts w:ascii="Times New Roman" w:eastAsia="MS Mincho" w:hAnsi="Times New Roman" w:cs="Times New Roman"/>
          <w:sz w:val="20"/>
          <w:szCs w:val="20"/>
        </w:rPr>
        <w:t xml:space="preserve">the coverage may </w:t>
      </w:r>
      <w:r w:rsidR="007E1C7A">
        <w:rPr>
          <w:rFonts w:ascii="Times New Roman" w:eastAsia="MS Mincho" w:hAnsi="Times New Roman" w:cs="Times New Roman"/>
          <w:sz w:val="20"/>
          <w:szCs w:val="20"/>
        </w:rPr>
        <w:t>decrease</w:t>
      </w:r>
      <w:r w:rsidR="009F6A52">
        <w:rPr>
          <w:rFonts w:ascii="Times New Roman" w:eastAsia="MS Mincho" w:hAnsi="Times New Roman" w:cs="Times New Roman"/>
          <w:sz w:val="20"/>
          <w:szCs w:val="20"/>
        </w:rPr>
        <w:t xml:space="preserve"> </w:t>
      </w:r>
      <w:r w:rsidR="00B84993">
        <w:rPr>
          <w:rFonts w:ascii="Times New Roman" w:eastAsia="MS Mincho" w:hAnsi="Times New Roman" w:cs="Times New Roman"/>
          <w:sz w:val="20"/>
          <w:szCs w:val="20"/>
        </w:rPr>
        <w:t>compared to the narrower transmi</w:t>
      </w:r>
      <w:r w:rsidR="00417487">
        <w:rPr>
          <w:rFonts w:ascii="Times New Roman" w:eastAsia="MS Mincho" w:hAnsi="Times New Roman" w:cs="Times New Roman"/>
          <w:sz w:val="20"/>
          <w:szCs w:val="20"/>
        </w:rPr>
        <w:t xml:space="preserve">t </w:t>
      </w:r>
      <w:r w:rsidR="00B84993">
        <w:rPr>
          <w:rFonts w:ascii="Times New Roman" w:eastAsia="MS Mincho" w:hAnsi="Times New Roman" w:cs="Times New Roman"/>
          <w:sz w:val="20"/>
          <w:szCs w:val="20"/>
        </w:rPr>
        <w:t>beams within</w:t>
      </w:r>
      <w:r w:rsidR="00417487">
        <w:rPr>
          <w:rFonts w:ascii="Times New Roman" w:eastAsia="MS Mincho" w:hAnsi="Times New Roman" w:cs="Times New Roman"/>
          <w:sz w:val="20"/>
          <w:szCs w:val="20"/>
        </w:rPr>
        <w:t xml:space="preserve"> the sensing beam. As a result, </w:t>
      </w:r>
      <w:r w:rsidR="00953714">
        <w:rPr>
          <w:rFonts w:ascii="Times New Roman" w:eastAsia="MS Mincho" w:hAnsi="Times New Roman" w:cs="Times New Roman"/>
          <w:sz w:val="20"/>
          <w:szCs w:val="20"/>
        </w:rPr>
        <w:t xml:space="preserve">PSD </w:t>
      </w:r>
      <w:r w:rsidR="00842399">
        <w:rPr>
          <w:rFonts w:ascii="Times New Roman" w:eastAsia="MS Mincho" w:hAnsi="Times New Roman" w:cs="Times New Roman"/>
          <w:sz w:val="20"/>
          <w:szCs w:val="20"/>
        </w:rPr>
        <w:t xml:space="preserve">on narrower transmit beams </w:t>
      </w:r>
      <w:r w:rsidR="00BA46EE">
        <w:rPr>
          <w:rFonts w:ascii="Times New Roman" w:eastAsia="MS Mincho" w:hAnsi="Times New Roman" w:cs="Times New Roman"/>
          <w:sz w:val="20"/>
          <w:szCs w:val="20"/>
        </w:rPr>
        <w:t xml:space="preserve">may need to be reduced </w:t>
      </w:r>
      <w:r w:rsidR="004C24EC">
        <w:rPr>
          <w:rFonts w:ascii="Times New Roman" w:eastAsia="MS Mincho" w:hAnsi="Times New Roman" w:cs="Times New Roman"/>
          <w:sz w:val="20"/>
          <w:szCs w:val="20"/>
        </w:rPr>
        <w:t xml:space="preserve">in order to have similar </w:t>
      </w:r>
      <w:r w:rsidR="00F47093">
        <w:rPr>
          <w:rFonts w:ascii="Times New Roman" w:eastAsia="MS Mincho" w:hAnsi="Times New Roman" w:cs="Times New Roman"/>
          <w:sz w:val="20"/>
          <w:szCs w:val="20"/>
        </w:rPr>
        <w:t xml:space="preserve">coverage between </w:t>
      </w:r>
      <w:r w:rsidR="00D71D08">
        <w:rPr>
          <w:rFonts w:ascii="Times New Roman" w:eastAsia="MS Mincho" w:hAnsi="Times New Roman" w:cs="Times New Roman"/>
          <w:sz w:val="20"/>
          <w:szCs w:val="20"/>
        </w:rPr>
        <w:t xml:space="preserve">the </w:t>
      </w:r>
      <w:r w:rsidR="00F47093">
        <w:rPr>
          <w:rFonts w:ascii="Times New Roman" w:eastAsia="MS Mincho" w:hAnsi="Times New Roman" w:cs="Times New Roman"/>
          <w:sz w:val="20"/>
          <w:szCs w:val="20"/>
        </w:rPr>
        <w:t xml:space="preserve">wider sensing beam and </w:t>
      </w:r>
      <w:r w:rsidR="00D71D08">
        <w:rPr>
          <w:rFonts w:ascii="Times New Roman" w:eastAsia="MS Mincho" w:hAnsi="Times New Roman" w:cs="Times New Roman"/>
          <w:sz w:val="20"/>
          <w:szCs w:val="20"/>
        </w:rPr>
        <w:t xml:space="preserve">the </w:t>
      </w:r>
      <w:r w:rsidR="00F47093">
        <w:rPr>
          <w:rFonts w:ascii="Times New Roman" w:eastAsia="MS Mincho" w:hAnsi="Times New Roman" w:cs="Times New Roman"/>
          <w:sz w:val="20"/>
          <w:szCs w:val="20"/>
        </w:rPr>
        <w:t>narrower transmit beams.</w:t>
      </w:r>
      <w:r w:rsidR="00B84993">
        <w:rPr>
          <w:rFonts w:ascii="Times New Roman" w:eastAsia="MS Mincho" w:hAnsi="Times New Roman" w:cs="Times New Roman"/>
          <w:sz w:val="20"/>
          <w:szCs w:val="20"/>
        </w:rPr>
        <w:t xml:space="preserve"> </w:t>
      </w:r>
      <w:r w:rsidR="00052636">
        <w:rPr>
          <w:rFonts w:ascii="Times New Roman" w:eastAsia="MS Mincho" w:hAnsi="Times New Roman" w:cs="Times New Roman"/>
          <w:sz w:val="20"/>
          <w:szCs w:val="20"/>
        </w:rPr>
        <w:t xml:space="preserve"> </w:t>
      </w:r>
    </w:p>
    <w:p w14:paraId="7B2A2CC6" w14:textId="385AF939" w:rsidR="00470702" w:rsidRDefault="00D36FF6" w:rsidP="00E373BD">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Alternative </w:t>
      </w:r>
      <w:r w:rsidR="00DB5470">
        <w:rPr>
          <w:rFonts w:ascii="Times New Roman" w:eastAsia="MS Mincho" w:hAnsi="Times New Roman" w:cs="Times New Roman"/>
          <w:sz w:val="20"/>
          <w:szCs w:val="20"/>
        </w:rPr>
        <w:t xml:space="preserve">option </w:t>
      </w:r>
      <w:r w:rsidR="0057185A">
        <w:rPr>
          <w:rFonts w:ascii="Times New Roman" w:eastAsia="MS Mincho" w:hAnsi="Times New Roman" w:cs="Times New Roman"/>
          <w:sz w:val="20"/>
          <w:szCs w:val="20"/>
        </w:rPr>
        <w:t xml:space="preserve">could be to perform directional LBT at the beginning of COT </w:t>
      </w:r>
      <w:r w:rsidR="004C78B1">
        <w:rPr>
          <w:rFonts w:ascii="Times New Roman" w:eastAsia="MS Mincho" w:hAnsi="Times New Roman" w:cs="Times New Roman"/>
          <w:sz w:val="20"/>
          <w:szCs w:val="20"/>
        </w:rPr>
        <w:t xml:space="preserve">to cover only the first transmit beam (e.g. in Fig.1., Beam #1). </w:t>
      </w:r>
      <w:r w:rsidR="001C6F98">
        <w:rPr>
          <w:rFonts w:ascii="Times New Roman" w:eastAsia="MS Mincho" w:hAnsi="Times New Roman" w:cs="Times New Roman"/>
          <w:sz w:val="20"/>
          <w:szCs w:val="20"/>
        </w:rPr>
        <w:t xml:space="preserve">However, </w:t>
      </w:r>
      <w:r w:rsidR="00942B34">
        <w:rPr>
          <w:rFonts w:ascii="Times New Roman" w:eastAsia="MS Mincho" w:hAnsi="Times New Roman" w:cs="Times New Roman"/>
          <w:sz w:val="20"/>
          <w:szCs w:val="20"/>
        </w:rPr>
        <w:t xml:space="preserve">we are not in favor of this option. The reason is that, </w:t>
      </w:r>
      <w:r w:rsidR="005D1379">
        <w:rPr>
          <w:rFonts w:ascii="Times New Roman" w:eastAsia="MS Mincho" w:hAnsi="Times New Roman" w:cs="Times New Roman"/>
          <w:sz w:val="20"/>
          <w:szCs w:val="20"/>
        </w:rPr>
        <w:t>if gNB only senses the first transmit beam, gNB cannot claim COT for the unsensed beam directions</w:t>
      </w:r>
      <w:r w:rsidR="006B41F6">
        <w:rPr>
          <w:rFonts w:ascii="Times New Roman" w:eastAsia="MS Mincho" w:hAnsi="Times New Roman" w:cs="Times New Roman"/>
          <w:sz w:val="20"/>
          <w:szCs w:val="20"/>
        </w:rPr>
        <w:t xml:space="preserve">. By contrast, </w:t>
      </w:r>
      <w:r w:rsidR="006119A2">
        <w:rPr>
          <w:rFonts w:ascii="Times New Roman" w:eastAsia="MS Mincho" w:hAnsi="Times New Roman" w:cs="Times New Roman"/>
          <w:sz w:val="20"/>
          <w:szCs w:val="20"/>
        </w:rPr>
        <w:t xml:space="preserve">if </w:t>
      </w:r>
      <w:r w:rsidR="00D546F5">
        <w:rPr>
          <w:rFonts w:ascii="Times New Roman" w:eastAsia="MS Mincho" w:hAnsi="Times New Roman" w:cs="Times New Roman"/>
          <w:sz w:val="20"/>
          <w:szCs w:val="20"/>
        </w:rPr>
        <w:t>all intended TDMed directions</w:t>
      </w:r>
      <w:r w:rsidR="006119A2">
        <w:rPr>
          <w:rFonts w:ascii="Times New Roman" w:eastAsia="MS Mincho" w:hAnsi="Times New Roman" w:cs="Times New Roman"/>
          <w:sz w:val="20"/>
          <w:szCs w:val="20"/>
        </w:rPr>
        <w:t xml:space="preserve"> are sensed</w:t>
      </w:r>
      <w:r w:rsidR="00D546F5">
        <w:rPr>
          <w:rFonts w:ascii="Times New Roman" w:eastAsia="MS Mincho" w:hAnsi="Times New Roman" w:cs="Times New Roman"/>
          <w:sz w:val="20"/>
          <w:szCs w:val="20"/>
        </w:rPr>
        <w:t xml:space="preserve"> at the beginning of COT, gNB can identify the valid directions and include such information in the DCI 2_0 at the beginning of COT. Based on such information, UE knows whether it can skip the whole COT</w:t>
      </w:r>
      <w:r w:rsidR="006119A2">
        <w:rPr>
          <w:rFonts w:ascii="Times New Roman" w:eastAsia="MS Mincho" w:hAnsi="Times New Roman" w:cs="Times New Roman"/>
          <w:sz w:val="20"/>
          <w:szCs w:val="20"/>
        </w:rPr>
        <w:t xml:space="preserve"> </w:t>
      </w:r>
      <w:r w:rsidR="00D546F5">
        <w:rPr>
          <w:rFonts w:ascii="Times New Roman" w:eastAsia="MS Mincho" w:hAnsi="Times New Roman" w:cs="Times New Roman"/>
          <w:sz w:val="20"/>
          <w:szCs w:val="20"/>
        </w:rPr>
        <w:t>for the UE power saving</w:t>
      </w:r>
      <w:r w:rsidR="004C664C">
        <w:rPr>
          <w:rFonts w:ascii="Times New Roman" w:eastAsia="MS Mincho" w:hAnsi="Times New Roman" w:cs="Times New Roman"/>
          <w:sz w:val="20"/>
          <w:szCs w:val="20"/>
        </w:rPr>
        <w:t>.</w:t>
      </w:r>
    </w:p>
    <w:p w14:paraId="3E6570C2" w14:textId="5CCD9AAF" w:rsidR="00B03511" w:rsidRDefault="00B03511" w:rsidP="00E373BD">
      <w:pPr>
        <w:rPr>
          <w:rFonts w:ascii="Times New Roman" w:eastAsia="MS Mincho" w:hAnsi="Times New Roman" w:cs="Times New Roman"/>
          <w:sz w:val="20"/>
          <w:szCs w:val="20"/>
        </w:rPr>
      </w:pPr>
      <w:r w:rsidRPr="00B03511">
        <w:rPr>
          <w:rFonts w:ascii="Times New Roman" w:eastAsia="MS Mincho" w:hAnsi="Times New Roman" w:cs="Times New Roman"/>
          <w:sz w:val="20"/>
          <w:szCs w:val="20"/>
        </w:rPr>
        <w:t>In additional to the</w:t>
      </w:r>
      <w:r w:rsidR="008E193E">
        <w:rPr>
          <w:rFonts w:ascii="Times New Roman" w:eastAsia="MS Mincho" w:hAnsi="Times New Roman" w:cs="Times New Roman"/>
          <w:sz w:val="20"/>
          <w:szCs w:val="20"/>
        </w:rPr>
        <w:t xml:space="preserve"> </w:t>
      </w:r>
      <w:r w:rsidRPr="00B03511">
        <w:rPr>
          <w:rFonts w:ascii="Times New Roman" w:eastAsia="MS Mincho" w:hAnsi="Times New Roman" w:cs="Times New Roman"/>
          <w:sz w:val="20"/>
          <w:szCs w:val="20"/>
        </w:rPr>
        <w:t>sensing beam</w:t>
      </w:r>
      <w:r w:rsidR="008E193E">
        <w:rPr>
          <w:rFonts w:ascii="Times New Roman" w:eastAsia="MS Mincho" w:hAnsi="Times New Roman" w:cs="Times New Roman"/>
          <w:sz w:val="20"/>
          <w:szCs w:val="20"/>
        </w:rPr>
        <w:t>(s) at the beginning of COT</w:t>
      </w:r>
      <w:r w:rsidRPr="00B03511">
        <w:rPr>
          <w:rFonts w:ascii="Times New Roman" w:eastAsia="MS Mincho" w:hAnsi="Times New Roman" w:cs="Times New Roman"/>
          <w:sz w:val="20"/>
          <w:szCs w:val="20"/>
        </w:rPr>
        <w:t>, the additional direction</w:t>
      </w:r>
      <w:r w:rsidR="00107C1D">
        <w:rPr>
          <w:rFonts w:ascii="Times New Roman" w:eastAsia="MS Mincho" w:hAnsi="Times New Roman" w:cs="Times New Roman"/>
          <w:sz w:val="20"/>
          <w:szCs w:val="20"/>
        </w:rPr>
        <w:t>al</w:t>
      </w:r>
      <w:r w:rsidRPr="00B03511">
        <w:rPr>
          <w:rFonts w:ascii="Times New Roman" w:eastAsia="MS Mincho" w:hAnsi="Times New Roman" w:cs="Times New Roman"/>
          <w:sz w:val="20"/>
          <w:szCs w:val="20"/>
        </w:rPr>
        <w:t xml:space="preserve"> LBT at each switching point </w:t>
      </w:r>
      <w:r w:rsidR="00DF3068">
        <w:rPr>
          <w:rFonts w:ascii="Times New Roman" w:eastAsia="MS Mincho" w:hAnsi="Times New Roman" w:cs="Times New Roman"/>
          <w:sz w:val="20"/>
          <w:szCs w:val="20"/>
        </w:rPr>
        <w:t>is</w:t>
      </w:r>
      <w:r w:rsidRPr="00B03511">
        <w:rPr>
          <w:rFonts w:ascii="Times New Roman" w:eastAsia="MS Mincho" w:hAnsi="Times New Roman" w:cs="Times New Roman"/>
          <w:sz w:val="20"/>
          <w:szCs w:val="20"/>
        </w:rPr>
        <w:t xml:space="preserve"> necessary in order to account for the gap of no transmission for a given direction. For example, in Fig.1 the beam#3 direction is not used until time instance t3. Then during the gap from t1 to t3, some other system might grab the channel already.  </w:t>
      </w:r>
    </w:p>
    <w:p w14:paraId="27FC5590" w14:textId="0D531DF4" w:rsidR="00A872FD" w:rsidRPr="00FF2AFA" w:rsidRDefault="00A872FD" w:rsidP="00A872FD">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 xml:space="preserve">Proposal 1: </w:t>
      </w:r>
      <w:r w:rsidR="007340DD" w:rsidRPr="007340DD">
        <w:rPr>
          <w:rFonts w:ascii="Times New Roman" w:eastAsia="Malgun Gothic" w:hAnsi="Times New Roman" w:cs="Times New Roman"/>
          <w:b/>
          <w:bCs/>
          <w:sz w:val="20"/>
          <w:szCs w:val="20"/>
          <w:lang w:eastAsia="ko-KR"/>
        </w:rPr>
        <w:t>gNB performs directional LBT at the beginning of COT with a sensing beam or multiple sensing beams that covers all intended beams and additional directional LBT with sensing beam that covers the next transmission beam for each beam switching in the middle of COT.</w:t>
      </w:r>
    </w:p>
    <w:p w14:paraId="0FE25837" w14:textId="77777777" w:rsidR="00A468B9" w:rsidRDefault="00A468B9" w:rsidP="00A468B9">
      <w:pPr>
        <w:spacing w:line="256" w:lineRule="auto"/>
        <w:rPr>
          <w:rFonts w:ascii="Times New Roman" w:eastAsia="MS Mincho" w:hAnsi="Times New Roman" w:cs="Times New Roman"/>
          <w:sz w:val="20"/>
          <w:szCs w:val="20"/>
          <w:u w:val="single"/>
        </w:rPr>
      </w:pPr>
    </w:p>
    <w:p w14:paraId="574F66F9" w14:textId="78C09A0A" w:rsidR="00A83FA6" w:rsidRPr="00A468B9" w:rsidRDefault="00A83FA6" w:rsidP="00A468B9">
      <w:pPr>
        <w:spacing w:line="256" w:lineRule="auto"/>
        <w:rPr>
          <w:rFonts w:ascii="Times New Roman" w:eastAsia="MS Mincho" w:hAnsi="Times New Roman" w:cs="Times New Roman"/>
          <w:sz w:val="20"/>
          <w:szCs w:val="20"/>
          <w:u w:val="single"/>
        </w:rPr>
      </w:pPr>
      <w:r w:rsidRPr="00A468B9">
        <w:rPr>
          <w:rFonts w:ascii="Times New Roman" w:eastAsia="MS Mincho" w:hAnsi="Times New Roman" w:cs="Times New Roman"/>
          <w:sz w:val="20"/>
          <w:szCs w:val="20"/>
          <w:u w:val="single"/>
        </w:rPr>
        <w:t>DL/UL switching within COT (i.e. t4, t7, t8)</w:t>
      </w:r>
    </w:p>
    <w:p w14:paraId="1C2E371A" w14:textId="77777777" w:rsidR="00A83FA6" w:rsidRDefault="00A83FA6" w:rsidP="00A83FA6">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Rel-16 NR-U, for DL/UL switching points within a COT, additional LBT might or might not be needed, depending on the gap. If gap is less or equal to 16us, direct transmission without channel sensing can be used. Otherwise, a Cat-2 LBT with 25us must be used before the transmission. </w:t>
      </w:r>
    </w:p>
    <w:p w14:paraId="34048F5A" w14:textId="1E4A6117" w:rsidR="00A83FA6" w:rsidRDefault="00A83FA6" w:rsidP="00A83FA6">
      <w:pPr>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 xml:space="preserve">The similar principle can be followed for the operation above 52GHz, although it can be FFS whether reusing 16us/25us gap definition. However, since directional transmission is </w:t>
      </w:r>
      <w:r w:rsidR="00DA4BE7">
        <w:rPr>
          <w:rFonts w:ascii="Times New Roman" w:eastAsia="MS Mincho" w:hAnsi="Times New Roman" w:cs="Times New Roman"/>
          <w:sz w:val="20"/>
          <w:szCs w:val="20"/>
        </w:rPr>
        <w:t>extensively used for operation above 52GHz,</w:t>
      </w:r>
      <w:r>
        <w:rPr>
          <w:rFonts w:ascii="Times New Roman" w:eastAsia="MS Mincho" w:hAnsi="Times New Roman" w:cs="Times New Roman"/>
          <w:sz w:val="20"/>
          <w:szCs w:val="20"/>
        </w:rPr>
        <w:t xml:space="preserve"> the gap should be counted for each beam direction. For example, in Fig.1, at t4, although UL is followed immediately after DL symbol, from beam#1 direction perspective, the gap is more than 25us. Therefore, additional LBT should be performed by UE1 to sense the status of beam#1 before transmitting UL PUCCH. It is FFS how to perform such LBT (e.g. CCA duration and ED threshold, etc). Similarly, at t7, LBT is required. At t8, LBT might or might not be needed depending on the gap.</w:t>
      </w:r>
    </w:p>
    <w:p w14:paraId="56FE5EA3" w14:textId="47250F06" w:rsidR="001A6C9A" w:rsidRPr="00FF2AFA" w:rsidRDefault="001A6C9A" w:rsidP="00972534">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b/>
          <w:bCs/>
          <w:sz w:val="20"/>
          <w:szCs w:val="20"/>
          <w:lang w:eastAsia="ko-KR"/>
        </w:rPr>
        <w:t>2</w:t>
      </w:r>
      <w:r w:rsidRPr="00FF2AFA">
        <w:rPr>
          <w:rFonts w:ascii="Times New Roman" w:eastAsia="Malgun Gothic" w:hAnsi="Times New Roman" w:cs="Times New Roman"/>
          <w:b/>
          <w:bCs/>
          <w:sz w:val="20"/>
          <w:szCs w:val="20"/>
          <w:lang w:eastAsia="ko-KR"/>
        </w:rPr>
        <w:t xml:space="preserve">: </w:t>
      </w:r>
      <w:r w:rsidR="00972534" w:rsidRPr="00972534">
        <w:rPr>
          <w:rFonts w:ascii="Times New Roman" w:eastAsia="Malgun Gothic" w:hAnsi="Times New Roman" w:cs="Times New Roman"/>
          <w:b/>
          <w:bCs/>
          <w:sz w:val="20"/>
          <w:szCs w:val="20"/>
          <w:lang w:eastAsia="ko-KR"/>
        </w:rPr>
        <w:t xml:space="preserve">Within gNB initiated COT, </w:t>
      </w:r>
      <w:r w:rsidR="00972534">
        <w:rPr>
          <w:rFonts w:ascii="Times New Roman" w:eastAsia="Malgun Gothic" w:hAnsi="Times New Roman" w:cs="Times New Roman"/>
          <w:b/>
          <w:bCs/>
          <w:sz w:val="20"/>
          <w:szCs w:val="20"/>
          <w:lang w:eastAsia="ko-KR"/>
        </w:rPr>
        <w:t>i</w:t>
      </w:r>
      <w:r w:rsidR="00972534" w:rsidRPr="00972534">
        <w:rPr>
          <w:rFonts w:ascii="Times New Roman" w:eastAsia="Malgun Gothic" w:hAnsi="Times New Roman" w:cs="Times New Roman"/>
          <w:b/>
          <w:bCs/>
          <w:sz w:val="20"/>
          <w:szCs w:val="20"/>
          <w:lang w:eastAsia="ko-KR"/>
        </w:rPr>
        <w:t>f gap between DL transmission and scheduled UL transmission along a given beam direction is larger than a predefined duration, UE should perform LBT before UL transmission; otherwise, no LBT is needed.</w:t>
      </w:r>
    </w:p>
    <w:p w14:paraId="15E8BBD5" w14:textId="77777777" w:rsidR="00A872FD" w:rsidRDefault="00A872FD" w:rsidP="00E373BD">
      <w:pPr>
        <w:rPr>
          <w:rFonts w:ascii="Times New Roman" w:eastAsia="MS Mincho" w:hAnsi="Times New Roman" w:cs="Times New Roman"/>
          <w:sz w:val="20"/>
          <w:szCs w:val="20"/>
        </w:rPr>
      </w:pPr>
    </w:p>
    <w:p w14:paraId="31003C5E" w14:textId="77777777" w:rsidR="00941263" w:rsidRPr="00941263" w:rsidRDefault="00941263" w:rsidP="00941263">
      <w:pPr>
        <w:spacing w:line="256" w:lineRule="auto"/>
        <w:rPr>
          <w:rFonts w:ascii="Times New Roman" w:eastAsia="MS Mincho" w:hAnsi="Times New Roman" w:cs="Times New Roman"/>
          <w:sz w:val="20"/>
          <w:szCs w:val="20"/>
          <w:u w:val="single"/>
        </w:rPr>
      </w:pPr>
      <w:r w:rsidRPr="00941263">
        <w:rPr>
          <w:rFonts w:ascii="Times New Roman" w:eastAsia="MS Mincho" w:hAnsi="Times New Roman" w:cs="Times New Roman"/>
          <w:sz w:val="20"/>
          <w:szCs w:val="20"/>
          <w:u w:val="single"/>
        </w:rPr>
        <w:t xml:space="preserve">gNB Rx beam switching points (i.e. t5, t6) </w:t>
      </w:r>
    </w:p>
    <w:p w14:paraId="7118B05F" w14:textId="003CE202" w:rsidR="00941263" w:rsidRDefault="00941263" w:rsidP="00941263">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At those time instants, UE UL transmission beams are switched. The situation is similar to “DL/UL switching within COT” discussed above, because from each UE perspective, it sees only DL/UL switching without the awareness of other UE’s transmission. Therefore, the same rule as to handle DL/UL switching in above can be applied. </w:t>
      </w:r>
    </w:p>
    <w:p w14:paraId="3AB71EEC" w14:textId="77777777" w:rsidR="00FA52A3" w:rsidRDefault="00FA52A3" w:rsidP="00941263">
      <w:pPr>
        <w:rPr>
          <w:rFonts w:ascii="Times New Roman" w:eastAsia="MS Mincho" w:hAnsi="Times New Roman" w:cs="Times New Roman"/>
          <w:sz w:val="20"/>
          <w:szCs w:val="20"/>
        </w:rPr>
      </w:pPr>
    </w:p>
    <w:p w14:paraId="04834296" w14:textId="1517C0AC" w:rsidR="00FA52A3" w:rsidRDefault="00FA52A3" w:rsidP="00387A5F">
      <w:pPr>
        <w:pStyle w:val="Heading2"/>
      </w:pPr>
      <w:r>
        <w:t xml:space="preserve">TDMed and SDMed beams </w:t>
      </w:r>
    </w:p>
    <w:p w14:paraId="3A9E1DC7" w14:textId="77777777" w:rsidR="00FA52A3" w:rsidRDefault="00FA52A3" w:rsidP="00FA52A3">
      <w:pPr>
        <w:rPr>
          <w:rFonts w:ascii="Times New Roman" w:eastAsia="MS Mincho" w:hAnsi="Times New Roman" w:cs="Times New Roman"/>
          <w:sz w:val="20"/>
          <w:szCs w:val="20"/>
        </w:rPr>
      </w:pPr>
      <w:r>
        <w:rPr>
          <w:rFonts w:ascii="Times New Roman" w:eastAsia="MS Mincho" w:hAnsi="Times New Roman" w:cs="Times New Roman"/>
          <w:sz w:val="20"/>
          <w:szCs w:val="20"/>
        </w:rPr>
        <w:t>If hybrid beamforming is used, the following could be one example of COT structure:</w:t>
      </w:r>
    </w:p>
    <w:p w14:paraId="5EE9385A" w14:textId="77777777" w:rsidR="00FA52A3" w:rsidRDefault="00FA52A3" w:rsidP="00FA52A3">
      <w:pPr>
        <w:rPr>
          <w:rFonts w:ascii="Times New Roman" w:eastAsia="MS Mincho" w:hAnsi="Times New Roman" w:cs="Times New Roman"/>
          <w:sz w:val="20"/>
          <w:szCs w:val="20"/>
        </w:rPr>
      </w:pPr>
    </w:p>
    <w:p w14:paraId="3423C577" w14:textId="77777777" w:rsidR="00FA52A3" w:rsidRDefault="00FA52A3" w:rsidP="00FA52A3">
      <w:r>
        <w:object w:dxaOrig="9630" w:dyaOrig="4140" w14:anchorId="1A4FDAA2">
          <v:shape id="_x0000_i1026" type="#_x0000_t75" style="width:481.5pt;height:207pt" o:ole="">
            <v:imagedata r:id="rId13" o:title=""/>
          </v:shape>
          <o:OLEObject Type="Embed" ProgID="Visio.Drawing.15" ShapeID="_x0000_i1026" DrawAspect="Content" ObjectID="_1672485555" r:id="rId14"/>
        </w:object>
      </w:r>
    </w:p>
    <w:p w14:paraId="5B5B27DE" w14:textId="77777777" w:rsidR="00FA52A3" w:rsidRDefault="00FA52A3" w:rsidP="00FA52A3">
      <w:pPr>
        <w:jc w:val="center"/>
        <w:rPr>
          <w:rFonts w:ascii="Times New Roman" w:eastAsia="MS Mincho" w:hAnsi="Times New Roman" w:cs="Times New Roman"/>
          <w:sz w:val="20"/>
          <w:szCs w:val="20"/>
        </w:rPr>
      </w:pPr>
      <w:r>
        <w:rPr>
          <w:rFonts w:ascii="Times New Roman" w:eastAsia="MS Mincho" w:hAnsi="Times New Roman" w:cs="Times New Roman"/>
          <w:sz w:val="20"/>
          <w:szCs w:val="20"/>
        </w:rPr>
        <w:t>Fig.2  TDMed and SDMed transmission in different beams in a COT</w:t>
      </w:r>
    </w:p>
    <w:p w14:paraId="53154DFB" w14:textId="77777777" w:rsidR="00FA52A3" w:rsidRDefault="00FA52A3" w:rsidP="00FA52A3">
      <w:pPr>
        <w:rPr>
          <w:rFonts w:ascii="Times New Roman" w:eastAsia="MS Mincho" w:hAnsi="Times New Roman" w:cs="Times New Roman"/>
          <w:sz w:val="20"/>
          <w:szCs w:val="20"/>
        </w:rPr>
      </w:pPr>
    </w:p>
    <w:p w14:paraId="735D8A52" w14:textId="17C72CEF" w:rsidR="00FA52A3" w:rsidRDefault="00FA52A3" w:rsidP="00FA52A3">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Fig.2, </w:t>
      </w:r>
      <w:r w:rsidR="007B6B90">
        <w:rPr>
          <w:rFonts w:ascii="Times New Roman" w:eastAsia="MS Mincho" w:hAnsi="Times New Roman" w:cs="Times New Roman"/>
          <w:sz w:val="20"/>
          <w:szCs w:val="20"/>
        </w:rPr>
        <w:t>B</w:t>
      </w:r>
      <w:r>
        <w:rPr>
          <w:rFonts w:ascii="Times New Roman" w:eastAsia="MS Mincho" w:hAnsi="Times New Roman" w:cs="Times New Roman"/>
          <w:sz w:val="20"/>
          <w:szCs w:val="20"/>
        </w:rPr>
        <w:t xml:space="preserve">eam#1 and </w:t>
      </w:r>
      <w:r w:rsidR="007B6B90">
        <w:rPr>
          <w:rFonts w:ascii="Times New Roman" w:eastAsia="MS Mincho" w:hAnsi="Times New Roman" w:cs="Times New Roman"/>
          <w:sz w:val="20"/>
          <w:szCs w:val="20"/>
        </w:rPr>
        <w:t>B</w:t>
      </w:r>
      <w:r>
        <w:rPr>
          <w:rFonts w:ascii="Times New Roman" w:eastAsia="MS Mincho" w:hAnsi="Times New Roman" w:cs="Times New Roman"/>
          <w:sz w:val="20"/>
          <w:szCs w:val="20"/>
        </w:rPr>
        <w:t>eam#2 are transmitted over the same F-T resources (MU-MIMO).</w:t>
      </w:r>
    </w:p>
    <w:p w14:paraId="66905A75" w14:textId="2AA8DF21" w:rsidR="00FA52A3" w:rsidRDefault="007B6B90" w:rsidP="00FA52A3">
      <w:pPr>
        <w:rPr>
          <w:rFonts w:ascii="Times New Roman" w:eastAsia="MS Mincho" w:hAnsi="Times New Roman" w:cs="Times New Roman"/>
          <w:sz w:val="20"/>
          <w:szCs w:val="20"/>
        </w:rPr>
      </w:pPr>
      <w:r>
        <w:rPr>
          <w:rFonts w:ascii="Times New Roman" w:eastAsia="MS Mincho" w:hAnsi="Times New Roman" w:cs="Times New Roman"/>
          <w:sz w:val="20"/>
          <w:szCs w:val="20"/>
        </w:rPr>
        <w:t>Proposals 1 and 2</w:t>
      </w:r>
      <w:r w:rsidR="00FA52A3">
        <w:rPr>
          <w:rFonts w:ascii="Times New Roman" w:eastAsia="MS Mincho" w:hAnsi="Times New Roman" w:cs="Times New Roman"/>
          <w:sz w:val="20"/>
          <w:szCs w:val="20"/>
        </w:rPr>
        <w:t xml:space="preserve"> discussed in the above can be directly applied. There is no difference in terms of LBT requirement for these two cases. </w:t>
      </w:r>
    </w:p>
    <w:p w14:paraId="76ADB4F5" w14:textId="77777777" w:rsidR="00470702" w:rsidRDefault="00470702" w:rsidP="00E373BD">
      <w:pPr>
        <w:rPr>
          <w:rFonts w:ascii="Times New Roman" w:eastAsia="MS Mincho" w:hAnsi="Times New Roman" w:cs="Times New Roman"/>
          <w:sz w:val="20"/>
          <w:szCs w:val="20"/>
        </w:rPr>
      </w:pPr>
    </w:p>
    <w:p w14:paraId="4C347293" w14:textId="77777777" w:rsidR="00FC5AD2" w:rsidRDefault="00FC5AD2" w:rsidP="008D41FD">
      <w:pPr>
        <w:rPr>
          <w:rFonts w:ascii="Times New Roman" w:eastAsia="Malgun Gothic" w:hAnsi="Times New Roman" w:cs="Times New Roman"/>
          <w:sz w:val="20"/>
          <w:szCs w:val="20"/>
          <w:lang w:eastAsia="ko-KR"/>
        </w:rPr>
      </w:pPr>
    </w:p>
    <w:p w14:paraId="2F4737F6" w14:textId="77777777" w:rsidR="0076703F" w:rsidRPr="00D748D5" w:rsidRDefault="0076703F" w:rsidP="00D748D5">
      <w:pPr>
        <w:spacing w:beforeLines="50" w:before="120"/>
        <w:rPr>
          <w:rFonts w:ascii="Times New Roman" w:eastAsia="MS Mincho" w:hAnsi="Times New Roman" w:cs="Times New Roman"/>
          <w:b/>
          <w:bCs/>
          <w:sz w:val="20"/>
          <w:szCs w:val="20"/>
        </w:rPr>
      </w:pPr>
    </w:p>
    <w:p w14:paraId="17F07279" w14:textId="77777777" w:rsidR="00903172" w:rsidRPr="00957B23" w:rsidRDefault="00903172" w:rsidP="00F138BE">
      <w:pPr>
        <w:spacing w:beforeLines="50" w:before="120"/>
        <w:rPr>
          <w:rFonts w:ascii="Times New Roman" w:eastAsia="MS Mincho" w:hAnsi="Times New Roman" w:cs="Times New Roman"/>
          <w:sz w:val="20"/>
          <w:szCs w:val="20"/>
        </w:rPr>
      </w:pPr>
    </w:p>
    <w:p w14:paraId="7B9DC8D0" w14:textId="195B56B3" w:rsidR="000B009F" w:rsidRDefault="000B009F" w:rsidP="000B009F">
      <w:pPr>
        <w:pStyle w:val="Heading1"/>
        <w:rPr>
          <w:lang w:val="en-US"/>
        </w:rPr>
      </w:pPr>
      <w:r>
        <w:rPr>
          <w:lang w:val="en-US"/>
        </w:rPr>
        <w:lastRenderedPageBreak/>
        <w:t>Conclusion</w:t>
      </w:r>
    </w:p>
    <w:p w14:paraId="1BEC8ABF" w14:textId="77777777" w:rsidR="001325F5" w:rsidRDefault="000B009F" w:rsidP="000B009F">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sidR="001325F5">
        <w:rPr>
          <w:rFonts w:ascii="Times New Roman" w:eastAsia="MS Mincho" w:hAnsi="Times New Roman" w:cs="Times New Roman"/>
          <w:sz w:val="20"/>
          <w:szCs w:val="20"/>
        </w:rPr>
        <w:t xml:space="preserve"> the LBT requirements for multi-beam operation in a COT. The proposals are the follows.</w:t>
      </w:r>
    </w:p>
    <w:p w14:paraId="217842A1" w14:textId="40742716" w:rsidR="001325F5" w:rsidRPr="00FF2AFA" w:rsidRDefault="001325F5" w:rsidP="001325F5">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 xml:space="preserve">Proposal 1: </w:t>
      </w:r>
      <w:r w:rsidRPr="007340DD">
        <w:rPr>
          <w:rFonts w:ascii="Times New Roman" w:eastAsia="Malgun Gothic" w:hAnsi="Times New Roman" w:cs="Times New Roman"/>
          <w:b/>
          <w:bCs/>
          <w:sz w:val="20"/>
          <w:szCs w:val="20"/>
          <w:lang w:eastAsia="ko-KR"/>
        </w:rPr>
        <w:t>gNB performs directional LBT at the beginning of COT with a sensing beam or multiple sensing beams that covers all intended beams and additional directional LBT with sensing beam that covers the next transmission beam for each beam switching in the middle of COT.</w:t>
      </w:r>
    </w:p>
    <w:p w14:paraId="14CDA44B" w14:textId="77777777" w:rsidR="001325F5" w:rsidRPr="00FF2AFA" w:rsidRDefault="001325F5" w:rsidP="001325F5">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b/>
          <w:bCs/>
          <w:sz w:val="20"/>
          <w:szCs w:val="20"/>
          <w:lang w:eastAsia="ko-KR"/>
        </w:rPr>
        <w:t>2</w:t>
      </w:r>
      <w:r w:rsidRPr="00FF2AFA">
        <w:rPr>
          <w:rFonts w:ascii="Times New Roman" w:eastAsia="Malgun Gothic" w:hAnsi="Times New Roman" w:cs="Times New Roman"/>
          <w:b/>
          <w:bCs/>
          <w:sz w:val="20"/>
          <w:szCs w:val="20"/>
          <w:lang w:eastAsia="ko-KR"/>
        </w:rPr>
        <w:t xml:space="preserve">: </w:t>
      </w:r>
      <w:r w:rsidRPr="00972534">
        <w:rPr>
          <w:rFonts w:ascii="Times New Roman" w:eastAsia="Malgun Gothic" w:hAnsi="Times New Roman" w:cs="Times New Roman"/>
          <w:b/>
          <w:bCs/>
          <w:sz w:val="20"/>
          <w:szCs w:val="20"/>
          <w:lang w:eastAsia="ko-KR"/>
        </w:rPr>
        <w:t xml:space="preserve">Within gNB initiated COT, </w:t>
      </w:r>
      <w:r>
        <w:rPr>
          <w:rFonts w:ascii="Times New Roman" w:eastAsia="Malgun Gothic" w:hAnsi="Times New Roman" w:cs="Times New Roman"/>
          <w:b/>
          <w:bCs/>
          <w:sz w:val="20"/>
          <w:szCs w:val="20"/>
          <w:lang w:eastAsia="ko-KR"/>
        </w:rPr>
        <w:t>i</w:t>
      </w:r>
      <w:r w:rsidRPr="00972534">
        <w:rPr>
          <w:rFonts w:ascii="Times New Roman" w:eastAsia="Malgun Gothic" w:hAnsi="Times New Roman" w:cs="Times New Roman"/>
          <w:b/>
          <w:bCs/>
          <w:sz w:val="20"/>
          <w:szCs w:val="20"/>
          <w:lang w:eastAsia="ko-KR"/>
        </w:rPr>
        <w:t>f gap between DL transmission and scheduled UL transmission along a given beam direction is larger than a predefined duration, UE should perform LBT before UL transmission; otherwise, no LBT is needed.</w:t>
      </w:r>
    </w:p>
    <w:p w14:paraId="56A1C95F" w14:textId="1DA0E4BF" w:rsidR="000B009F" w:rsidRPr="008170C4" w:rsidRDefault="000B009F" w:rsidP="000B009F">
      <w:pPr>
        <w:rPr>
          <w:rFonts w:ascii="Times New Roman" w:eastAsia="MS Mincho" w:hAnsi="Times New Roman" w:cs="Times New Roman"/>
          <w:sz w:val="20"/>
          <w:szCs w:val="20"/>
        </w:rPr>
      </w:pPr>
    </w:p>
    <w:p w14:paraId="12CFFD7C" w14:textId="105C1B92" w:rsidR="00F7543E" w:rsidRPr="00773BAA" w:rsidRDefault="00F7543E" w:rsidP="001A471B">
      <w:pPr>
        <w:rPr>
          <w:rFonts w:ascii="Times New Roman" w:hAnsi="Times New Roman" w:cs="Times New Roman"/>
          <w:sz w:val="20"/>
          <w:szCs w:val="20"/>
        </w:rPr>
      </w:pPr>
    </w:p>
    <w:sectPr w:rsidR="00F7543E" w:rsidRPr="00773BA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F76C5" w14:textId="77777777" w:rsidR="004460D0" w:rsidRDefault="004460D0">
      <w:r>
        <w:separator/>
      </w:r>
    </w:p>
  </w:endnote>
  <w:endnote w:type="continuationSeparator" w:id="0">
    <w:p w14:paraId="6B1E7790" w14:textId="77777777" w:rsidR="004460D0" w:rsidRDefault="004460D0">
      <w:r>
        <w:continuationSeparator/>
      </w:r>
    </w:p>
  </w:endnote>
  <w:endnote w:type="continuationNotice" w:id="1">
    <w:p w14:paraId="79D9536C" w14:textId="77777777" w:rsidR="004460D0" w:rsidRDefault="00446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3FEF5" w14:textId="77777777" w:rsidR="004460D0" w:rsidRDefault="004460D0">
      <w:r>
        <w:separator/>
      </w:r>
    </w:p>
  </w:footnote>
  <w:footnote w:type="continuationSeparator" w:id="0">
    <w:p w14:paraId="6DAE4420" w14:textId="77777777" w:rsidR="004460D0" w:rsidRDefault="004460D0">
      <w:r>
        <w:continuationSeparator/>
      </w:r>
    </w:p>
  </w:footnote>
  <w:footnote w:type="continuationNotice" w:id="1">
    <w:p w14:paraId="127CEB6D" w14:textId="77777777" w:rsidR="004460D0" w:rsidRDefault="004460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3290D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83388B4A"/>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CB24B3CE"/>
    <w:lvl w:ilvl="0">
      <w:start w:val="1"/>
      <w:numFmt w:val="decimal"/>
      <w:lvlText w:val="%1."/>
      <w:lvlJc w:val="left"/>
      <w:pPr>
        <w:tabs>
          <w:tab w:val="num" w:pos="1211"/>
        </w:tabs>
        <w:ind w:leftChars="400" w:left="1211" w:hangingChars="200" w:hanging="360"/>
      </w:pPr>
    </w:lvl>
  </w:abstractNum>
  <w:abstractNum w:abstractNumId="3"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5"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9F05F44"/>
    <w:multiLevelType w:val="hybridMultilevel"/>
    <w:tmpl w:val="F7DC71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5"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9118B8"/>
    <w:multiLevelType w:val="hybridMultilevel"/>
    <w:tmpl w:val="E5F441D4"/>
    <w:lvl w:ilvl="0" w:tplc="59989DB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7"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38"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20"/>
  </w:num>
  <w:num w:numId="4">
    <w:abstractNumId w:val="21"/>
  </w:num>
  <w:num w:numId="5">
    <w:abstractNumId w:val="17"/>
  </w:num>
  <w:num w:numId="6">
    <w:abstractNumId w:val="25"/>
  </w:num>
  <w:num w:numId="7">
    <w:abstractNumId w:val="32"/>
  </w:num>
  <w:num w:numId="8">
    <w:abstractNumId w:val="18"/>
  </w:num>
  <w:num w:numId="9">
    <w:abstractNumId w:val="30"/>
  </w:num>
  <w:num w:numId="10">
    <w:abstractNumId w:val="33"/>
  </w:num>
  <w:num w:numId="11">
    <w:abstractNumId w:val="26"/>
  </w:num>
  <w:num w:numId="12">
    <w:abstractNumId w:val="23"/>
  </w:num>
  <w:num w:numId="13">
    <w:abstractNumId w:val="36"/>
  </w:num>
  <w:num w:numId="14">
    <w:abstractNumId w:val="14"/>
  </w:num>
  <w:num w:numId="15">
    <w:abstractNumId w:val="31"/>
  </w:num>
  <w:num w:numId="16">
    <w:abstractNumId w:val="9"/>
  </w:num>
  <w:num w:numId="17">
    <w:abstractNumId w:val="34"/>
  </w:num>
  <w:num w:numId="18">
    <w:abstractNumId w:val="15"/>
  </w:num>
  <w:num w:numId="19">
    <w:abstractNumId w:val="16"/>
  </w:num>
  <w:num w:numId="20">
    <w:abstractNumId w:val="24"/>
  </w:num>
  <w:num w:numId="21">
    <w:abstractNumId w:val="19"/>
  </w:num>
  <w:num w:numId="22">
    <w:abstractNumId w:val="5"/>
  </w:num>
  <w:num w:numId="23">
    <w:abstractNumId w:val="38"/>
  </w:num>
  <w:num w:numId="24">
    <w:abstractNumId w:val="4"/>
  </w:num>
  <w:num w:numId="25">
    <w:abstractNumId w:val="7"/>
  </w:num>
  <w:num w:numId="26">
    <w:abstractNumId w:val="27"/>
  </w:num>
  <w:num w:numId="27">
    <w:abstractNumId w:val="12"/>
  </w:num>
  <w:num w:numId="28">
    <w:abstractNumId w:val="11"/>
  </w:num>
  <w:num w:numId="29">
    <w:abstractNumId w:val="11"/>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37"/>
  </w:num>
  <w:num w:numId="33">
    <w:abstractNumId w:val="6"/>
  </w:num>
  <w:num w:numId="34">
    <w:abstractNumId w:val="6"/>
  </w:num>
  <w:num w:numId="35">
    <w:abstractNumId w:val="29"/>
  </w:num>
  <w:num w:numId="36">
    <w:abstractNumId w:val="8"/>
  </w:num>
  <w:num w:numId="37">
    <w:abstractNumId w:val="8"/>
  </w:num>
  <w:num w:numId="38">
    <w:abstractNumId w:val="3"/>
  </w:num>
  <w:num w:numId="39">
    <w:abstractNumId w:val="13"/>
  </w:num>
  <w:num w:numId="40">
    <w:abstractNumId w:val="10"/>
  </w:num>
  <w:num w:numId="41">
    <w:abstractNumId w:val="22"/>
  </w:num>
  <w:num w:numId="42">
    <w:abstractNumId w:val="2"/>
  </w:num>
  <w:num w:numId="43">
    <w:abstractNumId w:val="1"/>
  </w:num>
  <w:num w:numId="4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B18"/>
    <w:rsid w:val="00012C03"/>
    <w:rsid w:val="00012D65"/>
    <w:rsid w:val="00014E6A"/>
    <w:rsid w:val="00015D15"/>
    <w:rsid w:val="00016E88"/>
    <w:rsid w:val="000171FF"/>
    <w:rsid w:val="000176B2"/>
    <w:rsid w:val="00020538"/>
    <w:rsid w:val="00022308"/>
    <w:rsid w:val="000234B3"/>
    <w:rsid w:val="00024734"/>
    <w:rsid w:val="0002564D"/>
    <w:rsid w:val="00025ECA"/>
    <w:rsid w:val="00026008"/>
    <w:rsid w:val="0002609C"/>
    <w:rsid w:val="00027939"/>
    <w:rsid w:val="000302D0"/>
    <w:rsid w:val="00030DCD"/>
    <w:rsid w:val="00031F61"/>
    <w:rsid w:val="000325B8"/>
    <w:rsid w:val="00033F83"/>
    <w:rsid w:val="00034280"/>
    <w:rsid w:val="000344F1"/>
    <w:rsid w:val="00034AE9"/>
    <w:rsid w:val="00034C15"/>
    <w:rsid w:val="00034E78"/>
    <w:rsid w:val="00035D8E"/>
    <w:rsid w:val="000364F5"/>
    <w:rsid w:val="00036BA1"/>
    <w:rsid w:val="000377F2"/>
    <w:rsid w:val="00037B00"/>
    <w:rsid w:val="00040D7D"/>
    <w:rsid w:val="00040DE7"/>
    <w:rsid w:val="00040E61"/>
    <w:rsid w:val="0004190E"/>
    <w:rsid w:val="00042049"/>
    <w:rsid w:val="000420B2"/>
    <w:rsid w:val="000422E2"/>
    <w:rsid w:val="00042D8A"/>
    <w:rsid w:val="00042DB3"/>
    <w:rsid w:val="00042F22"/>
    <w:rsid w:val="00043E17"/>
    <w:rsid w:val="000444EF"/>
    <w:rsid w:val="00044652"/>
    <w:rsid w:val="00044E7F"/>
    <w:rsid w:val="000455B9"/>
    <w:rsid w:val="00045981"/>
    <w:rsid w:val="0004792F"/>
    <w:rsid w:val="00050B9F"/>
    <w:rsid w:val="00051FE1"/>
    <w:rsid w:val="00052636"/>
    <w:rsid w:val="00052A07"/>
    <w:rsid w:val="000534E3"/>
    <w:rsid w:val="0005606A"/>
    <w:rsid w:val="00056CD1"/>
    <w:rsid w:val="00057117"/>
    <w:rsid w:val="00057276"/>
    <w:rsid w:val="00057E2C"/>
    <w:rsid w:val="00060B7B"/>
    <w:rsid w:val="00060FD1"/>
    <w:rsid w:val="000616E7"/>
    <w:rsid w:val="000629FD"/>
    <w:rsid w:val="00063C67"/>
    <w:rsid w:val="000644F8"/>
    <w:rsid w:val="0006487E"/>
    <w:rsid w:val="00065E1A"/>
    <w:rsid w:val="00067548"/>
    <w:rsid w:val="00070695"/>
    <w:rsid w:val="00072D21"/>
    <w:rsid w:val="00072D36"/>
    <w:rsid w:val="00073083"/>
    <w:rsid w:val="000735F6"/>
    <w:rsid w:val="00074B00"/>
    <w:rsid w:val="00075107"/>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2719"/>
    <w:rsid w:val="000B2793"/>
    <w:rsid w:val="000B2AD4"/>
    <w:rsid w:val="000B2BCD"/>
    <w:rsid w:val="000B3A8F"/>
    <w:rsid w:val="000B3BB4"/>
    <w:rsid w:val="000B4AB9"/>
    <w:rsid w:val="000B4CF7"/>
    <w:rsid w:val="000B58C3"/>
    <w:rsid w:val="000B5D38"/>
    <w:rsid w:val="000B61E9"/>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BA4"/>
    <w:rsid w:val="000D4797"/>
    <w:rsid w:val="000D4C5E"/>
    <w:rsid w:val="000D567C"/>
    <w:rsid w:val="000E0527"/>
    <w:rsid w:val="000E073A"/>
    <w:rsid w:val="000E12B6"/>
    <w:rsid w:val="000E1D51"/>
    <w:rsid w:val="000E1E92"/>
    <w:rsid w:val="000E28B9"/>
    <w:rsid w:val="000E3564"/>
    <w:rsid w:val="000E3A2B"/>
    <w:rsid w:val="000E547E"/>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0F720B"/>
    <w:rsid w:val="001005FF"/>
    <w:rsid w:val="00106086"/>
    <w:rsid w:val="001062FB"/>
    <w:rsid w:val="001063E6"/>
    <w:rsid w:val="00107197"/>
    <w:rsid w:val="00107C1D"/>
    <w:rsid w:val="001111A0"/>
    <w:rsid w:val="00111AED"/>
    <w:rsid w:val="00112BC6"/>
    <w:rsid w:val="00113CF4"/>
    <w:rsid w:val="00113E2F"/>
    <w:rsid w:val="001153EA"/>
    <w:rsid w:val="00115643"/>
    <w:rsid w:val="00116765"/>
    <w:rsid w:val="00116C2F"/>
    <w:rsid w:val="0011790A"/>
    <w:rsid w:val="00117B7E"/>
    <w:rsid w:val="00117FAD"/>
    <w:rsid w:val="00120616"/>
    <w:rsid w:val="0012078D"/>
    <w:rsid w:val="0012080F"/>
    <w:rsid w:val="001219F5"/>
    <w:rsid w:val="00121A20"/>
    <w:rsid w:val="00122F2E"/>
    <w:rsid w:val="00123610"/>
    <w:rsid w:val="0012377F"/>
    <w:rsid w:val="00124314"/>
    <w:rsid w:val="00124F40"/>
    <w:rsid w:val="001254E8"/>
    <w:rsid w:val="0012554E"/>
    <w:rsid w:val="00126294"/>
    <w:rsid w:val="00126B4A"/>
    <w:rsid w:val="001272AC"/>
    <w:rsid w:val="00127B88"/>
    <w:rsid w:val="00127BD3"/>
    <w:rsid w:val="00127E49"/>
    <w:rsid w:val="001313C0"/>
    <w:rsid w:val="00131DAF"/>
    <w:rsid w:val="00131EC3"/>
    <w:rsid w:val="001325F5"/>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6C3"/>
    <w:rsid w:val="00146AD8"/>
    <w:rsid w:val="00151723"/>
    <w:rsid w:val="00151E23"/>
    <w:rsid w:val="0015235C"/>
    <w:rsid w:val="001526E0"/>
    <w:rsid w:val="00152DF6"/>
    <w:rsid w:val="001545BF"/>
    <w:rsid w:val="001550E1"/>
    <w:rsid w:val="001551B5"/>
    <w:rsid w:val="0015525E"/>
    <w:rsid w:val="0015531C"/>
    <w:rsid w:val="00155652"/>
    <w:rsid w:val="00155888"/>
    <w:rsid w:val="001568E0"/>
    <w:rsid w:val="00160084"/>
    <w:rsid w:val="001608F0"/>
    <w:rsid w:val="00160DD8"/>
    <w:rsid w:val="001632FD"/>
    <w:rsid w:val="001643A8"/>
    <w:rsid w:val="0016465B"/>
    <w:rsid w:val="0016522A"/>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87928"/>
    <w:rsid w:val="00190AC1"/>
    <w:rsid w:val="001928DE"/>
    <w:rsid w:val="00192C10"/>
    <w:rsid w:val="0019341A"/>
    <w:rsid w:val="00193A13"/>
    <w:rsid w:val="00194C7A"/>
    <w:rsid w:val="00195520"/>
    <w:rsid w:val="0019607E"/>
    <w:rsid w:val="001963B6"/>
    <w:rsid w:val="0019713E"/>
    <w:rsid w:val="00197BC4"/>
    <w:rsid w:val="00197DF9"/>
    <w:rsid w:val="001A02C1"/>
    <w:rsid w:val="001A1987"/>
    <w:rsid w:val="001A20CB"/>
    <w:rsid w:val="001A2564"/>
    <w:rsid w:val="001A2C49"/>
    <w:rsid w:val="001A3C04"/>
    <w:rsid w:val="001A45EE"/>
    <w:rsid w:val="001A471B"/>
    <w:rsid w:val="001A4EC0"/>
    <w:rsid w:val="001A5181"/>
    <w:rsid w:val="001A5E6F"/>
    <w:rsid w:val="001A6173"/>
    <w:rsid w:val="001A6C9A"/>
    <w:rsid w:val="001A6CBA"/>
    <w:rsid w:val="001A6E3F"/>
    <w:rsid w:val="001A6E96"/>
    <w:rsid w:val="001B0D97"/>
    <w:rsid w:val="001B1B9B"/>
    <w:rsid w:val="001B2E53"/>
    <w:rsid w:val="001B3012"/>
    <w:rsid w:val="001B5A5D"/>
    <w:rsid w:val="001B6053"/>
    <w:rsid w:val="001B6CE0"/>
    <w:rsid w:val="001B6F21"/>
    <w:rsid w:val="001B7DF3"/>
    <w:rsid w:val="001C1CE5"/>
    <w:rsid w:val="001C2E12"/>
    <w:rsid w:val="001C3D2A"/>
    <w:rsid w:val="001C3D73"/>
    <w:rsid w:val="001C4A35"/>
    <w:rsid w:val="001C4BA4"/>
    <w:rsid w:val="001C53B7"/>
    <w:rsid w:val="001C5950"/>
    <w:rsid w:val="001C6495"/>
    <w:rsid w:val="001C67E3"/>
    <w:rsid w:val="001C67E4"/>
    <w:rsid w:val="001C6F98"/>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06DE"/>
    <w:rsid w:val="001E1066"/>
    <w:rsid w:val="001E1D1D"/>
    <w:rsid w:val="001E344E"/>
    <w:rsid w:val="001E58E2"/>
    <w:rsid w:val="001E6BF2"/>
    <w:rsid w:val="001E7AED"/>
    <w:rsid w:val="001F15FB"/>
    <w:rsid w:val="001F17C5"/>
    <w:rsid w:val="001F1CD9"/>
    <w:rsid w:val="001F3916"/>
    <w:rsid w:val="001F3B48"/>
    <w:rsid w:val="001F4AB0"/>
    <w:rsid w:val="001F54C5"/>
    <w:rsid w:val="001F662C"/>
    <w:rsid w:val="001F7074"/>
    <w:rsid w:val="001F718F"/>
    <w:rsid w:val="00200490"/>
    <w:rsid w:val="00200F45"/>
    <w:rsid w:val="00201F3A"/>
    <w:rsid w:val="00203874"/>
    <w:rsid w:val="00203F96"/>
    <w:rsid w:val="0020419A"/>
    <w:rsid w:val="00204846"/>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10B3"/>
    <w:rsid w:val="002319E4"/>
    <w:rsid w:val="00231EE8"/>
    <w:rsid w:val="00233AFC"/>
    <w:rsid w:val="00235562"/>
    <w:rsid w:val="00235632"/>
    <w:rsid w:val="00235872"/>
    <w:rsid w:val="00236938"/>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500C8"/>
    <w:rsid w:val="00250F16"/>
    <w:rsid w:val="0025167F"/>
    <w:rsid w:val="00253DCD"/>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85D"/>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B29"/>
    <w:rsid w:val="00293F02"/>
    <w:rsid w:val="00293FD8"/>
    <w:rsid w:val="00296227"/>
    <w:rsid w:val="00296F44"/>
    <w:rsid w:val="0029774E"/>
    <w:rsid w:val="0029777D"/>
    <w:rsid w:val="002A036D"/>
    <w:rsid w:val="002A055E"/>
    <w:rsid w:val="002A1D4E"/>
    <w:rsid w:val="002A206A"/>
    <w:rsid w:val="002A2117"/>
    <w:rsid w:val="002A2869"/>
    <w:rsid w:val="002A2B08"/>
    <w:rsid w:val="002A3486"/>
    <w:rsid w:val="002A45C6"/>
    <w:rsid w:val="002A50D7"/>
    <w:rsid w:val="002A5160"/>
    <w:rsid w:val="002A75FE"/>
    <w:rsid w:val="002B033E"/>
    <w:rsid w:val="002B06F0"/>
    <w:rsid w:val="002B0B1F"/>
    <w:rsid w:val="002B0F92"/>
    <w:rsid w:val="002B24D6"/>
    <w:rsid w:val="002B292E"/>
    <w:rsid w:val="002B2CC5"/>
    <w:rsid w:val="002B38C4"/>
    <w:rsid w:val="002B467E"/>
    <w:rsid w:val="002B47B7"/>
    <w:rsid w:val="002B57C8"/>
    <w:rsid w:val="002B596E"/>
    <w:rsid w:val="002B7F65"/>
    <w:rsid w:val="002C0D0C"/>
    <w:rsid w:val="002C244C"/>
    <w:rsid w:val="002C31CA"/>
    <w:rsid w:val="002C3201"/>
    <w:rsid w:val="002C32A1"/>
    <w:rsid w:val="002C39FD"/>
    <w:rsid w:val="002C40EF"/>
    <w:rsid w:val="002C4130"/>
    <w:rsid w:val="002C41E6"/>
    <w:rsid w:val="002C45DC"/>
    <w:rsid w:val="002C49C7"/>
    <w:rsid w:val="002C5061"/>
    <w:rsid w:val="002C630F"/>
    <w:rsid w:val="002C796E"/>
    <w:rsid w:val="002C7CBE"/>
    <w:rsid w:val="002D00AE"/>
    <w:rsid w:val="002D022A"/>
    <w:rsid w:val="002D071A"/>
    <w:rsid w:val="002D34B2"/>
    <w:rsid w:val="002D362A"/>
    <w:rsid w:val="002D4ADC"/>
    <w:rsid w:val="002D5402"/>
    <w:rsid w:val="002D548E"/>
    <w:rsid w:val="002D54A7"/>
    <w:rsid w:val="002D5976"/>
    <w:rsid w:val="002D69C1"/>
    <w:rsid w:val="002D7637"/>
    <w:rsid w:val="002E1404"/>
    <w:rsid w:val="002E14D6"/>
    <w:rsid w:val="002E17F2"/>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796"/>
    <w:rsid w:val="002F62A2"/>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D23"/>
    <w:rsid w:val="00325158"/>
    <w:rsid w:val="003260FE"/>
    <w:rsid w:val="003261A9"/>
    <w:rsid w:val="00327044"/>
    <w:rsid w:val="00327AA7"/>
    <w:rsid w:val="00330D5B"/>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3E1A"/>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F0"/>
    <w:rsid w:val="00385CE1"/>
    <w:rsid w:val="0038629C"/>
    <w:rsid w:val="003874B1"/>
    <w:rsid w:val="00387618"/>
    <w:rsid w:val="00387A5F"/>
    <w:rsid w:val="00387BA7"/>
    <w:rsid w:val="00390264"/>
    <w:rsid w:val="00390834"/>
    <w:rsid w:val="00392A4B"/>
    <w:rsid w:val="003939FF"/>
    <w:rsid w:val="003953A9"/>
    <w:rsid w:val="00396A2D"/>
    <w:rsid w:val="0039747F"/>
    <w:rsid w:val="00397681"/>
    <w:rsid w:val="003A127C"/>
    <w:rsid w:val="003A168D"/>
    <w:rsid w:val="003A2223"/>
    <w:rsid w:val="003A23C7"/>
    <w:rsid w:val="003A254F"/>
    <w:rsid w:val="003A2A0F"/>
    <w:rsid w:val="003A2F94"/>
    <w:rsid w:val="003A3466"/>
    <w:rsid w:val="003A369D"/>
    <w:rsid w:val="003A45A1"/>
    <w:rsid w:val="003A48E7"/>
    <w:rsid w:val="003A5B0A"/>
    <w:rsid w:val="003A5F8E"/>
    <w:rsid w:val="003A68A8"/>
    <w:rsid w:val="003A6BAC"/>
    <w:rsid w:val="003A7C92"/>
    <w:rsid w:val="003A7D18"/>
    <w:rsid w:val="003A7EF3"/>
    <w:rsid w:val="003A7F37"/>
    <w:rsid w:val="003B0971"/>
    <w:rsid w:val="003B159C"/>
    <w:rsid w:val="003B2930"/>
    <w:rsid w:val="003B2D25"/>
    <w:rsid w:val="003B2D90"/>
    <w:rsid w:val="003B369F"/>
    <w:rsid w:val="003B36A3"/>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57B2"/>
    <w:rsid w:val="003E6588"/>
    <w:rsid w:val="003E74E3"/>
    <w:rsid w:val="003E75BA"/>
    <w:rsid w:val="003F05C7"/>
    <w:rsid w:val="003F0A2C"/>
    <w:rsid w:val="003F197C"/>
    <w:rsid w:val="003F1D11"/>
    <w:rsid w:val="003F1D35"/>
    <w:rsid w:val="003F2CD4"/>
    <w:rsid w:val="003F3088"/>
    <w:rsid w:val="003F38B8"/>
    <w:rsid w:val="003F472B"/>
    <w:rsid w:val="003F6749"/>
    <w:rsid w:val="003F6BBE"/>
    <w:rsid w:val="003F75E8"/>
    <w:rsid w:val="004000E8"/>
    <w:rsid w:val="00400175"/>
    <w:rsid w:val="00400EA0"/>
    <w:rsid w:val="004014F3"/>
    <w:rsid w:val="00401C7F"/>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AAC"/>
    <w:rsid w:val="00413EFB"/>
    <w:rsid w:val="00414321"/>
    <w:rsid w:val="00415A4C"/>
    <w:rsid w:val="00415D3C"/>
    <w:rsid w:val="00415E99"/>
    <w:rsid w:val="00416B1B"/>
    <w:rsid w:val="00417487"/>
    <w:rsid w:val="00417BAF"/>
    <w:rsid w:val="00417EB0"/>
    <w:rsid w:val="00417EF3"/>
    <w:rsid w:val="00420DC3"/>
    <w:rsid w:val="00421105"/>
    <w:rsid w:val="00421755"/>
    <w:rsid w:val="004234D8"/>
    <w:rsid w:val="00423C9D"/>
    <w:rsid w:val="004242F4"/>
    <w:rsid w:val="00424872"/>
    <w:rsid w:val="00425153"/>
    <w:rsid w:val="00427248"/>
    <w:rsid w:val="00427B94"/>
    <w:rsid w:val="00427C68"/>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8C"/>
    <w:rsid w:val="00443BE9"/>
    <w:rsid w:val="00444AAD"/>
    <w:rsid w:val="00444C54"/>
    <w:rsid w:val="00444C6F"/>
    <w:rsid w:val="00444F56"/>
    <w:rsid w:val="00445D84"/>
    <w:rsid w:val="004460D0"/>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6EFF"/>
    <w:rsid w:val="00457565"/>
    <w:rsid w:val="00457B71"/>
    <w:rsid w:val="00460DB9"/>
    <w:rsid w:val="00461A69"/>
    <w:rsid w:val="00461FDF"/>
    <w:rsid w:val="00462F46"/>
    <w:rsid w:val="0046300D"/>
    <w:rsid w:val="00464200"/>
    <w:rsid w:val="00465F3A"/>
    <w:rsid w:val="004669E2"/>
    <w:rsid w:val="004671E7"/>
    <w:rsid w:val="00470702"/>
    <w:rsid w:val="00470BA8"/>
    <w:rsid w:val="00470C31"/>
    <w:rsid w:val="00470FA4"/>
    <w:rsid w:val="0047157F"/>
    <w:rsid w:val="00471AA9"/>
    <w:rsid w:val="00472456"/>
    <w:rsid w:val="004726C7"/>
    <w:rsid w:val="004734D0"/>
    <w:rsid w:val="00473E28"/>
    <w:rsid w:val="00474804"/>
    <w:rsid w:val="0047556B"/>
    <w:rsid w:val="004759D0"/>
    <w:rsid w:val="00475AC8"/>
    <w:rsid w:val="004769FA"/>
    <w:rsid w:val="00476B40"/>
    <w:rsid w:val="00477768"/>
    <w:rsid w:val="004779C0"/>
    <w:rsid w:val="004835D6"/>
    <w:rsid w:val="00484309"/>
    <w:rsid w:val="004846D1"/>
    <w:rsid w:val="004850E5"/>
    <w:rsid w:val="00485BC6"/>
    <w:rsid w:val="004915C1"/>
    <w:rsid w:val="00492BC5"/>
    <w:rsid w:val="00492E3C"/>
    <w:rsid w:val="004933FE"/>
    <w:rsid w:val="00493917"/>
    <w:rsid w:val="00493F23"/>
    <w:rsid w:val="00494430"/>
    <w:rsid w:val="0049499D"/>
    <w:rsid w:val="004961CE"/>
    <w:rsid w:val="004963BF"/>
    <w:rsid w:val="004964F1"/>
    <w:rsid w:val="004970B3"/>
    <w:rsid w:val="004A1110"/>
    <w:rsid w:val="004A16BC"/>
    <w:rsid w:val="004A2B94"/>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0CED"/>
    <w:rsid w:val="004C2328"/>
    <w:rsid w:val="004C24EC"/>
    <w:rsid w:val="004C2579"/>
    <w:rsid w:val="004C2922"/>
    <w:rsid w:val="004C2D6E"/>
    <w:rsid w:val="004C3898"/>
    <w:rsid w:val="004C5405"/>
    <w:rsid w:val="004C54C2"/>
    <w:rsid w:val="004C664C"/>
    <w:rsid w:val="004C6EDD"/>
    <w:rsid w:val="004C78B1"/>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8F5"/>
    <w:rsid w:val="004E429A"/>
    <w:rsid w:val="004E4590"/>
    <w:rsid w:val="004E462E"/>
    <w:rsid w:val="004E4E5F"/>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B8E"/>
    <w:rsid w:val="004F4DA3"/>
    <w:rsid w:val="004F5F0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C0D"/>
    <w:rsid w:val="00527104"/>
    <w:rsid w:val="00527D06"/>
    <w:rsid w:val="005313D4"/>
    <w:rsid w:val="00531534"/>
    <w:rsid w:val="00531CAC"/>
    <w:rsid w:val="00531F1D"/>
    <w:rsid w:val="00532331"/>
    <w:rsid w:val="0053253D"/>
    <w:rsid w:val="00532546"/>
    <w:rsid w:val="00532896"/>
    <w:rsid w:val="0053355A"/>
    <w:rsid w:val="005336B9"/>
    <w:rsid w:val="005338D0"/>
    <w:rsid w:val="00533CC2"/>
    <w:rsid w:val="005343FA"/>
    <w:rsid w:val="00534B59"/>
    <w:rsid w:val="00535B4B"/>
    <w:rsid w:val="00536759"/>
    <w:rsid w:val="005369A8"/>
    <w:rsid w:val="00536BFB"/>
    <w:rsid w:val="005377F4"/>
    <w:rsid w:val="00537C62"/>
    <w:rsid w:val="00540048"/>
    <w:rsid w:val="00541EC3"/>
    <w:rsid w:val="005422D0"/>
    <w:rsid w:val="00543336"/>
    <w:rsid w:val="00543775"/>
    <w:rsid w:val="00543FA6"/>
    <w:rsid w:val="00544F20"/>
    <w:rsid w:val="00545ECE"/>
    <w:rsid w:val="005465D8"/>
    <w:rsid w:val="00546970"/>
    <w:rsid w:val="00547A14"/>
    <w:rsid w:val="00547C54"/>
    <w:rsid w:val="00547F05"/>
    <w:rsid w:val="00547F49"/>
    <w:rsid w:val="0055001B"/>
    <w:rsid w:val="0055147D"/>
    <w:rsid w:val="00551F4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185A"/>
    <w:rsid w:val="00572505"/>
    <w:rsid w:val="00572CE8"/>
    <w:rsid w:val="00576952"/>
    <w:rsid w:val="00580202"/>
    <w:rsid w:val="00582746"/>
    <w:rsid w:val="00582809"/>
    <w:rsid w:val="00582A4A"/>
    <w:rsid w:val="00583180"/>
    <w:rsid w:val="005843A4"/>
    <w:rsid w:val="005845CB"/>
    <w:rsid w:val="00584ABE"/>
    <w:rsid w:val="0058563E"/>
    <w:rsid w:val="005874C6"/>
    <w:rsid w:val="0058798C"/>
    <w:rsid w:val="00587BD2"/>
    <w:rsid w:val="005900FA"/>
    <w:rsid w:val="005905A3"/>
    <w:rsid w:val="005923F4"/>
    <w:rsid w:val="005927B4"/>
    <w:rsid w:val="005935A4"/>
    <w:rsid w:val="005946F7"/>
    <w:rsid w:val="005948C2"/>
    <w:rsid w:val="005948E4"/>
    <w:rsid w:val="00594CCE"/>
    <w:rsid w:val="00595DCA"/>
    <w:rsid w:val="005960A9"/>
    <w:rsid w:val="00597309"/>
    <w:rsid w:val="0059779B"/>
    <w:rsid w:val="005A0D5F"/>
    <w:rsid w:val="005A147F"/>
    <w:rsid w:val="005A1D12"/>
    <w:rsid w:val="005A209A"/>
    <w:rsid w:val="005A2A38"/>
    <w:rsid w:val="005A3ADD"/>
    <w:rsid w:val="005A4518"/>
    <w:rsid w:val="005A5323"/>
    <w:rsid w:val="005A5A82"/>
    <w:rsid w:val="005A662D"/>
    <w:rsid w:val="005A6B1C"/>
    <w:rsid w:val="005A73EF"/>
    <w:rsid w:val="005B35D7"/>
    <w:rsid w:val="005B392A"/>
    <w:rsid w:val="005B3AA3"/>
    <w:rsid w:val="005B41BD"/>
    <w:rsid w:val="005B46F6"/>
    <w:rsid w:val="005B4E16"/>
    <w:rsid w:val="005B544F"/>
    <w:rsid w:val="005B55E3"/>
    <w:rsid w:val="005B6BC0"/>
    <w:rsid w:val="005B6F83"/>
    <w:rsid w:val="005C04B6"/>
    <w:rsid w:val="005C25FC"/>
    <w:rsid w:val="005C2995"/>
    <w:rsid w:val="005C32E7"/>
    <w:rsid w:val="005C35EA"/>
    <w:rsid w:val="005C470A"/>
    <w:rsid w:val="005C493C"/>
    <w:rsid w:val="005C74FB"/>
    <w:rsid w:val="005C7822"/>
    <w:rsid w:val="005D12A4"/>
    <w:rsid w:val="005D1379"/>
    <w:rsid w:val="005D1498"/>
    <w:rsid w:val="005D1602"/>
    <w:rsid w:val="005D1A70"/>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AC1"/>
    <w:rsid w:val="005F4D03"/>
    <w:rsid w:val="005F50BF"/>
    <w:rsid w:val="005F528E"/>
    <w:rsid w:val="005F5AF7"/>
    <w:rsid w:val="005F618C"/>
    <w:rsid w:val="005F6777"/>
    <w:rsid w:val="005F70BD"/>
    <w:rsid w:val="006008AA"/>
    <w:rsid w:val="0060189C"/>
    <w:rsid w:val="00601ACA"/>
    <w:rsid w:val="0060283C"/>
    <w:rsid w:val="00602CC9"/>
    <w:rsid w:val="006030F3"/>
    <w:rsid w:val="00604F14"/>
    <w:rsid w:val="00605F62"/>
    <w:rsid w:val="00610371"/>
    <w:rsid w:val="00610397"/>
    <w:rsid w:val="006105DE"/>
    <w:rsid w:val="006115C7"/>
    <w:rsid w:val="006119A2"/>
    <w:rsid w:val="00611B83"/>
    <w:rsid w:val="00611BEC"/>
    <w:rsid w:val="006124D7"/>
    <w:rsid w:val="00612D70"/>
    <w:rsid w:val="00613257"/>
    <w:rsid w:val="006152C7"/>
    <w:rsid w:val="0061621C"/>
    <w:rsid w:val="0061654A"/>
    <w:rsid w:val="006207DA"/>
    <w:rsid w:val="00620A71"/>
    <w:rsid w:val="00620D80"/>
    <w:rsid w:val="006225D2"/>
    <w:rsid w:val="006234A6"/>
    <w:rsid w:val="00624D23"/>
    <w:rsid w:val="00624F8F"/>
    <w:rsid w:val="00625051"/>
    <w:rsid w:val="006251CF"/>
    <w:rsid w:val="006260ED"/>
    <w:rsid w:val="006268BE"/>
    <w:rsid w:val="006276C5"/>
    <w:rsid w:val="006278C7"/>
    <w:rsid w:val="00630001"/>
    <w:rsid w:val="006311B3"/>
    <w:rsid w:val="0063213B"/>
    <w:rsid w:val="0063284C"/>
    <w:rsid w:val="00632C35"/>
    <w:rsid w:val="00633833"/>
    <w:rsid w:val="0063397D"/>
    <w:rsid w:val="006341FB"/>
    <w:rsid w:val="00634E62"/>
    <w:rsid w:val="006358D5"/>
    <w:rsid w:val="00635F6F"/>
    <w:rsid w:val="00636046"/>
    <w:rsid w:val="00636398"/>
    <w:rsid w:val="006368D3"/>
    <w:rsid w:val="00636A5D"/>
    <w:rsid w:val="006377EC"/>
    <w:rsid w:val="00641239"/>
    <w:rsid w:val="0064151F"/>
    <w:rsid w:val="00641533"/>
    <w:rsid w:val="0064208D"/>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6451"/>
    <w:rsid w:val="00656A92"/>
    <w:rsid w:val="00656DDE"/>
    <w:rsid w:val="0066011D"/>
    <w:rsid w:val="006607C0"/>
    <w:rsid w:val="006613A6"/>
    <w:rsid w:val="00662566"/>
    <w:rsid w:val="006627A2"/>
    <w:rsid w:val="006634E6"/>
    <w:rsid w:val="00663BE6"/>
    <w:rsid w:val="0066415F"/>
    <w:rsid w:val="0066547A"/>
    <w:rsid w:val="006655EE"/>
    <w:rsid w:val="00666D72"/>
    <w:rsid w:val="006675F9"/>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DC"/>
    <w:rsid w:val="00676AF2"/>
    <w:rsid w:val="00677166"/>
    <w:rsid w:val="006771F9"/>
    <w:rsid w:val="0067769D"/>
    <w:rsid w:val="006776D7"/>
    <w:rsid w:val="00677A03"/>
    <w:rsid w:val="006802DE"/>
    <w:rsid w:val="006804B5"/>
    <w:rsid w:val="00681003"/>
    <w:rsid w:val="006817C9"/>
    <w:rsid w:val="00681D82"/>
    <w:rsid w:val="006826E7"/>
    <w:rsid w:val="00682B53"/>
    <w:rsid w:val="00682BA6"/>
    <w:rsid w:val="00683ECE"/>
    <w:rsid w:val="00686B9E"/>
    <w:rsid w:val="00687E2C"/>
    <w:rsid w:val="00690B70"/>
    <w:rsid w:val="00690F89"/>
    <w:rsid w:val="006913A9"/>
    <w:rsid w:val="00691F27"/>
    <w:rsid w:val="00692B16"/>
    <w:rsid w:val="00694D5D"/>
    <w:rsid w:val="00695381"/>
    <w:rsid w:val="00695FC2"/>
    <w:rsid w:val="00696949"/>
    <w:rsid w:val="00696981"/>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41F6"/>
    <w:rsid w:val="006B50CF"/>
    <w:rsid w:val="006B570D"/>
    <w:rsid w:val="006B5727"/>
    <w:rsid w:val="006B5C2B"/>
    <w:rsid w:val="006B5CA7"/>
    <w:rsid w:val="006B5EE4"/>
    <w:rsid w:val="006B63C1"/>
    <w:rsid w:val="006B651D"/>
    <w:rsid w:val="006B66C2"/>
    <w:rsid w:val="006B67CF"/>
    <w:rsid w:val="006B6BC3"/>
    <w:rsid w:val="006B6D73"/>
    <w:rsid w:val="006C03B8"/>
    <w:rsid w:val="006C29A3"/>
    <w:rsid w:val="006C44C2"/>
    <w:rsid w:val="006C4F7B"/>
    <w:rsid w:val="006C5678"/>
    <w:rsid w:val="006C5EC9"/>
    <w:rsid w:val="006C6059"/>
    <w:rsid w:val="006C6BE1"/>
    <w:rsid w:val="006C6D66"/>
    <w:rsid w:val="006C7522"/>
    <w:rsid w:val="006D0580"/>
    <w:rsid w:val="006D2A46"/>
    <w:rsid w:val="006D32B3"/>
    <w:rsid w:val="006D398D"/>
    <w:rsid w:val="006D56C8"/>
    <w:rsid w:val="006D571C"/>
    <w:rsid w:val="006D5D00"/>
    <w:rsid w:val="006D666D"/>
    <w:rsid w:val="006D6F08"/>
    <w:rsid w:val="006D7811"/>
    <w:rsid w:val="006E062C"/>
    <w:rsid w:val="006E1DC7"/>
    <w:rsid w:val="006E28B7"/>
    <w:rsid w:val="006E3310"/>
    <w:rsid w:val="006E387D"/>
    <w:rsid w:val="006E4A3B"/>
    <w:rsid w:val="006E4E39"/>
    <w:rsid w:val="006E565E"/>
    <w:rsid w:val="006E64B5"/>
    <w:rsid w:val="006E673D"/>
    <w:rsid w:val="006E71BA"/>
    <w:rsid w:val="006E7D3B"/>
    <w:rsid w:val="006F0B65"/>
    <w:rsid w:val="006F0CAD"/>
    <w:rsid w:val="006F1B70"/>
    <w:rsid w:val="006F3071"/>
    <w:rsid w:val="006F341D"/>
    <w:rsid w:val="006F359F"/>
    <w:rsid w:val="006F3CDE"/>
    <w:rsid w:val="006F3F78"/>
    <w:rsid w:val="006F4E7C"/>
    <w:rsid w:val="006F58D4"/>
    <w:rsid w:val="006F6D56"/>
    <w:rsid w:val="006F6D80"/>
    <w:rsid w:val="006F7626"/>
    <w:rsid w:val="00703183"/>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C3E"/>
    <w:rsid w:val="007313B3"/>
    <w:rsid w:val="0073316A"/>
    <w:rsid w:val="00733A72"/>
    <w:rsid w:val="007340DD"/>
    <w:rsid w:val="007348B1"/>
    <w:rsid w:val="00734B23"/>
    <w:rsid w:val="007362A6"/>
    <w:rsid w:val="00736BA1"/>
    <w:rsid w:val="00736D7D"/>
    <w:rsid w:val="00737202"/>
    <w:rsid w:val="00740344"/>
    <w:rsid w:val="00740E58"/>
    <w:rsid w:val="00740EB7"/>
    <w:rsid w:val="00741C68"/>
    <w:rsid w:val="00742612"/>
    <w:rsid w:val="00742E3D"/>
    <w:rsid w:val="00743018"/>
    <w:rsid w:val="0074405B"/>
    <w:rsid w:val="00744142"/>
    <w:rsid w:val="007445A0"/>
    <w:rsid w:val="007449F5"/>
    <w:rsid w:val="00744ECC"/>
    <w:rsid w:val="0074524B"/>
    <w:rsid w:val="007460A0"/>
    <w:rsid w:val="00747751"/>
    <w:rsid w:val="007479D6"/>
    <w:rsid w:val="00747B4D"/>
    <w:rsid w:val="00747D8B"/>
    <w:rsid w:val="00750580"/>
    <w:rsid w:val="00751228"/>
    <w:rsid w:val="0075196D"/>
    <w:rsid w:val="007535D6"/>
    <w:rsid w:val="00753CAE"/>
    <w:rsid w:val="00754B9B"/>
    <w:rsid w:val="007571E1"/>
    <w:rsid w:val="007604B2"/>
    <w:rsid w:val="00763989"/>
    <w:rsid w:val="00764B17"/>
    <w:rsid w:val="00765281"/>
    <w:rsid w:val="00765787"/>
    <w:rsid w:val="00766BAD"/>
    <w:rsid w:val="0076703F"/>
    <w:rsid w:val="00767A0C"/>
    <w:rsid w:val="00767EB6"/>
    <w:rsid w:val="00770AE2"/>
    <w:rsid w:val="00770FA8"/>
    <w:rsid w:val="007716C3"/>
    <w:rsid w:val="00772C01"/>
    <w:rsid w:val="007730BD"/>
    <w:rsid w:val="00773BAA"/>
    <w:rsid w:val="00774124"/>
    <w:rsid w:val="007743D1"/>
    <w:rsid w:val="007755F2"/>
    <w:rsid w:val="00775BC4"/>
    <w:rsid w:val="00775C76"/>
    <w:rsid w:val="00775E4F"/>
    <w:rsid w:val="00776971"/>
    <w:rsid w:val="00777025"/>
    <w:rsid w:val="00780339"/>
    <w:rsid w:val="00780466"/>
    <w:rsid w:val="007804ED"/>
    <w:rsid w:val="00780AE9"/>
    <w:rsid w:val="0078177E"/>
    <w:rsid w:val="0078242F"/>
    <w:rsid w:val="00782F19"/>
    <w:rsid w:val="0078304C"/>
    <w:rsid w:val="00783673"/>
    <w:rsid w:val="00783800"/>
    <w:rsid w:val="00783E9E"/>
    <w:rsid w:val="00783F35"/>
    <w:rsid w:val="00785490"/>
    <w:rsid w:val="00787234"/>
    <w:rsid w:val="00790829"/>
    <w:rsid w:val="007913AC"/>
    <w:rsid w:val="007923BA"/>
    <w:rsid w:val="007925EA"/>
    <w:rsid w:val="00792E06"/>
    <w:rsid w:val="00793CD8"/>
    <w:rsid w:val="00793EEA"/>
    <w:rsid w:val="00794C6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3D2D"/>
    <w:rsid w:val="007B3DDF"/>
    <w:rsid w:val="007B50AE"/>
    <w:rsid w:val="007B51DF"/>
    <w:rsid w:val="007B5ACB"/>
    <w:rsid w:val="007B5B9A"/>
    <w:rsid w:val="007B5E0E"/>
    <w:rsid w:val="007B6B90"/>
    <w:rsid w:val="007C05DD"/>
    <w:rsid w:val="007C0A75"/>
    <w:rsid w:val="007C1010"/>
    <w:rsid w:val="007C16FF"/>
    <w:rsid w:val="007C1C0A"/>
    <w:rsid w:val="007C2F4B"/>
    <w:rsid w:val="007C342A"/>
    <w:rsid w:val="007C3BC8"/>
    <w:rsid w:val="007C3D18"/>
    <w:rsid w:val="007C40D0"/>
    <w:rsid w:val="007C4C39"/>
    <w:rsid w:val="007C528D"/>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65C4"/>
    <w:rsid w:val="007D7526"/>
    <w:rsid w:val="007D769B"/>
    <w:rsid w:val="007E050B"/>
    <w:rsid w:val="007E0706"/>
    <w:rsid w:val="007E082B"/>
    <w:rsid w:val="007E1AC3"/>
    <w:rsid w:val="007E1C7A"/>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64E"/>
    <w:rsid w:val="007F26F1"/>
    <w:rsid w:val="007F4F0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FCB"/>
    <w:rsid w:val="008125E6"/>
    <w:rsid w:val="0081268E"/>
    <w:rsid w:val="008144B9"/>
    <w:rsid w:val="008158D6"/>
    <w:rsid w:val="00815CCD"/>
    <w:rsid w:val="0081606D"/>
    <w:rsid w:val="008170C4"/>
    <w:rsid w:val="00817196"/>
    <w:rsid w:val="00817EDE"/>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72F9"/>
    <w:rsid w:val="00827D6F"/>
    <w:rsid w:val="00827E1A"/>
    <w:rsid w:val="00830310"/>
    <w:rsid w:val="008311F3"/>
    <w:rsid w:val="0083120F"/>
    <w:rsid w:val="00831210"/>
    <w:rsid w:val="008327F5"/>
    <w:rsid w:val="00832D13"/>
    <w:rsid w:val="00833614"/>
    <w:rsid w:val="00834D48"/>
    <w:rsid w:val="008355C9"/>
    <w:rsid w:val="0083765F"/>
    <w:rsid w:val="008376AC"/>
    <w:rsid w:val="0084017A"/>
    <w:rsid w:val="00840490"/>
    <w:rsid w:val="0084116C"/>
    <w:rsid w:val="00841CB3"/>
    <w:rsid w:val="00842399"/>
    <w:rsid w:val="00842451"/>
    <w:rsid w:val="00843C72"/>
    <w:rsid w:val="008444E8"/>
    <w:rsid w:val="0084498D"/>
    <w:rsid w:val="00844E80"/>
    <w:rsid w:val="00846834"/>
    <w:rsid w:val="00846FE7"/>
    <w:rsid w:val="00847403"/>
    <w:rsid w:val="00847FC4"/>
    <w:rsid w:val="00850415"/>
    <w:rsid w:val="008504A2"/>
    <w:rsid w:val="00850CEC"/>
    <w:rsid w:val="00850E9E"/>
    <w:rsid w:val="0085247B"/>
    <w:rsid w:val="008530B9"/>
    <w:rsid w:val="00854B3A"/>
    <w:rsid w:val="00855482"/>
    <w:rsid w:val="00855931"/>
    <w:rsid w:val="00856911"/>
    <w:rsid w:val="00856A04"/>
    <w:rsid w:val="00857C84"/>
    <w:rsid w:val="00860458"/>
    <w:rsid w:val="0086275C"/>
    <w:rsid w:val="008628C0"/>
    <w:rsid w:val="008641D2"/>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646B"/>
    <w:rsid w:val="00876B4D"/>
    <w:rsid w:val="008770B8"/>
    <w:rsid w:val="00877F18"/>
    <w:rsid w:val="0088016B"/>
    <w:rsid w:val="008803CA"/>
    <w:rsid w:val="00880811"/>
    <w:rsid w:val="00880D3E"/>
    <w:rsid w:val="00884366"/>
    <w:rsid w:val="008846BD"/>
    <w:rsid w:val="008864B9"/>
    <w:rsid w:val="008902A3"/>
    <w:rsid w:val="0089173C"/>
    <w:rsid w:val="008925E5"/>
    <w:rsid w:val="00893559"/>
    <w:rsid w:val="0089376C"/>
    <w:rsid w:val="00893C6A"/>
    <w:rsid w:val="008940F7"/>
    <w:rsid w:val="0089470C"/>
    <w:rsid w:val="00894A7A"/>
    <w:rsid w:val="00894A88"/>
    <w:rsid w:val="00895386"/>
    <w:rsid w:val="00895660"/>
    <w:rsid w:val="008969E4"/>
    <w:rsid w:val="00897036"/>
    <w:rsid w:val="00897414"/>
    <w:rsid w:val="008A0628"/>
    <w:rsid w:val="008A0BB9"/>
    <w:rsid w:val="008A21FF"/>
    <w:rsid w:val="008A2560"/>
    <w:rsid w:val="008A2CE2"/>
    <w:rsid w:val="008A30AC"/>
    <w:rsid w:val="008A44B8"/>
    <w:rsid w:val="008A473B"/>
    <w:rsid w:val="008A4CCF"/>
    <w:rsid w:val="008A4CE0"/>
    <w:rsid w:val="008A51A8"/>
    <w:rsid w:val="008A54C7"/>
    <w:rsid w:val="008A6995"/>
    <w:rsid w:val="008A77D8"/>
    <w:rsid w:val="008A7858"/>
    <w:rsid w:val="008B0483"/>
    <w:rsid w:val="008B120C"/>
    <w:rsid w:val="008B2228"/>
    <w:rsid w:val="008B321B"/>
    <w:rsid w:val="008B40D0"/>
    <w:rsid w:val="008B51A0"/>
    <w:rsid w:val="008B592A"/>
    <w:rsid w:val="008B63B8"/>
    <w:rsid w:val="008B6F35"/>
    <w:rsid w:val="008B7B5C"/>
    <w:rsid w:val="008B7F0D"/>
    <w:rsid w:val="008C0C99"/>
    <w:rsid w:val="008C1BD9"/>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5F2"/>
    <w:rsid w:val="008D4603"/>
    <w:rsid w:val="008D6AF5"/>
    <w:rsid w:val="008D6CCC"/>
    <w:rsid w:val="008D6D1A"/>
    <w:rsid w:val="008D7F96"/>
    <w:rsid w:val="008E035A"/>
    <w:rsid w:val="008E05F6"/>
    <w:rsid w:val="008E065E"/>
    <w:rsid w:val="008E0927"/>
    <w:rsid w:val="008E0FF2"/>
    <w:rsid w:val="008E1909"/>
    <w:rsid w:val="008E193E"/>
    <w:rsid w:val="008E1B93"/>
    <w:rsid w:val="008E1D88"/>
    <w:rsid w:val="008E25DF"/>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C3F"/>
    <w:rsid w:val="00901136"/>
    <w:rsid w:val="00901380"/>
    <w:rsid w:val="00902350"/>
    <w:rsid w:val="00903172"/>
    <w:rsid w:val="0090336B"/>
    <w:rsid w:val="00904BB4"/>
    <w:rsid w:val="009050D8"/>
    <w:rsid w:val="009053AA"/>
    <w:rsid w:val="00905DEF"/>
    <w:rsid w:val="009068B4"/>
    <w:rsid w:val="00906939"/>
    <w:rsid w:val="00906D08"/>
    <w:rsid w:val="00910B7D"/>
    <w:rsid w:val="00910D77"/>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2EF9"/>
    <w:rsid w:val="00924B76"/>
    <w:rsid w:val="0092553D"/>
    <w:rsid w:val="00926863"/>
    <w:rsid w:val="009270E9"/>
    <w:rsid w:val="00927F40"/>
    <w:rsid w:val="0093103F"/>
    <w:rsid w:val="00931661"/>
    <w:rsid w:val="00931BD9"/>
    <w:rsid w:val="00931F69"/>
    <w:rsid w:val="00932299"/>
    <w:rsid w:val="0093376C"/>
    <w:rsid w:val="00933799"/>
    <w:rsid w:val="0093421D"/>
    <w:rsid w:val="00934DF8"/>
    <w:rsid w:val="0093601A"/>
    <w:rsid w:val="00936851"/>
    <w:rsid w:val="009368F3"/>
    <w:rsid w:val="00936DD9"/>
    <w:rsid w:val="00937C12"/>
    <w:rsid w:val="009404F2"/>
    <w:rsid w:val="00940BAC"/>
    <w:rsid w:val="00941263"/>
    <w:rsid w:val="009414FD"/>
    <w:rsid w:val="00941636"/>
    <w:rsid w:val="00942B34"/>
    <w:rsid w:val="0094346C"/>
    <w:rsid w:val="00943742"/>
    <w:rsid w:val="0094389D"/>
    <w:rsid w:val="00945C05"/>
    <w:rsid w:val="00946945"/>
    <w:rsid w:val="00946A61"/>
    <w:rsid w:val="00947179"/>
    <w:rsid w:val="00947713"/>
    <w:rsid w:val="00947B01"/>
    <w:rsid w:val="009506F9"/>
    <w:rsid w:val="00950DE7"/>
    <w:rsid w:val="00950FBF"/>
    <w:rsid w:val="009511CF"/>
    <w:rsid w:val="00951BFD"/>
    <w:rsid w:val="00952A86"/>
    <w:rsid w:val="00953714"/>
    <w:rsid w:val="00953920"/>
    <w:rsid w:val="00953D47"/>
    <w:rsid w:val="009546B1"/>
    <w:rsid w:val="00955282"/>
    <w:rsid w:val="00956711"/>
    <w:rsid w:val="0095681E"/>
    <w:rsid w:val="00956832"/>
    <w:rsid w:val="009572D4"/>
    <w:rsid w:val="00957337"/>
    <w:rsid w:val="0095740D"/>
    <w:rsid w:val="009579C0"/>
    <w:rsid w:val="00957B23"/>
    <w:rsid w:val="009600E8"/>
    <w:rsid w:val="00960FEA"/>
    <w:rsid w:val="00961921"/>
    <w:rsid w:val="00961DF7"/>
    <w:rsid w:val="00962E73"/>
    <w:rsid w:val="00963313"/>
    <w:rsid w:val="00963C21"/>
    <w:rsid w:val="0096430A"/>
    <w:rsid w:val="009646C1"/>
    <w:rsid w:val="00964C30"/>
    <w:rsid w:val="00964D32"/>
    <w:rsid w:val="0096554B"/>
    <w:rsid w:val="0096584A"/>
    <w:rsid w:val="00965C53"/>
    <w:rsid w:val="00967A33"/>
    <w:rsid w:val="00970523"/>
    <w:rsid w:val="00971F08"/>
    <w:rsid w:val="00972534"/>
    <w:rsid w:val="009727B8"/>
    <w:rsid w:val="009739E6"/>
    <w:rsid w:val="00975501"/>
    <w:rsid w:val="009755EB"/>
    <w:rsid w:val="00975997"/>
    <w:rsid w:val="0097603D"/>
    <w:rsid w:val="00976949"/>
    <w:rsid w:val="00980477"/>
    <w:rsid w:val="0098097C"/>
    <w:rsid w:val="0098142A"/>
    <w:rsid w:val="009827EF"/>
    <w:rsid w:val="0098284E"/>
    <w:rsid w:val="00984217"/>
    <w:rsid w:val="009842D5"/>
    <w:rsid w:val="0098481A"/>
    <w:rsid w:val="00985253"/>
    <w:rsid w:val="009853B3"/>
    <w:rsid w:val="00985CBE"/>
    <w:rsid w:val="00990630"/>
    <w:rsid w:val="009913E0"/>
    <w:rsid w:val="00991761"/>
    <w:rsid w:val="009928E6"/>
    <w:rsid w:val="00993727"/>
    <w:rsid w:val="00994DCA"/>
    <w:rsid w:val="00995585"/>
    <w:rsid w:val="009960EC"/>
    <w:rsid w:val="009962C4"/>
    <w:rsid w:val="00996D46"/>
    <w:rsid w:val="009970DD"/>
    <w:rsid w:val="00997687"/>
    <w:rsid w:val="009A0FBA"/>
    <w:rsid w:val="009A1601"/>
    <w:rsid w:val="009A3184"/>
    <w:rsid w:val="009A330C"/>
    <w:rsid w:val="009A3421"/>
    <w:rsid w:val="009A41F8"/>
    <w:rsid w:val="009A462D"/>
    <w:rsid w:val="009A54C1"/>
    <w:rsid w:val="009A5CBA"/>
    <w:rsid w:val="009A72AE"/>
    <w:rsid w:val="009B13D2"/>
    <w:rsid w:val="009B19F5"/>
    <w:rsid w:val="009B1F30"/>
    <w:rsid w:val="009B25F4"/>
    <w:rsid w:val="009B3AC2"/>
    <w:rsid w:val="009B4B77"/>
    <w:rsid w:val="009B4B9A"/>
    <w:rsid w:val="009B4DF4"/>
    <w:rsid w:val="009B564E"/>
    <w:rsid w:val="009B76F3"/>
    <w:rsid w:val="009B79EB"/>
    <w:rsid w:val="009B7C43"/>
    <w:rsid w:val="009B7E87"/>
    <w:rsid w:val="009C08B0"/>
    <w:rsid w:val="009C0BD7"/>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14E0"/>
    <w:rsid w:val="009E35DB"/>
    <w:rsid w:val="009E407B"/>
    <w:rsid w:val="009E431C"/>
    <w:rsid w:val="009E47A3"/>
    <w:rsid w:val="009E4A87"/>
    <w:rsid w:val="009E537B"/>
    <w:rsid w:val="009E5902"/>
    <w:rsid w:val="009E688E"/>
    <w:rsid w:val="009E6AA6"/>
    <w:rsid w:val="009E6AC2"/>
    <w:rsid w:val="009E6F0C"/>
    <w:rsid w:val="009F0271"/>
    <w:rsid w:val="009F0519"/>
    <w:rsid w:val="009F08F3"/>
    <w:rsid w:val="009F1348"/>
    <w:rsid w:val="009F1605"/>
    <w:rsid w:val="009F1A79"/>
    <w:rsid w:val="009F1B6A"/>
    <w:rsid w:val="009F1ECE"/>
    <w:rsid w:val="009F21AA"/>
    <w:rsid w:val="009F344F"/>
    <w:rsid w:val="009F3D98"/>
    <w:rsid w:val="009F4360"/>
    <w:rsid w:val="009F47FE"/>
    <w:rsid w:val="009F640D"/>
    <w:rsid w:val="009F6A52"/>
    <w:rsid w:val="009F7363"/>
    <w:rsid w:val="009F7E0E"/>
    <w:rsid w:val="00A008F3"/>
    <w:rsid w:val="00A00F1F"/>
    <w:rsid w:val="00A032E4"/>
    <w:rsid w:val="00A048A8"/>
    <w:rsid w:val="00A04F49"/>
    <w:rsid w:val="00A0651F"/>
    <w:rsid w:val="00A072BE"/>
    <w:rsid w:val="00A07855"/>
    <w:rsid w:val="00A07DF7"/>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3EE"/>
    <w:rsid w:val="00A264A9"/>
    <w:rsid w:val="00A27785"/>
    <w:rsid w:val="00A30187"/>
    <w:rsid w:val="00A31044"/>
    <w:rsid w:val="00A32662"/>
    <w:rsid w:val="00A3448A"/>
    <w:rsid w:val="00A35099"/>
    <w:rsid w:val="00A35130"/>
    <w:rsid w:val="00A3514E"/>
    <w:rsid w:val="00A354DD"/>
    <w:rsid w:val="00A36297"/>
    <w:rsid w:val="00A3751A"/>
    <w:rsid w:val="00A4191F"/>
    <w:rsid w:val="00A41E2B"/>
    <w:rsid w:val="00A429FC"/>
    <w:rsid w:val="00A44B11"/>
    <w:rsid w:val="00A45B74"/>
    <w:rsid w:val="00A468B9"/>
    <w:rsid w:val="00A47529"/>
    <w:rsid w:val="00A47CB0"/>
    <w:rsid w:val="00A50F35"/>
    <w:rsid w:val="00A50FA9"/>
    <w:rsid w:val="00A5201B"/>
    <w:rsid w:val="00A521B4"/>
    <w:rsid w:val="00A52E1D"/>
    <w:rsid w:val="00A545B8"/>
    <w:rsid w:val="00A54F90"/>
    <w:rsid w:val="00A55F73"/>
    <w:rsid w:val="00A5609D"/>
    <w:rsid w:val="00A56D3F"/>
    <w:rsid w:val="00A571A6"/>
    <w:rsid w:val="00A572BF"/>
    <w:rsid w:val="00A60917"/>
    <w:rsid w:val="00A61499"/>
    <w:rsid w:val="00A622C6"/>
    <w:rsid w:val="00A622D2"/>
    <w:rsid w:val="00A62A77"/>
    <w:rsid w:val="00A631EF"/>
    <w:rsid w:val="00A63483"/>
    <w:rsid w:val="00A64EC7"/>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E64"/>
    <w:rsid w:val="00A758C5"/>
    <w:rsid w:val="00A761D4"/>
    <w:rsid w:val="00A77ADD"/>
    <w:rsid w:val="00A77EC4"/>
    <w:rsid w:val="00A80BAB"/>
    <w:rsid w:val="00A81153"/>
    <w:rsid w:val="00A826B6"/>
    <w:rsid w:val="00A8392D"/>
    <w:rsid w:val="00A83A40"/>
    <w:rsid w:val="00A83FA6"/>
    <w:rsid w:val="00A85AE7"/>
    <w:rsid w:val="00A872FD"/>
    <w:rsid w:val="00A87B41"/>
    <w:rsid w:val="00A9043E"/>
    <w:rsid w:val="00A908BD"/>
    <w:rsid w:val="00A90A96"/>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FDC"/>
    <w:rsid w:val="00AA50D3"/>
    <w:rsid w:val="00AA51D6"/>
    <w:rsid w:val="00AA56AA"/>
    <w:rsid w:val="00AA665A"/>
    <w:rsid w:val="00AA7DCB"/>
    <w:rsid w:val="00AB0BC8"/>
    <w:rsid w:val="00AB0D9C"/>
    <w:rsid w:val="00AB11CA"/>
    <w:rsid w:val="00AB14D9"/>
    <w:rsid w:val="00AB1EAE"/>
    <w:rsid w:val="00AB20D4"/>
    <w:rsid w:val="00AB2AA4"/>
    <w:rsid w:val="00AB3A11"/>
    <w:rsid w:val="00AB4AB8"/>
    <w:rsid w:val="00AB54EC"/>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40E0"/>
    <w:rsid w:val="00AE4DBA"/>
    <w:rsid w:val="00AE4F07"/>
    <w:rsid w:val="00AE523F"/>
    <w:rsid w:val="00AE533D"/>
    <w:rsid w:val="00AE5F8A"/>
    <w:rsid w:val="00AE62E2"/>
    <w:rsid w:val="00AE7446"/>
    <w:rsid w:val="00AF0D31"/>
    <w:rsid w:val="00AF0DB6"/>
    <w:rsid w:val="00AF1559"/>
    <w:rsid w:val="00AF1C5D"/>
    <w:rsid w:val="00AF2026"/>
    <w:rsid w:val="00AF3363"/>
    <w:rsid w:val="00AF42D7"/>
    <w:rsid w:val="00AF43AB"/>
    <w:rsid w:val="00AF50C3"/>
    <w:rsid w:val="00AF53B6"/>
    <w:rsid w:val="00AF551E"/>
    <w:rsid w:val="00AF5CB5"/>
    <w:rsid w:val="00AF5D37"/>
    <w:rsid w:val="00AF6102"/>
    <w:rsid w:val="00B0035B"/>
    <w:rsid w:val="00B00379"/>
    <w:rsid w:val="00B006FE"/>
    <w:rsid w:val="00B007CB"/>
    <w:rsid w:val="00B010BF"/>
    <w:rsid w:val="00B02AA9"/>
    <w:rsid w:val="00B02F39"/>
    <w:rsid w:val="00B02FA3"/>
    <w:rsid w:val="00B03511"/>
    <w:rsid w:val="00B03C4C"/>
    <w:rsid w:val="00B0419A"/>
    <w:rsid w:val="00B04B07"/>
    <w:rsid w:val="00B05084"/>
    <w:rsid w:val="00B05BA5"/>
    <w:rsid w:val="00B0611B"/>
    <w:rsid w:val="00B064AA"/>
    <w:rsid w:val="00B10B32"/>
    <w:rsid w:val="00B1144B"/>
    <w:rsid w:val="00B136CA"/>
    <w:rsid w:val="00B140A5"/>
    <w:rsid w:val="00B1488E"/>
    <w:rsid w:val="00B14FE8"/>
    <w:rsid w:val="00B15694"/>
    <w:rsid w:val="00B157F9"/>
    <w:rsid w:val="00B16476"/>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AC3"/>
    <w:rsid w:val="00B372AA"/>
    <w:rsid w:val="00B37BC2"/>
    <w:rsid w:val="00B40445"/>
    <w:rsid w:val="00B405FA"/>
    <w:rsid w:val="00B40B9E"/>
    <w:rsid w:val="00B40ECB"/>
    <w:rsid w:val="00B413D6"/>
    <w:rsid w:val="00B41888"/>
    <w:rsid w:val="00B41DF0"/>
    <w:rsid w:val="00B425F8"/>
    <w:rsid w:val="00B42BDB"/>
    <w:rsid w:val="00B43407"/>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8C3"/>
    <w:rsid w:val="00B75D37"/>
    <w:rsid w:val="00B81A6C"/>
    <w:rsid w:val="00B81FDF"/>
    <w:rsid w:val="00B82EB9"/>
    <w:rsid w:val="00B837ED"/>
    <w:rsid w:val="00B83B64"/>
    <w:rsid w:val="00B84011"/>
    <w:rsid w:val="00B84993"/>
    <w:rsid w:val="00B84EAF"/>
    <w:rsid w:val="00B858A4"/>
    <w:rsid w:val="00B85DE5"/>
    <w:rsid w:val="00B85EA1"/>
    <w:rsid w:val="00B866EF"/>
    <w:rsid w:val="00B90580"/>
    <w:rsid w:val="00B907EA"/>
    <w:rsid w:val="00B90F73"/>
    <w:rsid w:val="00B91D5D"/>
    <w:rsid w:val="00B93188"/>
    <w:rsid w:val="00B93B59"/>
    <w:rsid w:val="00B93DEF"/>
    <w:rsid w:val="00B9406A"/>
    <w:rsid w:val="00B940C7"/>
    <w:rsid w:val="00B959EC"/>
    <w:rsid w:val="00B96601"/>
    <w:rsid w:val="00B96B18"/>
    <w:rsid w:val="00B96FCA"/>
    <w:rsid w:val="00B97D9D"/>
    <w:rsid w:val="00BA04E2"/>
    <w:rsid w:val="00BA0662"/>
    <w:rsid w:val="00BA181D"/>
    <w:rsid w:val="00BA1FE5"/>
    <w:rsid w:val="00BA2280"/>
    <w:rsid w:val="00BA2A08"/>
    <w:rsid w:val="00BA30BC"/>
    <w:rsid w:val="00BA3758"/>
    <w:rsid w:val="00BA4150"/>
    <w:rsid w:val="00BA46EE"/>
    <w:rsid w:val="00BA52AA"/>
    <w:rsid w:val="00BA5641"/>
    <w:rsid w:val="00BA56D2"/>
    <w:rsid w:val="00BA5A3F"/>
    <w:rsid w:val="00BA70E4"/>
    <w:rsid w:val="00BA76E0"/>
    <w:rsid w:val="00BB0AA7"/>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48AC"/>
    <w:rsid w:val="00BD5F1A"/>
    <w:rsid w:val="00BD63B6"/>
    <w:rsid w:val="00BD699A"/>
    <w:rsid w:val="00BD6BB3"/>
    <w:rsid w:val="00BD70C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1C1"/>
    <w:rsid w:val="00BF3279"/>
    <w:rsid w:val="00BF5B78"/>
    <w:rsid w:val="00BF74C7"/>
    <w:rsid w:val="00C00DEB"/>
    <w:rsid w:val="00C015F1"/>
    <w:rsid w:val="00C0173E"/>
    <w:rsid w:val="00C01973"/>
    <w:rsid w:val="00C01F33"/>
    <w:rsid w:val="00C0286B"/>
    <w:rsid w:val="00C02CC6"/>
    <w:rsid w:val="00C039FC"/>
    <w:rsid w:val="00C040F7"/>
    <w:rsid w:val="00C041B0"/>
    <w:rsid w:val="00C044AB"/>
    <w:rsid w:val="00C055AB"/>
    <w:rsid w:val="00C05706"/>
    <w:rsid w:val="00C06056"/>
    <w:rsid w:val="00C06AF4"/>
    <w:rsid w:val="00C07377"/>
    <w:rsid w:val="00C07685"/>
    <w:rsid w:val="00C07FBA"/>
    <w:rsid w:val="00C10478"/>
    <w:rsid w:val="00C10EE1"/>
    <w:rsid w:val="00C11122"/>
    <w:rsid w:val="00C11575"/>
    <w:rsid w:val="00C1189B"/>
    <w:rsid w:val="00C1199F"/>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3C3B"/>
    <w:rsid w:val="00C44AE7"/>
    <w:rsid w:val="00C4791A"/>
    <w:rsid w:val="00C47A84"/>
    <w:rsid w:val="00C50C02"/>
    <w:rsid w:val="00C523FA"/>
    <w:rsid w:val="00C536F2"/>
    <w:rsid w:val="00C5386C"/>
    <w:rsid w:val="00C539C9"/>
    <w:rsid w:val="00C54995"/>
    <w:rsid w:val="00C54D41"/>
    <w:rsid w:val="00C5639D"/>
    <w:rsid w:val="00C56496"/>
    <w:rsid w:val="00C6036B"/>
    <w:rsid w:val="00C60783"/>
    <w:rsid w:val="00C60E2B"/>
    <w:rsid w:val="00C61EA7"/>
    <w:rsid w:val="00C64410"/>
    <w:rsid w:val="00C644F7"/>
    <w:rsid w:val="00C64672"/>
    <w:rsid w:val="00C66356"/>
    <w:rsid w:val="00C66AEE"/>
    <w:rsid w:val="00C70697"/>
    <w:rsid w:val="00C71463"/>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B92"/>
    <w:rsid w:val="00C82F59"/>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ED8"/>
    <w:rsid w:val="00CA3172"/>
    <w:rsid w:val="00CA5288"/>
    <w:rsid w:val="00CA57DB"/>
    <w:rsid w:val="00CA61FB"/>
    <w:rsid w:val="00CA6CFD"/>
    <w:rsid w:val="00CA7170"/>
    <w:rsid w:val="00CB037D"/>
    <w:rsid w:val="00CB0DE9"/>
    <w:rsid w:val="00CB1F63"/>
    <w:rsid w:val="00CB2731"/>
    <w:rsid w:val="00CB4CE0"/>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0B87"/>
    <w:rsid w:val="00CD0C0D"/>
    <w:rsid w:val="00CD0EF8"/>
    <w:rsid w:val="00CD1188"/>
    <w:rsid w:val="00CD1D2E"/>
    <w:rsid w:val="00CD2ED1"/>
    <w:rsid w:val="00CD337B"/>
    <w:rsid w:val="00CD3A90"/>
    <w:rsid w:val="00CD3F6B"/>
    <w:rsid w:val="00CD5A07"/>
    <w:rsid w:val="00CD5C14"/>
    <w:rsid w:val="00CD7AD3"/>
    <w:rsid w:val="00CD7FCE"/>
    <w:rsid w:val="00CE032F"/>
    <w:rsid w:val="00CE0424"/>
    <w:rsid w:val="00CE077B"/>
    <w:rsid w:val="00CE0C01"/>
    <w:rsid w:val="00CE2300"/>
    <w:rsid w:val="00CE3658"/>
    <w:rsid w:val="00CE3DF2"/>
    <w:rsid w:val="00CE3F6C"/>
    <w:rsid w:val="00CE5905"/>
    <w:rsid w:val="00CE7561"/>
    <w:rsid w:val="00CE7BCB"/>
    <w:rsid w:val="00CF1354"/>
    <w:rsid w:val="00CF1F5F"/>
    <w:rsid w:val="00CF2BF0"/>
    <w:rsid w:val="00CF3332"/>
    <w:rsid w:val="00CF3B1F"/>
    <w:rsid w:val="00CF3BF6"/>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7CE6"/>
    <w:rsid w:val="00D1001F"/>
    <w:rsid w:val="00D10249"/>
    <w:rsid w:val="00D1108E"/>
    <w:rsid w:val="00D110BD"/>
    <w:rsid w:val="00D11327"/>
    <w:rsid w:val="00D115C3"/>
    <w:rsid w:val="00D11897"/>
    <w:rsid w:val="00D11F71"/>
    <w:rsid w:val="00D13135"/>
    <w:rsid w:val="00D13A1F"/>
    <w:rsid w:val="00D13ABF"/>
    <w:rsid w:val="00D13E4E"/>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3005B"/>
    <w:rsid w:val="00D3101D"/>
    <w:rsid w:val="00D32166"/>
    <w:rsid w:val="00D33059"/>
    <w:rsid w:val="00D35234"/>
    <w:rsid w:val="00D35F56"/>
    <w:rsid w:val="00D36E71"/>
    <w:rsid w:val="00D36FF6"/>
    <w:rsid w:val="00D37D87"/>
    <w:rsid w:val="00D40B33"/>
    <w:rsid w:val="00D40F14"/>
    <w:rsid w:val="00D426CB"/>
    <w:rsid w:val="00D42D88"/>
    <w:rsid w:val="00D4318F"/>
    <w:rsid w:val="00D438BF"/>
    <w:rsid w:val="00D440F8"/>
    <w:rsid w:val="00D45637"/>
    <w:rsid w:val="00D46DC9"/>
    <w:rsid w:val="00D46FA5"/>
    <w:rsid w:val="00D477AC"/>
    <w:rsid w:val="00D47B54"/>
    <w:rsid w:val="00D47FB4"/>
    <w:rsid w:val="00D50035"/>
    <w:rsid w:val="00D501A9"/>
    <w:rsid w:val="00D511FF"/>
    <w:rsid w:val="00D51446"/>
    <w:rsid w:val="00D51F0B"/>
    <w:rsid w:val="00D528D2"/>
    <w:rsid w:val="00D537D6"/>
    <w:rsid w:val="00D546F5"/>
    <w:rsid w:val="00D546FF"/>
    <w:rsid w:val="00D54AF4"/>
    <w:rsid w:val="00D55AD5"/>
    <w:rsid w:val="00D55B51"/>
    <w:rsid w:val="00D55C96"/>
    <w:rsid w:val="00D563ED"/>
    <w:rsid w:val="00D576CA"/>
    <w:rsid w:val="00D601A6"/>
    <w:rsid w:val="00D60E13"/>
    <w:rsid w:val="00D61AF5"/>
    <w:rsid w:val="00D62CD5"/>
    <w:rsid w:val="00D63047"/>
    <w:rsid w:val="00D63268"/>
    <w:rsid w:val="00D63C72"/>
    <w:rsid w:val="00D6435F"/>
    <w:rsid w:val="00D64A1D"/>
    <w:rsid w:val="00D64A2D"/>
    <w:rsid w:val="00D652B5"/>
    <w:rsid w:val="00D66147"/>
    <w:rsid w:val="00D66155"/>
    <w:rsid w:val="00D661B0"/>
    <w:rsid w:val="00D6779F"/>
    <w:rsid w:val="00D708B0"/>
    <w:rsid w:val="00D70E73"/>
    <w:rsid w:val="00D71675"/>
    <w:rsid w:val="00D71BB9"/>
    <w:rsid w:val="00D71D08"/>
    <w:rsid w:val="00D723D7"/>
    <w:rsid w:val="00D7279B"/>
    <w:rsid w:val="00D73181"/>
    <w:rsid w:val="00D748D5"/>
    <w:rsid w:val="00D74A9D"/>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A3"/>
    <w:rsid w:val="00D871CE"/>
    <w:rsid w:val="00D9196D"/>
    <w:rsid w:val="00D920A7"/>
    <w:rsid w:val="00D92982"/>
    <w:rsid w:val="00D93E15"/>
    <w:rsid w:val="00D95A22"/>
    <w:rsid w:val="00D965C0"/>
    <w:rsid w:val="00D9694C"/>
    <w:rsid w:val="00DA0701"/>
    <w:rsid w:val="00DA305E"/>
    <w:rsid w:val="00DA3C64"/>
    <w:rsid w:val="00DA49ED"/>
    <w:rsid w:val="00DA4BE1"/>
    <w:rsid w:val="00DA4BE7"/>
    <w:rsid w:val="00DA5007"/>
    <w:rsid w:val="00DA536E"/>
    <w:rsid w:val="00DA5417"/>
    <w:rsid w:val="00DA56E8"/>
    <w:rsid w:val="00DA67A6"/>
    <w:rsid w:val="00DB06D8"/>
    <w:rsid w:val="00DB0854"/>
    <w:rsid w:val="00DB0A9F"/>
    <w:rsid w:val="00DB17B4"/>
    <w:rsid w:val="00DB18F2"/>
    <w:rsid w:val="00DB2B15"/>
    <w:rsid w:val="00DB377D"/>
    <w:rsid w:val="00DB5470"/>
    <w:rsid w:val="00DB68F4"/>
    <w:rsid w:val="00DB7182"/>
    <w:rsid w:val="00DB7A15"/>
    <w:rsid w:val="00DC04F7"/>
    <w:rsid w:val="00DC0F86"/>
    <w:rsid w:val="00DC1ECE"/>
    <w:rsid w:val="00DC21E1"/>
    <w:rsid w:val="00DC2396"/>
    <w:rsid w:val="00DC2D36"/>
    <w:rsid w:val="00DC33E4"/>
    <w:rsid w:val="00DC3DD8"/>
    <w:rsid w:val="00DC444D"/>
    <w:rsid w:val="00DC53EF"/>
    <w:rsid w:val="00DC552C"/>
    <w:rsid w:val="00DC6843"/>
    <w:rsid w:val="00DC6D71"/>
    <w:rsid w:val="00DC7B30"/>
    <w:rsid w:val="00DC7FEA"/>
    <w:rsid w:val="00DD1F9F"/>
    <w:rsid w:val="00DD288E"/>
    <w:rsid w:val="00DD5560"/>
    <w:rsid w:val="00DD5BAB"/>
    <w:rsid w:val="00DD7867"/>
    <w:rsid w:val="00DE1161"/>
    <w:rsid w:val="00DE227E"/>
    <w:rsid w:val="00DE3A33"/>
    <w:rsid w:val="00DE4580"/>
    <w:rsid w:val="00DE5608"/>
    <w:rsid w:val="00DE58D0"/>
    <w:rsid w:val="00DE654F"/>
    <w:rsid w:val="00DE6938"/>
    <w:rsid w:val="00DF086B"/>
    <w:rsid w:val="00DF0B6E"/>
    <w:rsid w:val="00DF15E0"/>
    <w:rsid w:val="00DF20A7"/>
    <w:rsid w:val="00DF2F61"/>
    <w:rsid w:val="00DF3068"/>
    <w:rsid w:val="00DF37A0"/>
    <w:rsid w:val="00DF3F1F"/>
    <w:rsid w:val="00DF4FDA"/>
    <w:rsid w:val="00DF5C56"/>
    <w:rsid w:val="00DF60DF"/>
    <w:rsid w:val="00E008FB"/>
    <w:rsid w:val="00E009BE"/>
    <w:rsid w:val="00E01003"/>
    <w:rsid w:val="00E02CFE"/>
    <w:rsid w:val="00E03DCD"/>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2C9E"/>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B6E"/>
    <w:rsid w:val="00E35559"/>
    <w:rsid w:val="00E36156"/>
    <w:rsid w:val="00E36534"/>
    <w:rsid w:val="00E371BC"/>
    <w:rsid w:val="00E3723A"/>
    <w:rsid w:val="00E372E0"/>
    <w:rsid w:val="00E373BD"/>
    <w:rsid w:val="00E37860"/>
    <w:rsid w:val="00E41503"/>
    <w:rsid w:val="00E420A3"/>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5796"/>
    <w:rsid w:val="00E65802"/>
    <w:rsid w:val="00E666C9"/>
    <w:rsid w:val="00E66DB7"/>
    <w:rsid w:val="00E674EE"/>
    <w:rsid w:val="00E67C51"/>
    <w:rsid w:val="00E70D86"/>
    <w:rsid w:val="00E7226E"/>
    <w:rsid w:val="00E7294A"/>
    <w:rsid w:val="00E72EFC"/>
    <w:rsid w:val="00E732FD"/>
    <w:rsid w:val="00E758EC"/>
    <w:rsid w:val="00E7599C"/>
    <w:rsid w:val="00E760D7"/>
    <w:rsid w:val="00E76569"/>
    <w:rsid w:val="00E81B9B"/>
    <w:rsid w:val="00E8234C"/>
    <w:rsid w:val="00E83AA9"/>
    <w:rsid w:val="00E83BE0"/>
    <w:rsid w:val="00E85928"/>
    <w:rsid w:val="00E87822"/>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71D"/>
    <w:rsid w:val="00EA2CDB"/>
    <w:rsid w:val="00EA3284"/>
    <w:rsid w:val="00EA5B73"/>
    <w:rsid w:val="00EA6B30"/>
    <w:rsid w:val="00EA6E0E"/>
    <w:rsid w:val="00EA7A41"/>
    <w:rsid w:val="00EB077B"/>
    <w:rsid w:val="00EB2A7B"/>
    <w:rsid w:val="00EB3697"/>
    <w:rsid w:val="00EB45F9"/>
    <w:rsid w:val="00EB4EA2"/>
    <w:rsid w:val="00EB62EC"/>
    <w:rsid w:val="00EB6361"/>
    <w:rsid w:val="00EB694F"/>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F4"/>
    <w:rsid w:val="00ED5F66"/>
    <w:rsid w:val="00ED6E06"/>
    <w:rsid w:val="00ED7959"/>
    <w:rsid w:val="00ED7BC7"/>
    <w:rsid w:val="00EE088C"/>
    <w:rsid w:val="00EE0956"/>
    <w:rsid w:val="00EE1975"/>
    <w:rsid w:val="00EE1BBE"/>
    <w:rsid w:val="00EE22C9"/>
    <w:rsid w:val="00EE25E7"/>
    <w:rsid w:val="00EE3391"/>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80"/>
    <w:rsid w:val="00EF7136"/>
    <w:rsid w:val="00F0024F"/>
    <w:rsid w:val="00F0201B"/>
    <w:rsid w:val="00F020A9"/>
    <w:rsid w:val="00F0313E"/>
    <w:rsid w:val="00F03969"/>
    <w:rsid w:val="00F03ADF"/>
    <w:rsid w:val="00F03E8C"/>
    <w:rsid w:val="00F04356"/>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9EB"/>
    <w:rsid w:val="00F13E58"/>
    <w:rsid w:val="00F15FA5"/>
    <w:rsid w:val="00F1625B"/>
    <w:rsid w:val="00F167E6"/>
    <w:rsid w:val="00F209B7"/>
    <w:rsid w:val="00F20C4B"/>
    <w:rsid w:val="00F214CF"/>
    <w:rsid w:val="00F21C47"/>
    <w:rsid w:val="00F2376F"/>
    <w:rsid w:val="00F243D8"/>
    <w:rsid w:val="00F24E55"/>
    <w:rsid w:val="00F251DD"/>
    <w:rsid w:val="00F30828"/>
    <w:rsid w:val="00F30E66"/>
    <w:rsid w:val="00F31000"/>
    <w:rsid w:val="00F310A0"/>
    <w:rsid w:val="00F312B4"/>
    <w:rsid w:val="00F313D6"/>
    <w:rsid w:val="00F31E10"/>
    <w:rsid w:val="00F3341D"/>
    <w:rsid w:val="00F33DF2"/>
    <w:rsid w:val="00F34D6D"/>
    <w:rsid w:val="00F35233"/>
    <w:rsid w:val="00F35EF6"/>
    <w:rsid w:val="00F40806"/>
    <w:rsid w:val="00F40C33"/>
    <w:rsid w:val="00F40F0C"/>
    <w:rsid w:val="00F42FD2"/>
    <w:rsid w:val="00F4350D"/>
    <w:rsid w:val="00F4352A"/>
    <w:rsid w:val="00F44651"/>
    <w:rsid w:val="00F469E1"/>
    <w:rsid w:val="00F46FA4"/>
    <w:rsid w:val="00F47093"/>
    <w:rsid w:val="00F4766C"/>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114"/>
    <w:rsid w:val="00F673E3"/>
    <w:rsid w:val="00F67F53"/>
    <w:rsid w:val="00F703BE"/>
    <w:rsid w:val="00F71F69"/>
    <w:rsid w:val="00F72052"/>
    <w:rsid w:val="00F72A1E"/>
    <w:rsid w:val="00F72A83"/>
    <w:rsid w:val="00F72B72"/>
    <w:rsid w:val="00F73C22"/>
    <w:rsid w:val="00F73EDE"/>
    <w:rsid w:val="00F74BB9"/>
    <w:rsid w:val="00F7543E"/>
    <w:rsid w:val="00F75582"/>
    <w:rsid w:val="00F75A7F"/>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9056A"/>
    <w:rsid w:val="00F9083B"/>
    <w:rsid w:val="00F90EB9"/>
    <w:rsid w:val="00F90F8D"/>
    <w:rsid w:val="00F91E71"/>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2A3"/>
    <w:rsid w:val="00FA5D49"/>
    <w:rsid w:val="00FA7B90"/>
    <w:rsid w:val="00FB005F"/>
    <w:rsid w:val="00FB1271"/>
    <w:rsid w:val="00FB244D"/>
    <w:rsid w:val="00FB248B"/>
    <w:rsid w:val="00FB2583"/>
    <w:rsid w:val="00FB2629"/>
    <w:rsid w:val="00FB3D52"/>
    <w:rsid w:val="00FB4589"/>
    <w:rsid w:val="00FB46E6"/>
    <w:rsid w:val="00FB4C80"/>
    <w:rsid w:val="00FB6A6A"/>
    <w:rsid w:val="00FB6ACF"/>
    <w:rsid w:val="00FC0206"/>
    <w:rsid w:val="00FC076D"/>
    <w:rsid w:val="00FC3468"/>
    <w:rsid w:val="00FC41E8"/>
    <w:rsid w:val="00FC4767"/>
    <w:rsid w:val="00FC4AD0"/>
    <w:rsid w:val="00FC5AA0"/>
    <w:rsid w:val="00FC5AD2"/>
    <w:rsid w:val="00FC7424"/>
    <w:rsid w:val="00FC7429"/>
    <w:rsid w:val="00FD0394"/>
    <w:rsid w:val="00FD07F6"/>
    <w:rsid w:val="00FD14F7"/>
    <w:rsid w:val="00FD1D12"/>
    <w:rsid w:val="00FD1EC8"/>
    <w:rsid w:val="00FD20E5"/>
    <w:rsid w:val="00FD21A9"/>
    <w:rsid w:val="00FD234F"/>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453A"/>
    <w:rsid w:val="00FE4C7B"/>
    <w:rsid w:val="00FE7336"/>
    <w:rsid w:val="00FE787C"/>
    <w:rsid w:val="00FE7B5F"/>
    <w:rsid w:val="00FF05B7"/>
    <w:rsid w:val="00FF0EE6"/>
    <w:rsid w:val="00FF1440"/>
    <w:rsid w:val="00FF1E31"/>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CED"/>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C0C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0C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0192274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48623139">
      <w:bodyDiv w:val="1"/>
      <w:marLeft w:val="0"/>
      <w:marRight w:val="0"/>
      <w:marTop w:val="0"/>
      <w:marBottom w:val="0"/>
      <w:divBdr>
        <w:top w:val="none" w:sz="0" w:space="0" w:color="auto"/>
        <w:left w:val="none" w:sz="0" w:space="0" w:color="auto"/>
        <w:bottom w:val="none" w:sz="0" w:space="0" w:color="auto"/>
        <w:right w:val="none" w:sz="0" w:space="0" w:color="auto"/>
      </w:divBdr>
    </w:div>
    <w:div w:id="50300789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8196873">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88676823">
      <w:bodyDiv w:val="1"/>
      <w:marLeft w:val="0"/>
      <w:marRight w:val="0"/>
      <w:marTop w:val="0"/>
      <w:marBottom w:val="0"/>
      <w:divBdr>
        <w:top w:val="none" w:sz="0" w:space="0" w:color="auto"/>
        <w:left w:val="none" w:sz="0" w:space="0" w:color="auto"/>
        <w:bottom w:val="none" w:sz="0" w:space="0" w:color="auto"/>
        <w:right w:val="none" w:sz="0" w:space="0" w:color="auto"/>
      </w:divBdr>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136587">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9758438">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87554603">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801143358">
      <w:bodyDiv w:val="1"/>
      <w:marLeft w:val="0"/>
      <w:marRight w:val="0"/>
      <w:marTop w:val="0"/>
      <w:marBottom w:val="0"/>
      <w:divBdr>
        <w:top w:val="none" w:sz="0" w:space="0" w:color="auto"/>
        <w:left w:val="none" w:sz="0" w:space="0" w:color="auto"/>
        <w:bottom w:val="none" w:sz="0" w:space="0" w:color="auto"/>
        <w:right w:val="none" w:sz="0" w:space="0" w:color="auto"/>
      </w:divBdr>
    </w:div>
    <w:div w:id="180180033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823D5-B88E-40E3-ACEE-88CF3E9B3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C84B4915-820D-4E96-A71B-98F04B998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1188</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3</cp:revision>
  <cp:lastPrinted>2008-01-31T06:09:00Z</cp:lastPrinted>
  <dcterms:created xsi:type="dcterms:W3CDTF">2021-01-18T13:23:00Z</dcterms:created>
  <dcterms:modified xsi:type="dcterms:W3CDTF">2021-01-18T13:32:00Z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