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741745EB"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F5724C">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ED6171" w:rsidRPr="00ED6171">
        <w:rPr>
          <w:rFonts w:ascii="Times New Roman" w:eastAsiaTheme="minorHAnsi" w:hAnsi="Times New Roman" w:cstheme="minorBidi"/>
          <w:b/>
          <w:bCs/>
          <w:sz w:val="24"/>
          <w:szCs w:val="28"/>
          <w:lang w:val="en-US"/>
        </w:rPr>
        <w:t>R1-2100731</w:t>
      </w:r>
    </w:p>
    <w:p w14:paraId="421A1909" w14:textId="0EE65334"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F5724C">
        <w:rPr>
          <w:rFonts w:ascii="Times New Roman" w:eastAsiaTheme="minorHAnsi" w:hAnsi="Times New Roman"/>
          <w:b/>
          <w:bCs/>
          <w:sz w:val="24"/>
          <w:szCs w:val="28"/>
          <w:lang w:val="en-US"/>
        </w:rPr>
        <w:t>January</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F5724C">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F5724C">
        <w:rPr>
          <w:rFonts w:ascii="Times New Roman" w:eastAsiaTheme="minorHAnsi" w:hAnsi="Times New Roman"/>
          <w:b/>
          <w:bCs/>
          <w:sz w:val="24"/>
          <w:szCs w:val="28"/>
          <w:lang w:val="en-US"/>
        </w:rPr>
        <w:t>February</w:t>
      </w:r>
      <w:r>
        <w:rPr>
          <w:rFonts w:ascii="Times New Roman" w:eastAsiaTheme="minorHAnsi" w:hAnsi="Times New Roman"/>
          <w:b/>
          <w:bCs/>
          <w:sz w:val="24"/>
          <w:szCs w:val="28"/>
          <w:lang w:val="en-US"/>
        </w:rPr>
        <w:t xml:space="preserve"> </w:t>
      </w:r>
      <w:r w:rsidR="00F5724C">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8B5101">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E3B83F2"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w:t>
      </w:r>
      <w:r w:rsidR="0067003E">
        <w:rPr>
          <w:rFonts w:ascii="Times New Roman" w:hAnsi="Times New Roman"/>
          <w:b/>
          <w:bCs/>
          <w:sz w:val="22"/>
          <w:szCs w:val="22"/>
          <w:lang w:val="en-US"/>
        </w:rPr>
        <w:t>8</w:t>
      </w:r>
      <w:r>
        <w:rPr>
          <w:rFonts w:ascii="Times New Roman" w:hAnsi="Times New Roman"/>
          <w:b/>
          <w:bCs/>
          <w:sz w:val="22"/>
          <w:szCs w:val="22"/>
          <w:lang w:val="en-US"/>
        </w:rPr>
        <w:t>.</w:t>
      </w:r>
      <w:r w:rsidR="00E14679">
        <w:rPr>
          <w:rFonts w:ascii="Times New Roman" w:hAnsi="Times New Roman"/>
          <w:b/>
          <w:bCs/>
          <w:sz w:val="22"/>
          <w:szCs w:val="22"/>
          <w:lang w:val="en-US"/>
        </w:rPr>
        <w:t>1</w:t>
      </w:r>
      <w:r w:rsidR="0067003E">
        <w:rPr>
          <w:rFonts w:ascii="Times New Roman" w:hAnsi="Times New Roman"/>
          <w:b/>
          <w:bCs/>
          <w:sz w:val="22"/>
          <w:szCs w:val="22"/>
          <w:lang w:val="en-US"/>
        </w:rPr>
        <w:t>.1</w:t>
      </w:r>
    </w:p>
    <w:p w14:paraId="5BD454BF" w14:textId="425D7FC0"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p>
    <w:p w14:paraId="7BC40CBC" w14:textId="2A489C88"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36A18">
        <w:rPr>
          <w:rFonts w:ascii="Times New Roman" w:hAnsi="Times New Roman" w:cs="Times New Roman"/>
          <w:b/>
          <w:bCs/>
        </w:rPr>
        <w:t>PUSCH</w:t>
      </w:r>
      <w:r w:rsidR="00562CFC">
        <w:rPr>
          <w:rFonts w:ascii="Times New Roman" w:hAnsi="Times New Roman" w:cs="Times New Roman"/>
          <w:b/>
          <w:bCs/>
        </w:rPr>
        <w:t xml:space="preserve"> repetition</w:t>
      </w:r>
      <w:r w:rsidR="00DB5ED8">
        <w:rPr>
          <w:rFonts w:ascii="Times New Roman" w:hAnsi="Times New Roman" w:cs="Times New Roman"/>
          <w:b/>
          <w:bCs/>
        </w:rPr>
        <w:t xml:space="preserve"> for</w:t>
      </w:r>
      <w:r w:rsidR="00836A18">
        <w:rPr>
          <w:rFonts w:ascii="Times New Roman" w:hAnsi="Times New Roman" w:cs="Times New Roman"/>
          <w:b/>
          <w:bCs/>
        </w:rPr>
        <w:t xml:space="preserve"> coverage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60B62A42" w14:textId="3E7F7D55" w:rsidR="002C3764" w:rsidRDefault="008217BC" w:rsidP="00836A18">
      <w:pPr>
        <w:jc w:val="both"/>
        <w:rPr>
          <w:rFonts w:ascii="Times New Roman" w:hAnsi="Times New Roman" w:cs="Times New Roman"/>
          <w:sz w:val="20"/>
          <w:szCs w:val="20"/>
        </w:rPr>
      </w:pPr>
      <w:r>
        <w:rPr>
          <w:rFonts w:ascii="Times New Roman" w:hAnsi="Times New Roman" w:cs="Times New Roman"/>
          <w:sz w:val="20"/>
          <w:szCs w:val="20"/>
        </w:rPr>
        <w:t>T</w:t>
      </w:r>
      <w:r w:rsidR="002C3764">
        <w:rPr>
          <w:rFonts w:ascii="Times New Roman" w:hAnsi="Times New Roman" w:cs="Times New Roman"/>
          <w:sz w:val="20"/>
          <w:szCs w:val="20"/>
        </w:rPr>
        <w:t>he following agreement</w:t>
      </w:r>
      <w:r>
        <w:rPr>
          <w:rFonts w:ascii="Times New Roman" w:hAnsi="Times New Roman" w:cs="Times New Roman"/>
          <w:sz w:val="20"/>
          <w:szCs w:val="20"/>
        </w:rPr>
        <w:t>s</w:t>
      </w:r>
      <w:r w:rsidR="002C3764">
        <w:rPr>
          <w:rFonts w:ascii="Times New Roman" w:hAnsi="Times New Roman" w:cs="Times New Roman"/>
          <w:sz w:val="20"/>
          <w:szCs w:val="20"/>
        </w:rPr>
        <w:t xml:space="preserve"> w</w:t>
      </w:r>
      <w:r>
        <w:rPr>
          <w:rFonts w:ascii="Times New Roman" w:hAnsi="Times New Roman" w:cs="Times New Roman"/>
          <w:sz w:val="20"/>
          <w:szCs w:val="20"/>
        </w:rPr>
        <w:t>ere</w:t>
      </w:r>
      <w:r w:rsidR="002C3764">
        <w:rPr>
          <w:rFonts w:ascii="Times New Roman" w:hAnsi="Times New Roman" w:cs="Times New Roman"/>
          <w:sz w:val="20"/>
          <w:szCs w:val="20"/>
        </w:rPr>
        <w:t xml:space="preserve"> made regarding PUSCH </w:t>
      </w:r>
      <w:r>
        <w:rPr>
          <w:rFonts w:ascii="Times New Roman" w:hAnsi="Times New Roman" w:cs="Times New Roman"/>
          <w:sz w:val="20"/>
          <w:szCs w:val="20"/>
        </w:rPr>
        <w:t xml:space="preserve">repetition </w:t>
      </w:r>
      <w:r w:rsidR="002C3764">
        <w:rPr>
          <w:rFonts w:ascii="Times New Roman" w:hAnsi="Times New Roman" w:cs="Times New Roman"/>
          <w:sz w:val="20"/>
          <w:szCs w:val="20"/>
        </w:rPr>
        <w:t>enhancements</w:t>
      </w:r>
      <w:r>
        <w:rPr>
          <w:rFonts w:ascii="Times New Roman" w:hAnsi="Times New Roman" w:cs="Times New Roman"/>
          <w:sz w:val="20"/>
          <w:szCs w:val="20"/>
        </w:rPr>
        <w:t xml:space="preserve"> in RAN1#</w:t>
      </w:r>
      <w:r w:rsidR="00FD68AD">
        <w:rPr>
          <w:rFonts w:ascii="Times New Roman" w:hAnsi="Times New Roman" w:cs="Times New Roman"/>
          <w:sz w:val="20"/>
          <w:szCs w:val="20"/>
        </w:rPr>
        <w:t xml:space="preserve"> 100e,</w:t>
      </w:r>
      <w:r>
        <w:rPr>
          <w:rFonts w:ascii="Times New Roman" w:hAnsi="Times New Roman" w:cs="Times New Roman"/>
          <w:sz w:val="20"/>
          <w:szCs w:val="20"/>
        </w:rPr>
        <w:t>102e</w:t>
      </w:r>
      <w:r w:rsidR="00FD68AD">
        <w:rPr>
          <w:rFonts w:ascii="Times New Roman" w:hAnsi="Times New Roman" w:cs="Times New Roman"/>
          <w:sz w:val="20"/>
          <w:szCs w:val="20"/>
        </w:rPr>
        <w:t>,</w:t>
      </w:r>
      <w:r>
        <w:rPr>
          <w:rFonts w:ascii="Times New Roman" w:hAnsi="Times New Roman" w:cs="Times New Roman"/>
          <w:sz w:val="20"/>
          <w:szCs w:val="20"/>
        </w:rPr>
        <w:t xml:space="preserve"> and 103e:</w:t>
      </w: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47C0216D" w14:textId="73390755" w:rsidR="0025169F" w:rsidRPr="008217BC" w:rsidRDefault="0025169F" w:rsidP="0025169F">
            <w:pPr>
              <w:rPr>
                <w:rFonts w:eastAsia="DengXian"/>
                <w:sz w:val="18"/>
                <w:szCs w:val="18"/>
              </w:rPr>
            </w:pPr>
            <w:r w:rsidRPr="008217BC">
              <w:rPr>
                <w:sz w:val="18"/>
                <w:szCs w:val="18"/>
                <w:highlight w:val="green"/>
              </w:rPr>
              <w:t>Agreements</w:t>
            </w:r>
            <w:r w:rsidRPr="008217BC">
              <w:rPr>
                <w:sz w:val="18"/>
                <w:szCs w:val="18"/>
              </w:rPr>
              <w:t>:</w:t>
            </w:r>
          </w:p>
          <w:p w14:paraId="30CF3115" w14:textId="77777777" w:rsidR="0025169F" w:rsidRPr="008217BC" w:rsidRDefault="0025169F" w:rsidP="0025169F">
            <w:pPr>
              <w:pStyle w:val="ListParagraph"/>
              <w:numPr>
                <w:ilvl w:val="0"/>
                <w:numId w:val="3"/>
              </w:numPr>
              <w:rPr>
                <w:sz w:val="18"/>
                <w:szCs w:val="18"/>
              </w:rPr>
            </w:pPr>
            <w:r w:rsidRPr="008217BC">
              <w:rPr>
                <w:sz w:val="18"/>
                <w:szCs w:val="18"/>
              </w:rPr>
              <w:t>Prioritize the study on the performance and specification impacts on time domain based solutions for PUSCH enhancements, including</w:t>
            </w:r>
          </w:p>
          <w:p w14:paraId="179ACE58" w14:textId="6479C3AD" w:rsidR="0025169F" w:rsidRPr="008217BC" w:rsidRDefault="0025169F" w:rsidP="0025169F">
            <w:pPr>
              <w:pStyle w:val="ListParagraph"/>
              <w:numPr>
                <w:ilvl w:val="1"/>
                <w:numId w:val="3"/>
              </w:numPr>
              <w:rPr>
                <w:sz w:val="18"/>
                <w:szCs w:val="18"/>
              </w:rPr>
            </w:pPr>
            <w:r w:rsidRPr="008217BC">
              <w:rPr>
                <w:sz w:val="18"/>
                <w:szCs w:val="18"/>
              </w:rPr>
              <w:t xml:space="preserve">Increase the number of repetitions for PUSCH </w:t>
            </w:r>
            <w:r w:rsidR="008217BC" w:rsidRPr="008217BC">
              <w:rPr>
                <w:sz w:val="18"/>
                <w:szCs w:val="18"/>
              </w:rPr>
              <w:t>repetition type</w:t>
            </w:r>
            <w:r w:rsidRPr="008217BC">
              <w:rPr>
                <w:sz w:val="18"/>
                <w:szCs w:val="18"/>
              </w:rPr>
              <w:t xml:space="preserve"> A</w:t>
            </w:r>
            <w:r w:rsidRPr="008217BC">
              <w:rPr>
                <w:strike/>
                <w:sz w:val="18"/>
                <w:szCs w:val="18"/>
              </w:rPr>
              <w:t xml:space="preserve"> </w:t>
            </w:r>
          </w:p>
          <w:p w14:paraId="28EAC609" w14:textId="77777777" w:rsidR="0025169F" w:rsidRPr="008217BC" w:rsidRDefault="0025169F" w:rsidP="0025169F">
            <w:pPr>
              <w:pStyle w:val="ListParagraph"/>
              <w:numPr>
                <w:ilvl w:val="2"/>
                <w:numId w:val="3"/>
              </w:numPr>
              <w:rPr>
                <w:sz w:val="18"/>
                <w:szCs w:val="18"/>
                <w:u w:val="single"/>
              </w:rPr>
            </w:pPr>
            <w:r w:rsidRPr="008217BC">
              <w:rPr>
                <w:sz w:val="18"/>
                <w:szCs w:val="18"/>
              </w:rPr>
              <w:t>PUSCH repetition with non-consecutive slots/on the basis of available slots for TDD</w:t>
            </w:r>
          </w:p>
          <w:p w14:paraId="51BC065C" w14:textId="77777777" w:rsidR="0025169F" w:rsidRPr="008217BC" w:rsidRDefault="0025169F" w:rsidP="0025169F">
            <w:pPr>
              <w:pStyle w:val="ListParagraph"/>
              <w:numPr>
                <w:ilvl w:val="2"/>
                <w:numId w:val="3"/>
              </w:numPr>
              <w:rPr>
                <w:sz w:val="18"/>
                <w:szCs w:val="18"/>
              </w:rPr>
            </w:pPr>
            <w:r w:rsidRPr="008217BC">
              <w:rPr>
                <w:sz w:val="18"/>
                <w:szCs w:val="18"/>
              </w:rPr>
              <w:t>Note: whether increasing the number of PUSCH repetition for FDD depends on the outcome of AI 8.8.1.1.</w:t>
            </w:r>
          </w:p>
          <w:p w14:paraId="354CCF04" w14:textId="77777777" w:rsidR="0025169F" w:rsidRPr="008217BC" w:rsidRDefault="0025169F" w:rsidP="0025169F">
            <w:pPr>
              <w:pStyle w:val="ListParagraph"/>
              <w:numPr>
                <w:ilvl w:val="1"/>
                <w:numId w:val="3"/>
              </w:numPr>
              <w:rPr>
                <w:sz w:val="18"/>
                <w:szCs w:val="18"/>
              </w:rPr>
            </w:pPr>
            <w:r w:rsidRPr="008217BC">
              <w:rPr>
                <w:sz w:val="18"/>
                <w:szCs w:val="18"/>
              </w:rPr>
              <w:t>Enhancement on PUSCH repetition Type B</w:t>
            </w:r>
          </w:p>
          <w:p w14:paraId="5EAE8CE4" w14:textId="77777777" w:rsidR="0025169F" w:rsidRPr="008217BC" w:rsidRDefault="0025169F" w:rsidP="0025169F">
            <w:pPr>
              <w:pStyle w:val="ListParagraph"/>
              <w:numPr>
                <w:ilvl w:val="2"/>
                <w:numId w:val="3"/>
              </w:numPr>
              <w:rPr>
                <w:sz w:val="18"/>
                <w:szCs w:val="18"/>
              </w:rPr>
            </w:pPr>
            <w:r w:rsidRPr="008217BC">
              <w:rPr>
                <w:sz w:val="18"/>
                <w:szCs w:val="18"/>
              </w:rPr>
              <w:t>E.g., actual repetition across the slot boundary, or the length of actual repetition larger than 14 symbols, etc.</w:t>
            </w:r>
          </w:p>
          <w:p w14:paraId="26E5ABD2" w14:textId="77777777" w:rsidR="00132664" w:rsidRPr="008217BC" w:rsidRDefault="00132664" w:rsidP="00132664">
            <w:pPr>
              <w:pStyle w:val="ListParagraph"/>
              <w:ind w:left="0"/>
              <w:rPr>
                <w:bCs/>
                <w:sz w:val="18"/>
                <w:szCs w:val="18"/>
              </w:rPr>
            </w:pPr>
          </w:p>
          <w:p w14:paraId="03328694" w14:textId="6AF91038" w:rsidR="008217BC" w:rsidRPr="008217BC" w:rsidRDefault="008217BC" w:rsidP="008217BC">
            <w:pPr>
              <w:tabs>
                <w:tab w:val="left" w:pos="1701"/>
              </w:tabs>
              <w:spacing w:after="180"/>
              <w:ind w:left="360" w:hanging="360"/>
              <w:rPr>
                <w:bCs/>
                <w:sz w:val="18"/>
                <w:szCs w:val="18"/>
              </w:rPr>
            </w:pPr>
            <w:r w:rsidRPr="008217BC">
              <w:rPr>
                <w:bCs/>
                <w:sz w:val="18"/>
                <w:szCs w:val="18"/>
                <w:highlight w:val="green"/>
              </w:rPr>
              <w:t xml:space="preserve">Agreements: </w:t>
            </w:r>
            <w:r w:rsidR="00B47D1F">
              <w:rPr>
                <w:bCs/>
                <w:sz w:val="18"/>
                <w:szCs w:val="18"/>
              </w:rPr>
              <w:t xml:space="preserve"> </w:t>
            </w:r>
            <w:r w:rsidRPr="008217BC">
              <w:rPr>
                <w:bCs/>
                <w:sz w:val="18"/>
                <w:szCs w:val="18"/>
              </w:rPr>
              <w:t>Capture the following observation into the TR.</w:t>
            </w:r>
          </w:p>
          <w:p w14:paraId="44619AEE" w14:textId="77777777" w:rsidR="008217BC" w:rsidRPr="008217BC" w:rsidRDefault="008217BC" w:rsidP="008217BC">
            <w:pPr>
              <w:numPr>
                <w:ilvl w:val="0"/>
                <w:numId w:val="5"/>
              </w:numPr>
              <w:rPr>
                <w:sz w:val="18"/>
                <w:szCs w:val="18"/>
              </w:rPr>
            </w:pPr>
            <w:r w:rsidRPr="008217BC">
              <w:rPr>
                <w:sz w:val="18"/>
                <w:szCs w:val="18"/>
              </w:rPr>
              <w:t xml:space="preserve">Enhancements on </w:t>
            </w:r>
            <w:bookmarkStart w:id="1" w:name="_Hlk61001577"/>
            <w:r w:rsidRPr="008217BC">
              <w:rPr>
                <w:sz w:val="18"/>
                <w:szCs w:val="18"/>
              </w:rPr>
              <w:t xml:space="preserve">PUSCH repetition type A </w:t>
            </w:r>
            <w:bookmarkEnd w:id="1"/>
            <w:r w:rsidRPr="008217BC">
              <w:rPr>
                <w:sz w:val="18"/>
                <w:szCs w:val="18"/>
              </w:rPr>
              <w:t>is beneficial for PUSCH coverage enhancements for TDD. It is recommended to support enhancements on PUSCH repetition type A in Rel-17, including the following two options (potential down-selection during the WI phase):</w:t>
            </w:r>
          </w:p>
          <w:p w14:paraId="6F817B05" w14:textId="77777777" w:rsidR="008217BC" w:rsidRPr="008217BC" w:rsidRDefault="008217BC" w:rsidP="008217BC">
            <w:pPr>
              <w:numPr>
                <w:ilvl w:val="1"/>
                <w:numId w:val="5"/>
              </w:numPr>
              <w:rPr>
                <w:sz w:val="18"/>
                <w:szCs w:val="18"/>
              </w:rPr>
            </w:pPr>
            <w:r w:rsidRPr="008217BC">
              <w:rPr>
                <w:sz w:val="18"/>
                <w:szCs w:val="18"/>
              </w:rPr>
              <w:t>Option 1: Increasing the maximum number of repetitions, e.g., up to 32.</w:t>
            </w:r>
          </w:p>
          <w:p w14:paraId="55596880" w14:textId="1CFCC39A" w:rsidR="008217BC" w:rsidRDefault="008217BC" w:rsidP="008217BC">
            <w:pPr>
              <w:numPr>
                <w:ilvl w:val="1"/>
                <w:numId w:val="5"/>
              </w:numPr>
              <w:rPr>
                <w:sz w:val="18"/>
                <w:szCs w:val="18"/>
              </w:rPr>
            </w:pPr>
            <w:r w:rsidRPr="008217BC">
              <w:rPr>
                <w:sz w:val="18"/>
                <w:szCs w:val="18"/>
              </w:rPr>
              <w:t>Option 2: The number of repetitions counted on the basis of available UL slots.</w:t>
            </w:r>
          </w:p>
          <w:p w14:paraId="27E8AD2F" w14:textId="2448AD6E" w:rsidR="00FD68AD" w:rsidRDefault="00FD68AD" w:rsidP="00FD68AD">
            <w:pPr>
              <w:rPr>
                <w:sz w:val="18"/>
                <w:szCs w:val="18"/>
              </w:rPr>
            </w:pPr>
          </w:p>
          <w:p w14:paraId="13322822" w14:textId="19396C6C" w:rsidR="00FD68AD" w:rsidRPr="00FD68AD" w:rsidRDefault="00FD68AD" w:rsidP="00FD68AD">
            <w:pPr>
              <w:tabs>
                <w:tab w:val="left" w:pos="1701"/>
              </w:tabs>
              <w:spacing w:after="180"/>
              <w:ind w:left="360" w:hanging="360"/>
              <w:rPr>
                <w:bCs/>
                <w:sz w:val="18"/>
                <w:szCs w:val="18"/>
                <w:highlight w:val="green"/>
              </w:rPr>
            </w:pPr>
            <w:r w:rsidRPr="00FD68AD">
              <w:rPr>
                <w:bCs/>
                <w:sz w:val="18"/>
                <w:szCs w:val="18"/>
                <w:highlight w:val="green"/>
              </w:rPr>
              <w:t>Agreements:</w:t>
            </w:r>
            <w:r>
              <w:rPr>
                <w:bCs/>
                <w:sz w:val="18"/>
                <w:szCs w:val="18"/>
              </w:rPr>
              <w:br/>
            </w:r>
            <w:r w:rsidRPr="00FD68AD">
              <w:rPr>
                <w:bCs/>
                <w:sz w:val="18"/>
                <w:szCs w:val="18"/>
              </w:rPr>
              <w:t>For numberofrepetitions for PUSCH repetition type A and type B, {3, 8} are additionally supported. That is, {1, 2, 3, 4, 7, 8, 12, 16} are supported for numberofrepetitions.</w:t>
            </w:r>
          </w:p>
          <w:p w14:paraId="4A9C8E68" w14:textId="23D469A5" w:rsidR="008217BC" w:rsidRPr="00AD7F72" w:rsidRDefault="008217BC" w:rsidP="00132664">
            <w:pPr>
              <w:pStyle w:val="ListParagraph"/>
              <w:ind w:left="0"/>
              <w:rPr>
                <w:bCs/>
                <w:sz w:val="16"/>
                <w:szCs w:val="16"/>
              </w:rPr>
            </w:pPr>
          </w:p>
        </w:tc>
      </w:tr>
    </w:tbl>
    <w:p w14:paraId="5967B066" w14:textId="77777777" w:rsidR="008D0A91" w:rsidRDefault="008D0A91" w:rsidP="00836A18">
      <w:pPr>
        <w:jc w:val="both"/>
        <w:rPr>
          <w:rFonts w:ascii="Times New Roman" w:hAnsi="Times New Roman" w:cs="Times New Roman"/>
          <w:sz w:val="20"/>
          <w:szCs w:val="20"/>
        </w:rPr>
      </w:pPr>
    </w:p>
    <w:p w14:paraId="08B42BB5" w14:textId="7C6472A1" w:rsidR="00254662" w:rsidRPr="001D5444" w:rsidRDefault="002946AD" w:rsidP="008F7262">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EB22FC">
        <w:rPr>
          <w:rFonts w:ascii="Times New Roman" w:hAnsi="Times New Roman" w:cs="Times New Roman"/>
          <w:sz w:val="20"/>
          <w:szCs w:val="20"/>
        </w:rPr>
        <w:t>t</w:t>
      </w:r>
      <w:r w:rsidR="00836A18">
        <w:rPr>
          <w:rFonts w:ascii="Times New Roman" w:hAnsi="Times New Roman" w:cs="Times New Roman"/>
          <w:sz w:val="20"/>
          <w:szCs w:val="20"/>
        </w:rPr>
        <w:t xml:space="preserve">he </w:t>
      </w:r>
      <w:r w:rsidR="00836A18" w:rsidRPr="004936B9">
        <w:rPr>
          <w:rFonts w:ascii="Times New Roman" w:hAnsi="Times New Roman" w:cs="Times New Roman"/>
          <w:sz w:val="20"/>
          <w:szCs w:val="20"/>
        </w:rPr>
        <w:t>possible enhancements</w:t>
      </w:r>
      <w:r>
        <w:rPr>
          <w:rFonts w:ascii="Times New Roman" w:hAnsi="Times New Roman" w:cs="Times New Roman"/>
          <w:sz w:val="20"/>
          <w:szCs w:val="20"/>
        </w:rPr>
        <w:t xml:space="preserve"> </w:t>
      </w:r>
      <w:r w:rsidR="00EB22FC">
        <w:rPr>
          <w:rFonts w:ascii="Times New Roman" w:hAnsi="Times New Roman" w:cs="Times New Roman"/>
          <w:sz w:val="20"/>
          <w:szCs w:val="20"/>
        </w:rPr>
        <w:t xml:space="preserve">related to time-domain </w:t>
      </w:r>
      <w:r w:rsidR="00B47D1F">
        <w:rPr>
          <w:rFonts w:ascii="Times New Roman" w:hAnsi="Times New Roman" w:cs="Times New Roman"/>
          <w:sz w:val="20"/>
          <w:szCs w:val="20"/>
        </w:rPr>
        <w:t xml:space="preserve">PUSCH </w:t>
      </w:r>
      <w:r w:rsidR="00EB22FC">
        <w:rPr>
          <w:rFonts w:ascii="Times New Roman" w:hAnsi="Times New Roman" w:cs="Times New Roman"/>
          <w:sz w:val="20"/>
          <w:szCs w:val="20"/>
        </w:rPr>
        <w:t>enhancements</w:t>
      </w:r>
      <w:r w:rsidR="00B47D1F">
        <w:rPr>
          <w:rFonts w:ascii="Times New Roman" w:hAnsi="Times New Roman" w:cs="Times New Roman"/>
          <w:sz w:val="20"/>
          <w:szCs w:val="20"/>
        </w:rPr>
        <w:t xml:space="preserve"> </w:t>
      </w:r>
      <w:r>
        <w:rPr>
          <w:rFonts w:ascii="Times New Roman" w:hAnsi="Times New Roman" w:cs="Times New Roman"/>
          <w:sz w:val="20"/>
          <w:szCs w:val="20"/>
        </w:rPr>
        <w:t xml:space="preserve">are </w:t>
      </w:r>
      <w:r w:rsidR="00EB22FC">
        <w:rPr>
          <w:rFonts w:ascii="Times New Roman" w:hAnsi="Times New Roman" w:cs="Times New Roman"/>
          <w:sz w:val="20"/>
          <w:szCs w:val="20"/>
        </w:rPr>
        <w:t>discussed.</w:t>
      </w:r>
    </w:p>
    <w:p w14:paraId="22F95BBD" w14:textId="06E57BC9" w:rsidR="009A7C6F" w:rsidRDefault="005D3BB7" w:rsidP="009A7C6F">
      <w:pPr>
        <w:pStyle w:val="Heading1"/>
      </w:pPr>
      <w:r>
        <w:t xml:space="preserve">Time domain </w:t>
      </w:r>
      <w:r w:rsidR="003732FD">
        <w:t>PUSCH repetition enhancements</w:t>
      </w:r>
    </w:p>
    <w:p w14:paraId="571E1262" w14:textId="50781982" w:rsidR="00971136" w:rsidRPr="00971136" w:rsidRDefault="003F546F" w:rsidP="00971136">
      <w:pPr>
        <w:pStyle w:val="Heading2"/>
      </w:pPr>
      <w:r>
        <w:t>Variable number of repetition</w:t>
      </w:r>
      <w:r w:rsidR="00971136">
        <w:t xml:space="preserve"> due to dynamic TDD</w:t>
      </w:r>
    </w:p>
    <w:p w14:paraId="16F32990" w14:textId="5F9D8FA9" w:rsidR="0026262E" w:rsidRDefault="004826D5"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In a dynamic TDD frame configuration, some configured flexible slots can be dynamically indicated as downlink slots. This creates the possibility of having a variable number of uplink </w:t>
      </w:r>
      <w:r w:rsidR="00365E10">
        <w:rPr>
          <w:rFonts w:ascii="Times New Roman" w:hAnsi="Times New Roman" w:cs="Times New Roman"/>
          <w:bCs/>
          <w:iCs/>
          <w:sz w:val="20"/>
          <w:szCs w:val="20"/>
        </w:rPr>
        <w:t>repetitions</w:t>
      </w:r>
      <w:r>
        <w:rPr>
          <w:rFonts w:ascii="Times New Roman" w:hAnsi="Times New Roman" w:cs="Times New Roman"/>
          <w:bCs/>
          <w:iCs/>
          <w:sz w:val="20"/>
          <w:szCs w:val="20"/>
        </w:rPr>
        <w:t xml:space="preserve"> transmitted. For example, with an uplink configured grant configured with a periodicity of one slot, Figure 1 illustrates how the number of actual uplink repetitions transmitted </w:t>
      </w:r>
      <w:r w:rsidR="00552028">
        <w:rPr>
          <w:rFonts w:ascii="Times New Roman" w:hAnsi="Times New Roman" w:cs="Times New Roman"/>
          <w:bCs/>
          <w:iCs/>
          <w:sz w:val="20"/>
          <w:szCs w:val="20"/>
        </w:rPr>
        <w:t>increases</w:t>
      </w:r>
      <w:r>
        <w:rPr>
          <w:rFonts w:ascii="Times New Roman" w:hAnsi="Times New Roman" w:cs="Times New Roman"/>
          <w:bCs/>
          <w:iCs/>
          <w:sz w:val="20"/>
          <w:szCs w:val="20"/>
        </w:rPr>
        <w:t xml:space="preserve"> </w:t>
      </w:r>
      <w:r w:rsidR="00552028">
        <w:rPr>
          <w:rFonts w:ascii="Times New Roman" w:hAnsi="Times New Roman" w:cs="Times New Roman"/>
          <w:bCs/>
          <w:iCs/>
          <w:sz w:val="20"/>
          <w:szCs w:val="20"/>
        </w:rPr>
        <w:t>when all flexible slots are indicated by SFI as uplink slots</w:t>
      </w:r>
      <w:r>
        <w:rPr>
          <w:rFonts w:ascii="Times New Roman" w:hAnsi="Times New Roman" w:cs="Times New Roman"/>
          <w:bCs/>
          <w:iCs/>
          <w:sz w:val="20"/>
          <w:szCs w:val="20"/>
        </w:rPr>
        <w:t xml:space="preserve">. As illustrated in the figure, to achieve a nominal number of say 6 repetitions required to reach the desired HARQ operating point, the bundle must be extended by 8 additional slot to overcome repetitions not transmitted in such flexible slots. </w:t>
      </w:r>
      <w:r w:rsidR="00365E10" w:rsidRPr="0058109D">
        <w:rPr>
          <w:rFonts w:ascii="Times New Roman" w:hAnsi="Times New Roman" w:cs="Times New Roman"/>
          <w:i/>
          <w:iCs/>
          <w:sz w:val="20"/>
          <w:szCs w:val="20"/>
          <w:lang w:val="en-GB" w:eastAsia="zh-CN"/>
        </w:rPr>
        <w:t>RepK</w:t>
      </w:r>
      <w:r w:rsidR="00365E10" w:rsidRPr="0058109D">
        <w:rPr>
          <w:rFonts w:ascii="Times New Roman" w:hAnsi="Times New Roman" w:cs="Times New Roman"/>
          <w:sz w:val="20"/>
          <w:szCs w:val="20"/>
          <w:lang w:val="en-GB" w:eastAsia="zh-CN"/>
        </w:rPr>
        <w:t xml:space="preserve"> should </w:t>
      </w:r>
      <w:r w:rsidR="00365E10">
        <w:rPr>
          <w:rFonts w:ascii="Times New Roman" w:hAnsi="Times New Roman" w:cs="Times New Roman"/>
          <w:sz w:val="20"/>
          <w:szCs w:val="20"/>
          <w:lang w:val="en-GB" w:eastAsia="zh-CN"/>
        </w:rPr>
        <w:t xml:space="preserve">therefore </w:t>
      </w:r>
      <w:r w:rsidR="00365E10" w:rsidRPr="0058109D">
        <w:rPr>
          <w:rFonts w:ascii="Times New Roman" w:hAnsi="Times New Roman" w:cs="Times New Roman"/>
          <w:sz w:val="20"/>
          <w:szCs w:val="20"/>
          <w:lang w:val="en-GB" w:eastAsia="zh-CN"/>
        </w:rPr>
        <w:t>be configured larger than usual to accommodate for</w:t>
      </w:r>
      <w:r w:rsidR="00365E10">
        <w:rPr>
          <w:rFonts w:ascii="Times New Roman" w:hAnsi="Times New Roman" w:cs="Times New Roman"/>
          <w:sz w:val="20"/>
          <w:szCs w:val="20"/>
          <w:lang w:val="en-GB" w:eastAsia="zh-CN"/>
        </w:rPr>
        <w:t xml:space="preserve"> dynamically indicated downlink </w:t>
      </w:r>
      <w:r w:rsidR="00365E10" w:rsidRPr="0058109D">
        <w:rPr>
          <w:rFonts w:ascii="Times New Roman" w:hAnsi="Times New Roman" w:cs="Times New Roman"/>
          <w:sz w:val="20"/>
          <w:szCs w:val="20"/>
          <w:lang w:val="en-GB" w:eastAsia="zh-CN"/>
        </w:rPr>
        <w:t xml:space="preserve">slot switches </w:t>
      </w:r>
      <w:r w:rsidR="00365E10">
        <w:rPr>
          <w:rFonts w:ascii="Times New Roman" w:hAnsi="Times New Roman" w:cs="Times New Roman"/>
          <w:sz w:val="20"/>
          <w:szCs w:val="20"/>
          <w:lang w:val="en-GB" w:eastAsia="zh-CN"/>
        </w:rPr>
        <w:t>in dynamic TDD.</w:t>
      </w:r>
    </w:p>
    <w:p w14:paraId="30D1769B" w14:textId="3788F88B" w:rsidR="0026262E" w:rsidRDefault="0026262E" w:rsidP="00AC452E">
      <w:pPr>
        <w:spacing w:before="120" w:after="120"/>
        <w:jc w:val="both"/>
        <w:rPr>
          <w:rFonts w:ascii="Times New Roman" w:hAnsi="Times New Roman" w:cs="Times New Roman"/>
          <w:bCs/>
          <w:iCs/>
          <w:sz w:val="20"/>
          <w:szCs w:val="20"/>
        </w:rPr>
      </w:pPr>
    </w:p>
    <w:p w14:paraId="5104D827" w14:textId="6DB6888B" w:rsidR="0026262E" w:rsidRDefault="0058109D" w:rsidP="004826D5">
      <w:pPr>
        <w:spacing w:before="120" w:after="120"/>
        <w:jc w:val="center"/>
        <w:rPr>
          <w:rFonts w:ascii="Times New Roman" w:hAnsi="Times New Roman" w:cs="Times New Roman"/>
          <w:bCs/>
          <w:iCs/>
          <w:sz w:val="20"/>
          <w:szCs w:val="20"/>
        </w:rPr>
      </w:pPr>
      <w:r>
        <w:rPr>
          <w:rFonts w:ascii="Times New Roman" w:hAnsi="Times New Roman" w:cs="Times New Roman"/>
          <w:bCs/>
          <w:iCs/>
          <w:noProof/>
          <w:sz w:val="20"/>
          <w:szCs w:val="20"/>
        </w:rPr>
        <w:lastRenderedPageBreak/>
        <w:drawing>
          <wp:inline distT="0" distB="0" distL="0" distR="0" wp14:anchorId="3728CA49" wp14:editId="098ECEAC">
            <wp:extent cx="6047740" cy="10112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4012" cy="1025648"/>
                    </a:xfrm>
                    <a:prstGeom prst="rect">
                      <a:avLst/>
                    </a:prstGeom>
                    <a:noFill/>
                  </pic:spPr>
                </pic:pic>
              </a:graphicData>
            </a:graphic>
          </wp:inline>
        </w:drawing>
      </w:r>
    </w:p>
    <w:p w14:paraId="120D436F" w14:textId="7CFC13EC" w:rsidR="0026262E" w:rsidRDefault="00A51EA7" w:rsidP="004826D5">
      <w:pPr>
        <w:spacing w:before="12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1749C396" wp14:editId="378132B5">
            <wp:extent cx="6019800" cy="126784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2009" cy="1280942"/>
                    </a:xfrm>
                    <a:prstGeom prst="rect">
                      <a:avLst/>
                    </a:prstGeom>
                    <a:noFill/>
                  </pic:spPr>
                </pic:pic>
              </a:graphicData>
            </a:graphic>
          </wp:inline>
        </w:drawing>
      </w:r>
      <w:r w:rsidR="004826D5">
        <w:rPr>
          <w:rFonts w:ascii="Times New Roman" w:hAnsi="Times New Roman" w:cs="Times New Roman"/>
          <w:bCs/>
          <w:iCs/>
          <w:sz w:val="20"/>
          <w:szCs w:val="20"/>
        </w:rPr>
        <w:br/>
        <w:t xml:space="preserve">Figure 1: RepK extended to 16 to </w:t>
      </w:r>
      <w:r w:rsidR="00222B50">
        <w:rPr>
          <w:rFonts w:ascii="Times New Roman" w:hAnsi="Times New Roman" w:cs="Times New Roman"/>
          <w:bCs/>
          <w:iCs/>
          <w:sz w:val="20"/>
          <w:szCs w:val="20"/>
        </w:rPr>
        <w:t>achieve</w:t>
      </w:r>
      <w:r w:rsidR="004826D5">
        <w:rPr>
          <w:rFonts w:ascii="Times New Roman" w:hAnsi="Times New Roman" w:cs="Times New Roman"/>
          <w:bCs/>
          <w:iCs/>
          <w:sz w:val="20"/>
          <w:szCs w:val="20"/>
        </w:rPr>
        <w:t xml:space="preserve"> a nominal number of 6 repetitions in a dynamic TDD frame configuration.</w:t>
      </w:r>
      <w:r w:rsidR="004826D5">
        <w:rPr>
          <w:rFonts w:ascii="Times New Roman" w:hAnsi="Times New Roman" w:cs="Times New Roman"/>
          <w:bCs/>
          <w:iCs/>
          <w:sz w:val="20"/>
          <w:szCs w:val="20"/>
        </w:rPr>
        <w:br/>
      </w:r>
    </w:p>
    <w:p w14:paraId="5922E0AF" w14:textId="1BCB6221" w:rsidR="00365E10" w:rsidRPr="00365E10" w:rsidRDefault="00365E10" w:rsidP="00365E10">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The CG timer is configured and maintained per HARQ process. The CG timer governs the total time needed to transmit a TB and reach the required HARQ operating point, considering the target number of retransmissions and repetitions. For this reason, the CG timer should be set to at least a duration </w:t>
      </w:r>
      <w:r w:rsidRPr="00AA5DAF">
        <w:rPr>
          <w:rFonts w:ascii="Times New Roman" w:hAnsi="Times New Roman" w:cs="Times New Roman"/>
          <w:bCs/>
          <w:i/>
          <w:sz w:val="20"/>
          <w:szCs w:val="20"/>
          <w:lang w:val="en-GB"/>
        </w:rPr>
        <w:t>RepK</w:t>
      </w:r>
      <w:r>
        <w:rPr>
          <w:rFonts w:ascii="Times New Roman" w:hAnsi="Times New Roman" w:cs="Times New Roman"/>
          <w:bCs/>
          <w:iCs/>
          <w:sz w:val="20"/>
          <w:szCs w:val="20"/>
          <w:lang w:val="en-GB"/>
        </w:rPr>
        <w:t xml:space="preserve"> </w:t>
      </w:r>
      <w:r>
        <w:rPr>
          <w:rFonts w:ascii="Calibri" w:hAnsi="Calibri" w:cs="Calibri"/>
          <w:bCs/>
          <w:iCs/>
          <w:sz w:val="20"/>
          <w:szCs w:val="20"/>
          <w:lang w:val="en-GB"/>
        </w:rPr>
        <w:t>×</w:t>
      </w:r>
      <w:r>
        <w:rPr>
          <w:rFonts w:ascii="Times New Roman" w:hAnsi="Times New Roman" w:cs="Times New Roman"/>
          <w:bCs/>
          <w:iCs/>
          <w:sz w:val="20"/>
          <w:szCs w:val="20"/>
          <w:lang w:val="en-GB"/>
        </w:rPr>
        <w:t xml:space="preserve"> slot duration at a minimum, i.e. time needed to transmit </w:t>
      </w:r>
      <w:r w:rsidR="001C195F">
        <w:rPr>
          <w:rFonts w:ascii="Times New Roman" w:hAnsi="Times New Roman" w:cs="Times New Roman"/>
          <w:bCs/>
          <w:iCs/>
          <w:sz w:val="20"/>
          <w:szCs w:val="20"/>
          <w:lang w:val="en-GB"/>
        </w:rPr>
        <w:t>one</w:t>
      </w:r>
      <w:r>
        <w:rPr>
          <w:rFonts w:ascii="Times New Roman" w:hAnsi="Times New Roman" w:cs="Times New Roman"/>
          <w:bCs/>
          <w:iCs/>
          <w:sz w:val="20"/>
          <w:szCs w:val="20"/>
          <w:lang w:val="en-GB"/>
        </w:rPr>
        <w:t xml:space="preserve"> full bundle.</w:t>
      </w:r>
    </w:p>
    <w:p w14:paraId="25EB5F42" w14:textId="60CAB73B" w:rsidR="007648DA" w:rsidRPr="007648DA" w:rsidRDefault="007648DA" w:rsidP="002C0A51">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sidR="002C0A51">
        <w:rPr>
          <w:rFonts w:ascii="Times New Roman" w:hAnsi="Times New Roman" w:cs="Times New Roman"/>
          <w:i/>
          <w:iCs/>
          <w:sz w:val="20"/>
          <w:szCs w:val="20"/>
          <w:lang w:val="en-GB" w:eastAsia="zh-CN"/>
        </w:rPr>
        <w:tab/>
      </w:r>
      <w:r w:rsidR="006A12FE" w:rsidRPr="006A12FE">
        <w:rPr>
          <w:rFonts w:ascii="Times New Roman" w:hAnsi="Times New Roman" w:cs="Times New Roman"/>
          <w:sz w:val="20"/>
          <w:szCs w:val="20"/>
          <w:lang w:val="en-GB" w:eastAsia="zh-CN"/>
        </w:rPr>
        <w:t>In</w:t>
      </w:r>
      <w:r w:rsidR="006A12FE">
        <w:rPr>
          <w:rFonts w:ascii="Times New Roman" w:hAnsi="Times New Roman" w:cs="Times New Roman"/>
          <w:sz w:val="20"/>
          <w:szCs w:val="20"/>
          <w:lang w:val="en-GB" w:eastAsia="zh-CN"/>
        </w:rPr>
        <w:t xml:space="preserve"> dynamic</w:t>
      </w:r>
      <w:r w:rsidR="006A12FE" w:rsidRPr="006A12FE">
        <w:rPr>
          <w:rFonts w:ascii="Times New Roman" w:hAnsi="Times New Roman" w:cs="Times New Roman"/>
          <w:sz w:val="20"/>
          <w:szCs w:val="20"/>
          <w:lang w:val="en-GB" w:eastAsia="zh-CN"/>
        </w:rPr>
        <w:t xml:space="preserve"> TDD scenario, </w:t>
      </w:r>
      <w:r w:rsidR="006A12FE">
        <w:rPr>
          <w:rFonts w:ascii="Times New Roman" w:hAnsi="Times New Roman" w:cs="Times New Roman"/>
          <w:sz w:val="20"/>
          <w:szCs w:val="20"/>
          <w:lang w:val="en-GB" w:eastAsia="zh-CN"/>
        </w:rPr>
        <w:t>the</w:t>
      </w:r>
      <w:r w:rsidR="006A12FE" w:rsidRPr="006A12FE">
        <w:rPr>
          <w:rFonts w:ascii="Times New Roman" w:hAnsi="Times New Roman" w:cs="Times New Roman"/>
          <w:sz w:val="20"/>
          <w:szCs w:val="20"/>
          <w:lang w:val="en-GB" w:eastAsia="zh-CN"/>
        </w:rPr>
        <w:t xml:space="preserve"> number of </w:t>
      </w:r>
      <w:r w:rsidR="006A12FE">
        <w:rPr>
          <w:rFonts w:ascii="Times New Roman" w:hAnsi="Times New Roman" w:cs="Times New Roman"/>
          <w:sz w:val="20"/>
          <w:szCs w:val="20"/>
          <w:lang w:val="en-GB" w:eastAsia="zh-CN"/>
        </w:rPr>
        <w:t xml:space="preserve">repetitions </w:t>
      </w:r>
      <w:r w:rsidR="006A12FE" w:rsidRPr="006A12FE">
        <w:rPr>
          <w:rFonts w:ascii="Times New Roman" w:hAnsi="Times New Roman" w:cs="Times New Roman"/>
          <w:sz w:val="20"/>
          <w:szCs w:val="20"/>
          <w:lang w:val="en-GB" w:eastAsia="zh-CN"/>
        </w:rPr>
        <w:t>transmi</w:t>
      </w:r>
      <w:r w:rsidR="006A12FE">
        <w:rPr>
          <w:rFonts w:ascii="Times New Roman" w:hAnsi="Times New Roman" w:cs="Times New Roman"/>
          <w:sz w:val="20"/>
          <w:szCs w:val="20"/>
          <w:lang w:val="en-GB" w:eastAsia="zh-CN"/>
        </w:rPr>
        <w:t>tted</w:t>
      </w:r>
      <w:r w:rsidR="006A12FE" w:rsidRPr="006A12FE">
        <w:rPr>
          <w:rFonts w:ascii="Times New Roman" w:hAnsi="Times New Roman" w:cs="Times New Roman"/>
          <w:sz w:val="20"/>
          <w:szCs w:val="20"/>
          <w:lang w:val="en-GB" w:eastAsia="zh-CN"/>
        </w:rPr>
        <w:t xml:space="preserve"> over a fixed time period </w:t>
      </w:r>
      <w:r w:rsidR="006A12FE">
        <w:rPr>
          <w:rFonts w:ascii="Times New Roman" w:hAnsi="Times New Roman" w:cs="Times New Roman"/>
          <w:sz w:val="20"/>
          <w:szCs w:val="20"/>
          <w:lang w:val="en-GB" w:eastAsia="zh-CN"/>
        </w:rPr>
        <w:t xml:space="preserve">can be variable </w:t>
      </w:r>
      <w:r w:rsidR="006A12FE" w:rsidRPr="006A12FE">
        <w:rPr>
          <w:rFonts w:ascii="Times New Roman" w:hAnsi="Times New Roman" w:cs="Times New Roman"/>
          <w:sz w:val="20"/>
          <w:szCs w:val="20"/>
          <w:lang w:val="en-GB" w:eastAsia="zh-CN"/>
        </w:rPr>
        <w:t xml:space="preserve">due to varying UL/DL </w:t>
      </w:r>
      <w:r w:rsidR="006A12FE">
        <w:rPr>
          <w:rFonts w:ascii="Times New Roman" w:hAnsi="Times New Roman" w:cs="Times New Roman"/>
          <w:sz w:val="20"/>
          <w:szCs w:val="20"/>
          <w:lang w:val="en-GB" w:eastAsia="zh-CN"/>
        </w:rPr>
        <w:t>slot indications/</w:t>
      </w:r>
      <w:r w:rsidR="006A12FE" w:rsidRPr="006A12FE">
        <w:rPr>
          <w:rFonts w:ascii="Times New Roman" w:hAnsi="Times New Roman" w:cs="Times New Roman"/>
          <w:sz w:val="20"/>
          <w:szCs w:val="20"/>
          <w:lang w:val="en-GB" w:eastAsia="zh-CN"/>
        </w:rPr>
        <w:t>configuration.</w:t>
      </w:r>
    </w:p>
    <w:p w14:paraId="0CFD3EC7" w14:textId="5C4F61EB" w:rsidR="00971136" w:rsidRPr="00971136" w:rsidRDefault="006A12FE" w:rsidP="00971136">
      <w:pPr>
        <w:pStyle w:val="Heading2"/>
      </w:pPr>
      <w:r>
        <w:t xml:space="preserve">Impact of </w:t>
      </w:r>
      <w:r w:rsidR="00971136" w:rsidRPr="0058109D">
        <w:rPr>
          <w:i/>
          <w:iCs/>
        </w:rPr>
        <w:t>RepK</w:t>
      </w:r>
      <w:r w:rsidR="00971136">
        <w:t xml:space="preserve"> </w:t>
      </w:r>
      <w:r>
        <w:t>on</w:t>
      </w:r>
      <w:r w:rsidR="00971136">
        <w:t xml:space="preserve"> CG HARQ PID allocation</w:t>
      </w:r>
    </w:p>
    <w:p w14:paraId="74859AEA" w14:textId="7B2ADBA7" w:rsidR="00AA5DAF" w:rsidRDefault="00AA5DAF"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Per TS 38.321, the UE determines the HARQ process ID for a CG occasion per the specified formula:</w:t>
      </w:r>
    </w:p>
    <w:p w14:paraId="208A3699" w14:textId="2085ECBF" w:rsidR="00AA5DAF" w:rsidRPr="00AA5DAF" w:rsidRDefault="00AA5DAF" w:rsidP="00AA5DAF">
      <w:pPr>
        <w:spacing w:before="120" w:after="120"/>
        <w:jc w:val="center"/>
        <w:rPr>
          <w:rFonts w:ascii="Times New Roman" w:hAnsi="Times New Roman" w:cs="Times New Roman"/>
          <w:bCs/>
          <w:iCs/>
          <w:sz w:val="20"/>
          <w:szCs w:val="20"/>
        </w:rPr>
      </w:pPr>
      <w:r w:rsidRPr="00AA5DAF">
        <w:rPr>
          <w:rFonts w:ascii="Times New Roman" w:hAnsi="Times New Roman" w:cs="Times New Roman"/>
          <w:bCs/>
          <w:iCs/>
          <w:sz w:val="20"/>
          <w:szCs w:val="20"/>
        </w:rPr>
        <w:t>HARQ Process ID = [floor(CURRENT_symbol/</w:t>
      </w:r>
      <w:r w:rsidRPr="00AA5DAF">
        <w:rPr>
          <w:rFonts w:ascii="Times New Roman" w:hAnsi="Times New Roman" w:cs="Times New Roman"/>
          <w:bCs/>
          <w:i/>
          <w:iCs/>
          <w:sz w:val="20"/>
          <w:szCs w:val="20"/>
        </w:rPr>
        <w:t>periodicity</w:t>
      </w:r>
      <w:r w:rsidRPr="00AA5DAF">
        <w:rPr>
          <w:rFonts w:ascii="Times New Roman" w:hAnsi="Times New Roman" w:cs="Times New Roman"/>
          <w:bCs/>
          <w:iCs/>
          <w:sz w:val="20"/>
          <w:szCs w:val="20"/>
        </w:rPr>
        <w:t xml:space="preserve">)] modulo </w:t>
      </w:r>
      <w:r w:rsidRPr="00AA5DAF">
        <w:rPr>
          <w:rFonts w:ascii="Times New Roman" w:hAnsi="Times New Roman" w:cs="Times New Roman"/>
          <w:bCs/>
          <w:i/>
          <w:iCs/>
          <w:sz w:val="20"/>
          <w:szCs w:val="20"/>
        </w:rPr>
        <w:t>nrofHARQ-Processes</w:t>
      </w:r>
    </w:p>
    <w:p w14:paraId="715D487F" w14:textId="77777777" w:rsidR="00AA5DAF" w:rsidRPr="00AA5DAF" w:rsidRDefault="00AA5DAF" w:rsidP="00AA5DAF">
      <w:pPr>
        <w:spacing w:before="120" w:after="120"/>
        <w:jc w:val="center"/>
        <w:rPr>
          <w:rFonts w:ascii="Times New Roman" w:hAnsi="Times New Roman" w:cs="Times New Roman"/>
          <w:bCs/>
          <w:iCs/>
          <w:sz w:val="20"/>
          <w:szCs w:val="20"/>
        </w:rPr>
      </w:pPr>
      <w:r w:rsidRPr="00AA5DAF">
        <w:rPr>
          <w:rFonts w:ascii="Times New Roman" w:hAnsi="Times New Roman" w:cs="Times New Roman"/>
          <w:bCs/>
          <w:iCs/>
          <w:sz w:val="20"/>
          <w:szCs w:val="20"/>
        </w:rPr>
        <w:t xml:space="preserve">CURRENT_symbol = (SFN × </w:t>
      </w:r>
      <w:r w:rsidRPr="00AA5DAF">
        <w:rPr>
          <w:rFonts w:ascii="Times New Roman" w:hAnsi="Times New Roman" w:cs="Times New Roman"/>
          <w:bCs/>
          <w:i/>
          <w:iCs/>
          <w:sz w:val="20"/>
          <w:szCs w:val="20"/>
        </w:rPr>
        <w:t>numberOfSlotsPerFrame</w:t>
      </w:r>
      <w:r w:rsidRPr="00AA5DAF">
        <w:rPr>
          <w:rFonts w:ascii="Times New Roman" w:hAnsi="Times New Roman" w:cs="Times New Roman"/>
          <w:bCs/>
          <w:iCs/>
          <w:sz w:val="20"/>
          <w:szCs w:val="20"/>
        </w:rPr>
        <w:t xml:space="preserve"> × </w:t>
      </w:r>
      <w:r w:rsidRPr="00AA5DAF">
        <w:rPr>
          <w:rFonts w:ascii="Times New Roman" w:hAnsi="Times New Roman" w:cs="Times New Roman"/>
          <w:bCs/>
          <w:i/>
          <w:iCs/>
          <w:sz w:val="20"/>
          <w:szCs w:val="20"/>
        </w:rPr>
        <w:t>numberOfSymbolsPerSlot</w:t>
      </w:r>
      <w:r w:rsidRPr="00AA5DAF">
        <w:rPr>
          <w:rFonts w:ascii="Times New Roman" w:hAnsi="Times New Roman" w:cs="Times New Roman"/>
          <w:bCs/>
          <w:iCs/>
          <w:sz w:val="20"/>
          <w:szCs w:val="20"/>
        </w:rPr>
        <w:t xml:space="preserve"> + slot number in the frame × </w:t>
      </w:r>
      <w:r w:rsidRPr="00AA5DAF">
        <w:rPr>
          <w:rFonts w:ascii="Times New Roman" w:hAnsi="Times New Roman" w:cs="Times New Roman"/>
          <w:bCs/>
          <w:i/>
          <w:iCs/>
          <w:sz w:val="20"/>
          <w:szCs w:val="20"/>
        </w:rPr>
        <w:t>numberOfSymbolsPerSlot</w:t>
      </w:r>
      <w:r w:rsidRPr="00AA5DAF">
        <w:rPr>
          <w:rFonts w:ascii="Times New Roman" w:hAnsi="Times New Roman" w:cs="Times New Roman"/>
          <w:bCs/>
          <w:iCs/>
          <w:sz w:val="20"/>
          <w:szCs w:val="20"/>
        </w:rPr>
        <w:t xml:space="preserve"> + symbol number in the slot)</w:t>
      </w:r>
    </w:p>
    <w:p w14:paraId="568D3A2A" w14:textId="1A14B237" w:rsidR="00971136" w:rsidRDefault="00AA5DAF"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This formula results in </w:t>
      </w:r>
      <w:r w:rsidR="00971136">
        <w:rPr>
          <w:rFonts w:ascii="Times New Roman" w:hAnsi="Times New Roman" w:cs="Times New Roman"/>
          <w:bCs/>
          <w:iCs/>
          <w:sz w:val="20"/>
          <w:szCs w:val="20"/>
        </w:rPr>
        <w:t>uniformly</w:t>
      </w:r>
      <w:r>
        <w:rPr>
          <w:rFonts w:ascii="Times New Roman" w:hAnsi="Times New Roman" w:cs="Times New Roman"/>
          <w:bCs/>
          <w:iCs/>
          <w:sz w:val="20"/>
          <w:szCs w:val="20"/>
        </w:rPr>
        <w:t xml:space="preserve"> spreading</w:t>
      </w:r>
      <w:r w:rsidR="00971136">
        <w:rPr>
          <w:rFonts w:ascii="Times New Roman" w:hAnsi="Times New Roman" w:cs="Times New Roman"/>
          <w:bCs/>
          <w:iCs/>
          <w:sz w:val="20"/>
          <w:szCs w:val="20"/>
        </w:rPr>
        <w:t xml:space="preserve"> the</w:t>
      </w:r>
      <w:r w:rsidR="006A12FE">
        <w:rPr>
          <w:rFonts w:ascii="Times New Roman" w:hAnsi="Times New Roman" w:cs="Times New Roman"/>
          <w:bCs/>
          <w:iCs/>
          <w:sz w:val="20"/>
          <w:szCs w:val="20"/>
        </w:rPr>
        <w:t xml:space="preserve"> configured number of</w:t>
      </w:r>
      <w:r w:rsidR="00971136">
        <w:rPr>
          <w:rFonts w:ascii="Times New Roman" w:hAnsi="Times New Roman" w:cs="Times New Roman"/>
          <w:bCs/>
          <w:iCs/>
          <w:sz w:val="20"/>
          <w:szCs w:val="20"/>
        </w:rPr>
        <w:t xml:space="preserve"> CG</w:t>
      </w:r>
      <w:r>
        <w:rPr>
          <w:rFonts w:ascii="Times New Roman" w:hAnsi="Times New Roman" w:cs="Times New Roman"/>
          <w:bCs/>
          <w:iCs/>
          <w:sz w:val="20"/>
          <w:szCs w:val="20"/>
        </w:rPr>
        <w:t xml:space="preserve"> HARQ PIDs over time slots consecutively</w:t>
      </w:r>
      <w:r w:rsidR="00971136" w:rsidRPr="00971136">
        <w:t xml:space="preserve"> </w:t>
      </w:r>
      <w:r w:rsidR="00971136" w:rsidRPr="00971136">
        <w:rPr>
          <w:rFonts w:ascii="Times New Roman" w:hAnsi="Times New Roman" w:cs="Times New Roman"/>
          <w:bCs/>
          <w:iCs/>
          <w:sz w:val="20"/>
          <w:szCs w:val="20"/>
        </w:rPr>
        <w:t>while maintaining a common understanding between the network and the UE on the HARQ process ID used (i.e. there is no ambiguity on which process ID was selected as it is a function of synchronization and the timing of the starting symbol)</w:t>
      </w:r>
      <w:r w:rsidR="00D90B5E">
        <w:rPr>
          <w:rFonts w:ascii="Times New Roman" w:hAnsi="Times New Roman" w:cs="Times New Roman"/>
          <w:bCs/>
          <w:iCs/>
          <w:sz w:val="20"/>
          <w:szCs w:val="20"/>
        </w:rPr>
        <w:t>, as illustrated in Figure 2</w:t>
      </w:r>
      <w:r w:rsidR="00971136" w:rsidRPr="00971136">
        <w:rPr>
          <w:rFonts w:ascii="Times New Roman" w:hAnsi="Times New Roman" w:cs="Times New Roman"/>
          <w:bCs/>
          <w:iCs/>
          <w:sz w:val="20"/>
          <w:szCs w:val="20"/>
        </w:rPr>
        <w:t xml:space="preserve">. Such uniform time domain distribution however does not consider slots in which </w:t>
      </w:r>
      <w:r w:rsidR="00C76721">
        <w:rPr>
          <w:rFonts w:ascii="Times New Roman" w:hAnsi="Times New Roman" w:cs="Times New Roman"/>
          <w:bCs/>
          <w:iCs/>
          <w:sz w:val="20"/>
          <w:szCs w:val="20"/>
        </w:rPr>
        <w:t>u</w:t>
      </w:r>
      <w:r w:rsidR="00971136" w:rsidRPr="00971136">
        <w:rPr>
          <w:rFonts w:ascii="Times New Roman" w:hAnsi="Times New Roman" w:cs="Times New Roman"/>
          <w:bCs/>
          <w:iCs/>
          <w:sz w:val="20"/>
          <w:szCs w:val="20"/>
        </w:rPr>
        <w:t>plink cannot be transmitted (e.g. slots part of the downlink portion of a TDD frame</w:t>
      </w:r>
      <w:r w:rsidR="006A12FE">
        <w:rPr>
          <w:rFonts w:ascii="Times New Roman" w:hAnsi="Times New Roman" w:cs="Times New Roman"/>
          <w:bCs/>
          <w:iCs/>
          <w:sz w:val="20"/>
          <w:szCs w:val="20"/>
        </w:rPr>
        <w:t xml:space="preserve"> or</w:t>
      </w:r>
      <w:r w:rsidR="007B1349">
        <w:rPr>
          <w:rFonts w:ascii="Times New Roman" w:hAnsi="Times New Roman" w:cs="Times New Roman"/>
          <w:bCs/>
          <w:iCs/>
          <w:sz w:val="20"/>
          <w:szCs w:val="20"/>
        </w:rPr>
        <w:t xml:space="preserve"> </w:t>
      </w:r>
      <w:r w:rsidR="00971136" w:rsidRPr="00971136">
        <w:rPr>
          <w:rFonts w:ascii="Times New Roman" w:hAnsi="Times New Roman" w:cs="Times New Roman"/>
          <w:bCs/>
          <w:iCs/>
          <w:sz w:val="20"/>
          <w:szCs w:val="20"/>
        </w:rPr>
        <w:t>slots dynamically indicated as downlink</w:t>
      </w:r>
      <w:r w:rsidR="006A12FE">
        <w:rPr>
          <w:rFonts w:ascii="Times New Roman" w:hAnsi="Times New Roman" w:cs="Times New Roman"/>
          <w:bCs/>
          <w:iCs/>
          <w:sz w:val="20"/>
          <w:szCs w:val="20"/>
        </w:rPr>
        <w:t xml:space="preserve"> slots</w:t>
      </w:r>
      <w:r w:rsidR="00971136" w:rsidRPr="00971136">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6729B1E4" w14:textId="4B75DACF" w:rsidR="00971136" w:rsidRPr="00971136" w:rsidRDefault="00971136" w:rsidP="00971136">
      <w:pPr>
        <w:spacing w:before="120" w:after="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Using the CG HARQ PID formula, Figure </w:t>
      </w:r>
      <w:r w:rsidR="00DE4976">
        <w:rPr>
          <w:rFonts w:ascii="Times New Roman" w:hAnsi="Times New Roman" w:cs="Times New Roman"/>
          <w:bCs/>
          <w:iCs/>
          <w:sz w:val="20"/>
          <w:szCs w:val="20"/>
        </w:rPr>
        <w:t>2</w:t>
      </w:r>
      <w:r w:rsidRPr="00971136">
        <w:rPr>
          <w:rFonts w:ascii="Times New Roman" w:hAnsi="Times New Roman" w:cs="Times New Roman"/>
          <w:bCs/>
          <w:iCs/>
          <w:sz w:val="20"/>
          <w:szCs w:val="20"/>
        </w:rPr>
        <w:t xml:space="preserve"> illustrates how the UE determines the HARQ process ID for a configured grant with the following configurations:</w:t>
      </w:r>
    </w:p>
    <w:p w14:paraId="459A62E7" w14:textId="0DE018AC"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a configured grant periodicity of 1 slot</w:t>
      </w:r>
      <w:r w:rsidR="00D90B5E">
        <w:rPr>
          <w:rFonts w:ascii="Times New Roman" w:hAnsi="Times New Roman" w:cs="Times New Roman"/>
          <w:bCs/>
          <w:iCs/>
          <w:sz w:val="20"/>
          <w:szCs w:val="20"/>
        </w:rPr>
        <w:t xml:space="preserve">; </w:t>
      </w:r>
      <w:r w:rsidR="00D90B5E" w:rsidRPr="00D90B5E">
        <w:rPr>
          <w:rFonts w:ascii="Times New Roman" w:hAnsi="Times New Roman" w:cs="Times New Roman"/>
          <w:bCs/>
          <w:i/>
          <w:sz w:val="20"/>
          <w:szCs w:val="20"/>
        </w:rPr>
        <w:t>Rep</w:t>
      </w:r>
      <w:r w:rsidR="00D90B5E">
        <w:rPr>
          <w:rFonts w:ascii="Times New Roman" w:hAnsi="Times New Roman" w:cs="Times New Roman"/>
          <w:bCs/>
          <w:i/>
          <w:sz w:val="20"/>
          <w:szCs w:val="20"/>
        </w:rPr>
        <w:t>K</w:t>
      </w:r>
      <w:r w:rsidR="00D90B5E">
        <w:rPr>
          <w:rFonts w:ascii="Times New Roman" w:hAnsi="Times New Roman" w:cs="Times New Roman"/>
          <w:bCs/>
          <w:iCs/>
          <w:sz w:val="20"/>
          <w:szCs w:val="20"/>
        </w:rPr>
        <w:t xml:space="preserve"> = 1.</w:t>
      </w:r>
    </w:p>
    <w:p w14:paraId="4ED1010C" w14:textId="77777777"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a maximum of 8 HARQ processes </w:t>
      </w:r>
    </w:p>
    <w:p w14:paraId="43220DFD" w14:textId="33B8B146"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over a period of 4 frames (40 ms using 15 kHz subcarrier spacing)</w:t>
      </w:r>
    </w:p>
    <w:p w14:paraId="0C7F7A94" w14:textId="77777777"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a TDD frame split of [D, D, D, U, U, D, D, D, U, U]</w:t>
      </w:r>
    </w:p>
    <w:p w14:paraId="118E472D" w14:textId="77777777" w:rsidR="00971136" w:rsidRPr="00971136" w:rsidRDefault="00971136" w:rsidP="00971136">
      <w:pPr>
        <w:spacing w:before="120" w:after="120"/>
        <w:jc w:val="both"/>
        <w:rPr>
          <w:rFonts w:ascii="Times New Roman" w:hAnsi="Times New Roman" w:cs="Times New Roman"/>
          <w:bCs/>
          <w:iCs/>
          <w:sz w:val="20"/>
          <w:szCs w:val="20"/>
        </w:rPr>
      </w:pPr>
    </w:p>
    <w:p w14:paraId="1A4D40CC" w14:textId="4825362D" w:rsidR="00971136" w:rsidRPr="00971136" w:rsidRDefault="006955BB" w:rsidP="006955BB">
      <w:pPr>
        <w:spacing w:before="120" w:after="120"/>
        <w:jc w:val="center"/>
        <w:rPr>
          <w:rFonts w:ascii="Times New Roman" w:hAnsi="Times New Roman" w:cs="Times New Roman"/>
          <w:bCs/>
          <w:iCs/>
          <w:sz w:val="20"/>
          <w:szCs w:val="20"/>
        </w:rPr>
      </w:pPr>
      <w:r w:rsidRPr="00971136">
        <w:rPr>
          <w:rFonts w:ascii="Times New Roman" w:hAnsi="Times New Roman" w:cs="Times New Roman"/>
          <w:bCs/>
          <w:iCs/>
          <w:noProof/>
          <w:sz w:val="20"/>
          <w:szCs w:val="20"/>
        </w:rPr>
        <w:lastRenderedPageBreak/>
        <w:drawing>
          <wp:inline distT="0" distB="0" distL="0" distR="0" wp14:anchorId="569C2FF7" wp14:editId="6B2903FA">
            <wp:extent cx="5973754" cy="2011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091" r="7692"/>
                    <a:stretch/>
                  </pic:blipFill>
                  <pic:spPr bwMode="auto">
                    <a:xfrm>
                      <a:off x="0" y="0"/>
                      <a:ext cx="6072943" cy="2045082"/>
                    </a:xfrm>
                    <a:prstGeom prst="rect">
                      <a:avLst/>
                    </a:prstGeom>
                    <a:noFill/>
                    <a:ln>
                      <a:noFill/>
                    </a:ln>
                    <a:extLst>
                      <a:ext uri="{53640926-AAD7-44D8-BBD7-CCE9431645EC}">
                        <a14:shadowObscured xmlns:a14="http://schemas.microsoft.com/office/drawing/2010/main"/>
                      </a:ext>
                    </a:extLst>
                  </pic:spPr>
                </pic:pic>
              </a:graphicData>
            </a:graphic>
          </wp:inline>
        </w:drawing>
      </w:r>
      <w:r w:rsidR="00971136" w:rsidRPr="00971136">
        <w:rPr>
          <w:rFonts w:ascii="Times New Roman" w:hAnsi="Times New Roman" w:cs="Times New Roman"/>
          <w:bCs/>
          <w:iCs/>
          <w:sz w:val="20"/>
          <w:szCs w:val="20"/>
        </w:rPr>
        <w:br/>
        <w:t xml:space="preserve">Figure </w:t>
      </w:r>
      <w:r w:rsidR="00DE4976">
        <w:rPr>
          <w:rFonts w:ascii="Times New Roman" w:hAnsi="Times New Roman" w:cs="Times New Roman"/>
          <w:bCs/>
          <w:iCs/>
          <w:sz w:val="20"/>
          <w:szCs w:val="20"/>
        </w:rPr>
        <w:t>2</w:t>
      </w:r>
      <w:r w:rsidR="00971136" w:rsidRPr="00971136">
        <w:rPr>
          <w:rFonts w:ascii="Times New Roman" w:hAnsi="Times New Roman" w:cs="Times New Roman"/>
          <w:bCs/>
          <w:iCs/>
          <w:sz w:val="20"/>
          <w:szCs w:val="20"/>
        </w:rPr>
        <w:t xml:space="preserve">: CG HARQ PID selection over a period of 50 ms, using </w:t>
      </w:r>
      <w:r w:rsidR="00937427" w:rsidRPr="00971136">
        <w:rPr>
          <w:rFonts w:ascii="Times New Roman" w:hAnsi="Times New Roman" w:cs="Times New Roman"/>
          <w:bCs/>
          <w:iCs/>
          <w:sz w:val="20"/>
          <w:szCs w:val="20"/>
        </w:rPr>
        <w:t>the CG HARQ PID formula</w:t>
      </w:r>
    </w:p>
    <w:p w14:paraId="1C6034EB" w14:textId="3A0B8ED1" w:rsidR="00D90B5E" w:rsidRDefault="00971136" w:rsidP="00AC452E">
      <w:pPr>
        <w:spacing w:before="120" w:after="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As illustrated in Figure </w:t>
      </w:r>
      <w:r w:rsidR="0002387B">
        <w:rPr>
          <w:rFonts w:ascii="Times New Roman" w:hAnsi="Times New Roman" w:cs="Times New Roman"/>
          <w:bCs/>
          <w:iCs/>
          <w:sz w:val="20"/>
          <w:szCs w:val="20"/>
        </w:rPr>
        <w:t>2</w:t>
      </w:r>
      <w:r w:rsidRPr="00971136">
        <w:rPr>
          <w:rFonts w:ascii="Times New Roman" w:hAnsi="Times New Roman" w:cs="Times New Roman"/>
          <w:bCs/>
          <w:iCs/>
          <w:sz w:val="20"/>
          <w:szCs w:val="20"/>
        </w:rPr>
        <w:t>, for this given TDD frame split, a HARQ process ID repeats itself only once every 24 ms. This is a considerable delay for the purpose of</w:t>
      </w:r>
      <w:r w:rsidR="00E31149">
        <w:rPr>
          <w:rFonts w:ascii="Times New Roman" w:hAnsi="Times New Roman" w:cs="Times New Roman"/>
          <w:bCs/>
          <w:iCs/>
          <w:sz w:val="20"/>
          <w:szCs w:val="20"/>
        </w:rPr>
        <w:t xml:space="preserve"> autonomously</w:t>
      </w:r>
      <w:r w:rsidRPr="00971136">
        <w:rPr>
          <w:rFonts w:ascii="Times New Roman" w:hAnsi="Times New Roman" w:cs="Times New Roman"/>
          <w:bCs/>
          <w:iCs/>
          <w:sz w:val="20"/>
          <w:szCs w:val="20"/>
        </w:rPr>
        <w:t xml:space="preserve"> </w:t>
      </w:r>
      <w:r w:rsidR="00FE5F7C">
        <w:rPr>
          <w:rFonts w:ascii="Times New Roman" w:hAnsi="Times New Roman" w:cs="Times New Roman"/>
          <w:bCs/>
          <w:iCs/>
          <w:sz w:val="20"/>
          <w:szCs w:val="20"/>
        </w:rPr>
        <w:t>retra</w:t>
      </w:r>
      <w:r w:rsidR="004C2C86">
        <w:rPr>
          <w:rFonts w:ascii="Times New Roman" w:hAnsi="Times New Roman" w:cs="Times New Roman"/>
          <w:bCs/>
          <w:iCs/>
          <w:sz w:val="20"/>
          <w:szCs w:val="20"/>
        </w:rPr>
        <w:t xml:space="preserve">nsmitting a </w:t>
      </w:r>
      <w:r w:rsidR="00E31149">
        <w:rPr>
          <w:rFonts w:ascii="Times New Roman" w:hAnsi="Times New Roman" w:cs="Times New Roman"/>
          <w:bCs/>
          <w:iCs/>
          <w:sz w:val="20"/>
          <w:szCs w:val="20"/>
        </w:rPr>
        <w:t>TB</w:t>
      </w:r>
      <w:r w:rsidRPr="00971136">
        <w:rPr>
          <w:rFonts w:ascii="Times New Roman" w:hAnsi="Times New Roman" w:cs="Times New Roman"/>
          <w:bCs/>
          <w:iCs/>
          <w:sz w:val="20"/>
          <w:szCs w:val="20"/>
        </w:rPr>
        <w:t>. The delay can be even larger if there are fewer UL slots within the TDD frame.</w:t>
      </w:r>
    </w:p>
    <w:p w14:paraId="31DADEBC" w14:textId="7AB63890" w:rsidR="00D90B5E" w:rsidRDefault="00E31149" w:rsidP="00D90B5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However, for </w:t>
      </w:r>
      <w:r w:rsidR="00D90B5E">
        <w:rPr>
          <w:rFonts w:ascii="Times New Roman" w:hAnsi="Times New Roman" w:cs="Times New Roman"/>
          <w:bCs/>
          <w:iCs/>
          <w:sz w:val="20"/>
          <w:szCs w:val="20"/>
        </w:rPr>
        <w:t>the transmission of a repetitions within a bundle</w:t>
      </w:r>
      <w:r>
        <w:rPr>
          <w:rFonts w:ascii="Times New Roman" w:hAnsi="Times New Roman" w:cs="Times New Roman"/>
          <w:bCs/>
          <w:iCs/>
          <w:sz w:val="20"/>
          <w:szCs w:val="20"/>
        </w:rPr>
        <w:t xml:space="preserve"> with RepK</w:t>
      </w:r>
      <w:r w:rsidR="00D90B5E">
        <w:rPr>
          <w:rFonts w:ascii="Times New Roman" w:hAnsi="Times New Roman" w:cs="Times New Roman"/>
          <w:bCs/>
          <w:iCs/>
          <w:sz w:val="20"/>
          <w:szCs w:val="20"/>
        </w:rPr>
        <w:t xml:space="preserve">, the UE can assume </w:t>
      </w:r>
      <w:r>
        <w:rPr>
          <w:rFonts w:ascii="Times New Roman" w:hAnsi="Times New Roman" w:cs="Times New Roman"/>
          <w:bCs/>
          <w:iCs/>
          <w:sz w:val="20"/>
          <w:szCs w:val="20"/>
        </w:rPr>
        <w:t xml:space="preserve">that </w:t>
      </w:r>
      <w:r w:rsidR="00D90B5E">
        <w:rPr>
          <w:rFonts w:ascii="Times New Roman" w:hAnsi="Times New Roman" w:cs="Times New Roman"/>
          <w:bCs/>
          <w:iCs/>
          <w:sz w:val="20"/>
          <w:szCs w:val="20"/>
        </w:rPr>
        <w:t>the HARQ process used for the initial PUSCH occasion of the bundle is reused</w:t>
      </w:r>
      <w:r>
        <w:rPr>
          <w:rFonts w:ascii="Times New Roman" w:hAnsi="Times New Roman" w:cs="Times New Roman"/>
          <w:bCs/>
          <w:iCs/>
          <w:sz w:val="20"/>
          <w:szCs w:val="20"/>
        </w:rPr>
        <w:t xml:space="preserve"> for all remaining (RepK-1) consecutive CG occasions</w:t>
      </w:r>
      <w:r w:rsidR="00D90B5E">
        <w:rPr>
          <w:rFonts w:ascii="Times New Roman" w:hAnsi="Times New Roman" w:cs="Times New Roman"/>
          <w:bCs/>
          <w:iCs/>
          <w:sz w:val="20"/>
          <w:szCs w:val="20"/>
        </w:rPr>
        <w:t xml:space="preserve"> and the repetition is treated as a retransmission from a MAC perspective. This is captured in the following note:</w:t>
      </w:r>
    </w:p>
    <w:p w14:paraId="349F9116" w14:textId="77777777" w:rsidR="00D90B5E" w:rsidRPr="005174E9" w:rsidRDefault="00D90B5E" w:rsidP="00D90B5E">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14:paraId="688DDB12" w14:textId="33C9DD49" w:rsidR="00D90B5E" w:rsidRDefault="00D90B5E" w:rsidP="00D90B5E">
      <w:pPr>
        <w:spacing w:before="120" w:after="120"/>
        <w:jc w:val="both"/>
        <w:rPr>
          <w:rFonts w:ascii="Times New Roman" w:hAnsi="Times New Roman" w:cs="Times New Roman"/>
          <w:sz w:val="20"/>
          <w:szCs w:val="20"/>
          <w:lang w:val="en-GB" w:eastAsia="zh-CN"/>
        </w:rPr>
      </w:pPr>
      <w:r>
        <w:rPr>
          <w:rFonts w:ascii="Times New Roman" w:hAnsi="Times New Roman" w:cs="Times New Roman"/>
          <w:bCs/>
          <w:iCs/>
          <w:sz w:val="20"/>
          <w:szCs w:val="20"/>
          <w:lang w:val="en-GB"/>
        </w:rPr>
        <w:t xml:space="preserve">In dynamic TDD, the bundle size </w:t>
      </w:r>
      <w:r w:rsidR="006A12FE">
        <w:rPr>
          <w:rFonts w:ascii="Times New Roman" w:hAnsi="Times New Roman" w:cs="Times New Roman"/>
          <w:bCs/>
          <w:iCs/>
          <w:sz w:val="20"/>
          <w:szCs w:val="20"/>
          <w:lang w:val="en-GB"/>
        </w:rPr>
        <w:t xml:space="preserve">can </w:t>
      </w:r>
      <w:r>
        <w:rPr>
          <w:rFonts w:ascii="Times New Roman" w:hAnsi="Times New Roman" w:cs="Times New Roman"/>
          <w:bCs/>
          <w:iCs/>
          <w:sz w:val="20"/>
          <w:szCs w:val="20"/>
          <w:lang w:val="en-GB"/>
        </w:rPr>
        <w:t xml:space="preserve">be extended to ensure that the UE </w:t>
      </w:r>
      <w:r w:rsidR="006A12FE">
        <w:rPr>
          <w:rFonts w:ascii="Times New Roman" w:hAnsi="Times New Roman" w:cs="Times New Roman"/>
          <w:bCs/>
          <w:iCs/>
          <w:sz w:val="20"/>
          <w:szCs w:val="20"/>
          <w:lang w:val="en-GB"/>
        </w:rPr>
        <w:t xml:space="preserve">reuses </w:t>
      </w:r>
      <w:r>
        <w:rPr>
          <w:rFonts w:ascii="Times New Roman" w:hAnsi="Times New Roman" w:cs="Times New Roman"/>
          <w:bCs/>
          <w:iCs/>
          <w:sz w:val="20"/>
          <w:szCs w:val="20"/>
          <w:lang w:val="en-GB"/>
        </w:rPr>
        <w:t>the same HARQ process for the whole bundle</w:t>
      </w:r>
      <w:r w:rsidR="00E31149">
        <w:rPr>
          <w:rFonts w:ascii="Times New Roman" w:hAnsi="Times New Roman" w:cs="Times New Roman"/>
          <w:bCs/>
          <w:iCs/>
          <w:sz w:val="20"/>
          <w:szCs w:val="20"/>
          <w:lang w:val="en-GB"/>
        </w:rPr>
        <w:t>,</w:t>
      </w:r>
      <w:r w:rsidR="006A12FE">
        <w:rPr>
          <w:rFonts w:ascii="Times New Roman" w:hAnsi="Times New Roman" w:cs="Times New Roman"/>
          <w:bCs/>
          <w:iCs/>
          <w:sz w:val="20"/>
          <w:szCs w:val="20"/>
          <w:lang w:val="en-GB"/>
        </w:rPr>
        <w:t xml:space="preserve"> and</w:t>
      </w:r>
      <w:r w:rsidR="00E31149">
        <w:rPr>
          <w:rFonts w:ascii="Times New Roman" w:hAnsi="Times New Roman" w:cs="Times New Roman"/>
          <w:bCs/>
          <w:iCs/>
          <w:sz w:val="20"/>
          <w:szCs w:val="20"/>
          <w:lang w:val="en-GB"/>
        </w:rPr>
        <w:t xml:space="preserve"> to ensure that retransmissions probability is reduced.</w:t>
      </w:r>
      <w:r w:rsidR="006A12FE">
        <w:rPr>
          <w:rFonts w:ascii="Times New Roman" w:hAnsi="Times New Roman" w:cs="Times New Roman"/>
          <w:bCs/>
          <w:iCs/>
          <w:sz w:val="20"/>
          <w:szCs w:val="20"/>
          <w:lang w:val="en-GB"/>
        </w:rPr>
        <w:t xml:space="preserve"> However, this can cause increased </w:t>
      </w:r>
      <w:r w:rsidR="006A12FE">
        <w:rPr>
          <w:rFonts w:ascii="Times New Roman" w:hAnsi="Times New Roman" w:cs="Times New Roman"/>
          <w:sz w:val="20"/>
          <w:szCs w:val="20"/>
          <w:lang w:val="en-GB" w:eastAsia="zh-CN"/>
        </w:rPr>
        <w:t xml:space="preserve">overhead from occupying PUSCH resources for transmission of unnecessary additional repetitions beyond the nominal number of repetitions required to reach the BLER target. </w:t>
      </w:r>
    </w:p>
    <w:p w14:paraId="57164C09" w14:textId="73C597FD" w:rsidR="006A12FE" w:rsidRDefault="006A12FE" w:rsidP="00D90B5E">
      <w:pPr>
        <w:spacing w:before="120" w:after="120"/>
        <w:jc w:val="both"/>
        <w:rPr>
          <w:rFonts w:ascii="Times New Roman" w:hAnsi="Times New Roman" w:cs="Times New Roman"/>
          <w:bCs/>
          <w:iCs/>
          <w:sz w:val="20"/>
          <w:szCs w:val="20"/>
          <w:lang w:val="en-GB"/>
        </w:rPr>
      </w:pPr>
      <w:r>
        <w:rPr>
          <w:rFonts w:ascii="Times New Roman" w:hAnsi="Times New Roman" w:cs="Times New Roman"/>
          <w:sz w:val="20"/>
          <w:szCs w:val="20"/>
          <w:lang w:val="en-GB" w:eastAsia="zh-CN"/>
        </w:rPr>
        <w:t xml:space="preserve">One possibility is to reduce the bundle size and aim to transmit repetitions over multiple bundles of smaller sizes. If the number of HARQ processes is large (e.g. 8 or above), the time delay between bundles can be significant. However, for a coverage limited UE, the network can configure a lower number of HARQ PIDs for configured grant operation. For example, </w:t>
      </w:r>
      <w:r w:rsidRPr="006A12FE">
        <w:rPr>
          <w:rFonts w:ascii="Times New Roman" w:hAnsi="Times New Roman" w:cs="Times New Roman"/>
          <w:sz w:val="20"/>
          <w:szCs w:val="20"/>
          <w:lang w:val="en-GB" w:eastAsia="zh-CN"/>
        </w:rPr>
        <w:t>2 or 3 HARQ processes</w:t>
      </w:r>
      <w:r>
        <w:rPr>
          <w:rFonts w:ascii="Times New Roman" w:hAnsi="Times New Roman" w:cs="Times New Roman"/>
          <w:sz w:val="20"/>
          <w:szCs w:val="20"/>
          <w:lang w:val="en-GB" w:eastAsia="zh-CN"/>
        </w:rPr>
        <w:t xml:space="preserve"> can be used for CG operation for a VoIP service. This results in reducing</w:t>
      </w:r>
      <w:r w:rsidRPr="006A12FE">
        <w:rPr>
          <w:rFonts w:ascii="Times New Roman" w:hAnsi="Times New Roman" w:cs="Times New Roman"/>
          <w:sz w:val="20"/>
          <w:szCs w:val="20"/>
          <w:lang w:val="en-GB" w:eastAsia="zh-CN"/>
        </w:rPr>
        <w:t xml:space="preserve"> the maximum interval for a same HARQ process </w:t>
      </w:r>
      <w:r>
        <w:rPr>
          <w:rFonts w:ascii="Times New Roman" w:hAnsi="Times New Roman" w:cs="Times New Roman"/>
          <w:sz w:val="20"/>
          <w:szCs w:val="20"/>
          <w:lang w:val="en-GB" w:eastAsia="zh-CN"/>
        </w:rPr>
        <w:t xml:space="preserve">to repeat itself; a </w:t>
      </w:r>
      <w:r w:rsidRPr="006A12FE">
        <w:rPr>
          <w:rFonts w:ascii="Times New Roman" w:hAnsi="Times New Roman" w:cs="Times New Roman"/>
          <w:sz w:val="20"/>
          <w:szCs w:val="20"/>
          <w:lang w:val="en-GB" w:eastAsia="zh-CN"/>
        </w:rPr>
        <w:t xml:space="preserve">small number of repetitions per bundle </w:t>
      </w:r>
      <w:r>
        <w:rPr>
          <w:rFonts w:ascii="Times New Roman" w:hAnsi="Times New Roman" w:cs="Times New Roman"/>
          <w:sz w:val="20"/>
          <w:szCs w:val="20"/>
          <w:lang w:val="en-GB" w:eastAsia="zh-CN"/>
        </w:rPr>
        <w:t xml:space="preserve">can be configured </w:t>
      </w:r>
      <w:r w:rsidRPr="006A12FE">
        <w:rPr>
          <w:rFonts w:ascii="Times New Roman" w:hAnsi="Times New Roman" w:cs="Times New Roman"/>
          <w:sz w:val="20"/>
          <w:szCs w:val="20"/>
          <w:lang w:val="en-GB" w:eastAsia="zh-CN"/>
        </w:rPr>
        <w:t>and the latency budget can be met over multiple bundles</w:t>
      </w:r>
      <w:r>
        <w:rPr>
          <w:rFonts w:ascii="Times New Roman" w:hAnsi="Times New Roman" w:cs="Times New Roman"/>
          <w:sz w:val="20"/>
          <w:szCs w:val="20"/>
          <w:lang w:val="en-GB" w:eastAsia="zh-CN"/>
        </w:rPr>
        <w:t>.</w:t>
      </w:r>
    </w:p>
    <w:p w14:paraId="251A38D4" w14:textId="7E3A69C0" w:rsidR="00D90B5E" w:rsidRDefault="00D90B5E" w:rsidP="00D90B5E">
      <w:pPr>
        <w:ind w:left="1440" w:hanging="1440"/>
        <w:rPr>
          <w:rFonts w:ascii="Times New Roman" w:hAnsi="Times New Roman" w:cs="Times New Roman"/>
          <w:bCs/>
          <w:sz w:val="20"/>
          <w:szCs w:val="20"/>
          <w:lang w:val="en-GB"/>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006A12FE">
        <w:rPr>
          <w:rFonts w:ascii="Times New Roman" w:hAnsi="Times New Roman" w:cs="Times New Roman"/>
          <w:i/>
          <w:iCs/>
          <w:sz w:val="20"/>
          <w:szCs w:val="20"/>
          <w:lang w:val="en-GB" w:eastAsia="zh-CN"/>
        </w:rPr>
        <w:t>To avoid over dimensioning RepK, the UE can repeat the same TB over multiple bundles using the same HARQ process when the number of HARQ PIDs configured for a CG is not large.</w:t>
      </w:r>
    </w:p>
    <w:p w14:paraId="6D5F0C76" w14:textId="75D49998" w:rsidR="009D31A2" w:rsidRPr="009D31A2" w:rsidRDefault="003A3B07" w:rsidP="009D31A2">
      <w:pPr>
        <w:rPr>
          <w:rFonts w:ascii="Times New Roman" w:hAnsi="Times New Roman" w:cs="Times New Roman"/>
          <w:i/>
          <w:iCs/>
          <w:sz w:val="20"/>
          <w:szCs w:val="20"/>
          <w:lang w:val="en-GB" w:eastAsia="zh-CN"/>
        </w:rPr>
      </w:pPr>
      <w:bookmarkStart w:id="2" w:name="_Hlk61704950"/>
      <w:r>
        <w:rPr>
          <w:rFonts w:ascii="Times New Roman" w:hAnsi="Times New Roman" w:cs="Times New Roman"/>
          <w:bCs/>
          <w:iCs/>
          <w:sz w:val="20"/>
          <w:szCs w:val="20"/>
        </w:rPr>
        <w:t xml:space="preserve">The </w:t>
      </w:r>
      <w:r w:rsidR="006F6014">
        <w:rPr>
          <w:rFonts w:ascii="Times New Roman" w:hAnsi="Times New Roman" w:cs="Times New Roman"/>
          <w:bCs/>
          <w:iCs/>
          <w:sz w:val="20"/>
          <w:szCs w:val="20"/>
        </w:rPr>
        <w:t>analysis</w:t>
      </w:r>
      <w:r>
        <w:rPr>
          <w:rFonts w:ascii="Times New Roman" w:hAnsi="Times New Roman" w:cs="Times New Roman"/>
          <w:bCs/>
          <w:iCs/>
          <w:sz w:val="20"/>
          <w:szCs w:val="20"/>
        </w:rPr>
        <w:t xml:space="preserve"> here </w:t>
      </w:r>
      <w:r w:rsidR="006F6014">
        <w:rPr>
          <w:rFonts w:ascii="Times New Roman" w:hAnsi="Times New Roman" w:cs="Times New Roman"/>
          <w:bCs/>
          <w:iCs/>
          <w:sz w:val="20"/>
          <w:szCs w:val="20"/>
        </w:rPr>
        <w:t>is</w:t>
      </w:r>
      <w:r>
        <w:rPr>
          <w:rFonts w:ascii="Times New Roman" w:hAnsi="Times New Roman" w:cs="Times New Roman"/>
          <w:bCs/>
          <w:iCs/>
          <w:sz w:val="20"/>
          <w:szCs w:val="20"/>
        </w:rPr>
        <w:t xml:space="preserve"> applicable to applications which require multiple HARQ processes. </w:t>
      </w:r>
      <w:r w:rsidR="005C235A" w:rsidRPr="00753809">
        <w:rPr>
          <w:rFonts w:ascii="Times New Roman" w:hAnsi="Times New Roman" w:cs="Times New Roman"/>
          <w:bCs/>
          <w:iCs/>
          <w:sz w:val="20"/>
          <w:szCs w:val="20"/>
        </w:rPr>
        <w:t>Motivations for using multiple HARQ processes for VoIP service with different latency requirements</w:t>
      </w:r>
      <w:r w:rsidR="005C235A">
        <w:rPr>
          <w:rFonts w:ascii="Times New Roman" w:hAnsi="Times New Roman" w:cs="Times New Roman"/>
          <w:bCs/>
          <w:iCs/>
          <w:sz w:val="20"/>
          <w:szCs w:val="20"/>
        </w:rPr>
        <w:t>, supported by evaluation results,</w:t>
      </w:r>
      <w:r w:rsidR="005C235A" w:rsidRPr="00753809">
        <w:rPr>
          <w:rFonts w:ascii="Times New Roman" w:hAnsi="Times New Roman" w:cs="Times New Roman"/>
          <w:bCs/>
          <w:iCs/>
          <w:sz w:val="20"/>
          <w:szCs w:val="20"/>
        </w:rPr>
        <w:t xml:space="preserve"> are explained in our companion contribution [</w:t>
      </w:r>
      <w:r w:rsidR="005C235A">
        <w:rPr>
          <w:rFonts w:ascii="Times New Roman" w:hAnsi="Times New Roman" w:cs="Times New Roman"/>
          <w:bCs/>
          <w:iCs/>
          <w:sz w:val="20"/>
          <w:szCs w:val="20"/>
        </w:rPr>
        <w:t>3</w:t>
      </w:r>
      <w:r w:rsidR="005C235A" w:rsidRPr="00753809">
        <w:rPr>
          <w:rFonts w:ascii="Times New Roman" w:hAnsi="Times New Roman" w:cs="Times New Roman"/>
          <w:bCs/>
          <w:iCs/>
          <w:sz w:val="20"/>
          <w:szCs w:val="20"/>
        </w:rPr>
        <w:t>].</w:t>
      </w:r>
      <w:r w:rsidR="005C235A">
        <w:rPr>
          <w:rFonts w:ascii="Times New Roman" w:hAnsi="Times New Roman" w:cs="Times New Roman"/>
          <w:bCs/>
          <w:iCs/>
          <w:sz w:val="20"/>
          <w:szCs w:val="20"/>
        </w:rPr>
        <w:t xml:space="preserve"> During the NR coverage enhancement study, it was assumed that new VoIP data is generated every 20ms[2]. In low SNR, retransmissions may prevent transmission of the periodically generated data, causing failure to meet the latency requirement for VoIP service. In such scenario, multiple HARQ processes can be used to</w:t>
      </w:r>
      <w:r w:rsidR="005C235A" w:rsidRPr="00753809">
        <w:rPr>
          <w:rFonts w:ascii="Times New Roman" w:hAnsi="Times New Roman" w:cs="Times New Roman"/>
          <w:bCs/>
          <w:iCs/>
          <w:sz w:val="20"/>
          <w:szCs w:val="20"/>
        </w:rPr>
        <w:t xml:space="preserve"> meet the latency requirement</w:t>
      </w:r>
      <w:r w:rsidR="005C235A">
        <w:rPr>
          <w:rFonts w:ascii="Times New Roman" w:hAnsi="Times New Roman" w:cs="Times New Roman"/>
          <w:bCs/>
          <w:iCs/>
          <w:sz w:val="20"/>
          <w:szCs w:val="20"/>
        </w:rPr>
        <w:t xml:space="preserve"> in the presence of periodically generated VoIP data</w:t>
      </w:r>
      <w:r w:rsidR="005C235A" w:rsidRPr="00753809">
        <w:rPr>
          <w:rFonts w:ascii="Times New Roman" w:hAnsi="Times New Roman" w:cs="Times New Roman"/>
          <w:bCs/>
          <w:iCs/>
          <w:sz w:val="20"/>
          <w:szCs w:val="20"/>
        </w:rPr>
        <w:t xml:space="preserve">. </w:t>
      </w:r>
    </w:p>
    <w:bookmarkEnd w:id="2"/>
    <w:p w14:paraId="71811622" w14:textId="7E27E369" w:rsidR="00FD68AD" w:rsidRDefault="006A12FE" w:rsidP="00FD68AD">
      <w:pPr>
        <w:pStyle w:val="Heading2"/>
      </w:pPr>
      <w:r>
        <w:t>Transmitting a deterministic number of repetitions</w:t>
      </w:r>
    </w:p>
    <w:p w14:paraId="178805DD" w14:textId="6D54C93D" w:rsidR="006A12FE" w:rsidRDefault="006A12FE" w:rsidP="002D4CAA">
      <w:pPr>
        <w:rPr>
          <w:rFonts w:ascii="Times New Roman" w:hAnsi="Times New Roman" w:cs="Times New Roman"/>
          <w:sz w:val="20"/>
          <w:szCs w:val="20"/>
          <w:lang w:val="en-GB" w:eastAsia="zh-CN"/>
        </w:rPr>
      </w:pPr>
      <w:r w:rsidRPr="006A12FE">
        <w:rPr>
          <w:rFonts w:ascii="Times New Roman" w:hAnsi="Times New Roman" w:cs="Times New Roman"/>
          <w:sz w:val="20"/>
          <w:szCs w:val="20"/>
          <w:lang w:val="en-GB" w:eastAsia="zh-CN"/>
        </w:rPr>
        <w:t xml:space="preserve">In </w:t>
      </w:r>
      <w:r>
        <w:rPr>
          <w:rFonts w:ascii="Times New Roman" w:hAnsi="Times New Roman" w:cs="Times New Roman"/>
          <w:sz w:val="20"/>
          <w:szCs w:val="20"/>
          <w:lang w:val="en-GB" w:eastAsia="zh-CN"/>
        </w:rPr>
        <w:t xml:space="preserve">a dynamic </w:t>
      </w:r>
      <w:r w:rsidRPr="006A12FE">
        <w:rPr>
          <w:rFonts w:ascii="Times New Roman" w:hAnsi="Times New Roman" w:cs="Times New Roman"/>
          <w:sz w:val="20"/>
          <w:szCs w:val="20"/>
          <w:lang w:val="en-GB" w:eastAsia="zh-CN"/>
        </w:rPr>
        <w:t xml:space="preserve">TDD scenario, </w:t>
      </w:r>
      <w:r>
        <w:rPr>
          <w:rFonts w:ascii="Times New Roman" w:hAnsi="Times New Roman" w:cs="Times New Roman"/>
          <w:sz w:val="20"/>
          <w:szCs w:val="20"/>
          <w:lang w:val="en-GB" w:eastAsia="zh-CN"/>
        </w:rPr>
        <w:t xml:space="preserve">the </w:t>
      </w:r>
      <w:r w:rsidRPr="006A12FE">
        <w:rPr>
          <w:rFonts w:ascii="Times New Roman" w:hAnsi="Times New Roman" w:cs="Times New Roman"/>
          <w:sz w:val="20"/>
          <w:szCs w:val="20"/>
          <w:lang w:val="en-GB" w:eastAsia="zh-CN"/>
        </w:rPr>
        <w:t xml:space="preserve">number of </w:t>
      </w:r>
      <w:r>
        <w:rPr>
          <w:rFonts w:ascii="Times New Roman" w:hAnsi="Times New Roman" w:cs="Times New Roman"/>
          <w:sz w:val="20"/>
          <w:szCs w:val="20"/>
          <w:lang w:val="en-GB" w:eastAsia="zh-CN"/>
        </w:rPr>
        <w:t xml:space="preserve">repetition </w:t>
      </w:r>
      <w:r w:rsidRPr="006A12FE">
        <w:rPr>
          <w:rFonts w:ascii="Times New Roman" w:hAnsi="Times New Roman" w:cs="Times New Roman"/>
          <w:sz w:val="20"/>
          <w:szCs w:val="20"/>
          <w:lang w:val="en-GB" w:eastAsia="zh-CN"/>
        </w:rPr>
        <w:t xml:space="preserve">transmissions over a fixed time period </w:t>
      </w:r>
      <w:r>
        <w:rPr>
          <w:rFonts w:ascii="Times New Roman" w:hAnsi="Times New Roman" w:cs="Times New Roman"/>
          <w:sz w:val="20"/>
          <w:szCs w:val="20"/>
          <w:lang w:val="en-GB" w:eastAsia="zh-CN"/>
        </w:rPr>
        <w:t xml:space="preserve">can be </w:t>
      </w:r>
      <w:r w:rsidRPr="006A12FE">
        <w:rPr>
          <w:rFonts w:ascii="Times New Roman" w:hAnsi="Times New Roman" w:cs="Times New Roman"/>
          <w:sz w:val="20"/>
          <w:szCs w:val="20"/>
          <w:lang w:val="en-GB" w:eastAsia="zh-CN"/>
        </w:rPr>
        <w:t xml:space="preserve">insufficient due to varying UL/DL </w:t>
      </w:r>
      <w:r>
        <w:rPr>
          <w:rFonts w:ascii="Times New Roman" w:hAnsi="Times New Roman" w:cs="Times New Roman"/>
          <w:sz w:val="20"/>
          <w:szCs w:val="20"/>
          <w:lang w:val="en-GB" w:eastAsia="zh-CN"/>
        </w:rPr>
        <w:t xml:space="preserve">slot </w:t>
      </w:r>
      <w:r w:rsidRPr="006A12FE">
        <w:rPr>
          <w:rFonts w:ascii="Times New Roman" w:hAnsi="Times New Roman" w:cs="Times New Roman"/>
          <w:sz w:val="20"/>
          <w:szCs w:val="20"/>
          <w:lang w:val="en-GB" w:eastAsia="zh-CN"/>
        </w:rPr>
        <w:t xml:space="preserve">configuration. </w:t>
      </w:r>
      <w:r>
        <w:rPr>
          <w:rFonts w:ascii="Times New Roman" w:hAnsi="Times New Roman" w:cs="Times New Roman"/>
          <w:sz w:val="20"/>
          <w:szCs w:val="20"/>
          <w:lang w:val="en-GB" w:eastAsia="zh-CN"/>
        </w:rPr>
        <w:t>A</w:t>
      </w:r>
      <w:r w:rsidRPr="006A12FE">
        <w:rPr>
          <w:rFonts w:ascii="Times New Roman" w:hAnsi="Times New Roman" w:cs="Times New Roman"/>
          <w:sz w:val="20"/>
          <w:szCs w:val="20"/>
          <w:lang w:val="en-GB" w:eastAsia="zh-CN"/>
        </w:rPr>
        <w:t xml:space="preserve"> minimum number of transmissions for a TB across repetitions over one or more repetition bundle within latency budget</w:t>
      </w:r>
      <w:r>
        <w:rPr>
          <w:rFonts w:ascii="Times New Roman" w:hAnsi="Times New Roman" w:cs="Times New Roman"/>
          <w:sz w:val="20"/>
          <w:szCs w:val="20"/>
          <w:lang w:val="en-GB" w:eastAsia="zh-CN"/>
        </w:rPr>
        <w:t xml:space="preserve"> should be maintained. The following alternative enhancements can be considered to meet this:</w:t>
      </w:r>
    </w:p>
    <w:p w14:paraId="6874A2F4" w14:textId="7795C7E6" w:rsidR="006A12FE" w:rsidRPr="005D51FA" w:rsidRDefault="006A12FE" w:rsidP="005D51FA">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lastRenderedPageBreak/>
        <w:t>Option</w:t>
      </w:r>
      <w:r w:rsidRPr="005D51FA">
        <w:rPr>
          <w:rFonts w:ascii="Times New Roman" w:hAnsi="Times New Roman" w:cs="Times New Roman"/>
          <w:b/>
          <w:bCs/>
          <w:sz w:val="20"/>
          <w:szCs w:val="20"/>
          <w:lang w:val="en-GB" w:eastAsia="zh-CN"/>
        </w:rPr>
        <w:t xml:space="preserve"> 1: increasing maximum number of repetitions per bundle.</w:t>
      </w:r>
      <w:r>
        <w:rPr>
          <w:rFonts w:ascii="Times New Roman" w:hAnsi="Times New Roman" w:cs="Times New Roman"/>
          <w:sz w:val="20"/>
          <w:szCs w:val="20"/>
          <w:lang w:val="en-GB" w:eastAsia="zh-CN"/>
        </w:rPr>
        <w:t xml:space="preserve"> This however r</w:t>
      </w:r>
      <w:r w:rsidRPr="005D51FA">
        <w:rPr>
          <w:rFonts w:ascii="Times New Roman" w:hAnsi="Times New Roman" w:cs="Times New Roman"/>
          <w:sz w:val="20"/>
          <w:szCs w:val="20"/>
          <w:lang w:val="en-GB" w:eastAsia="zh-CN"/>
        </w:rPr>
        <w:t>esults in unnecessary repetitions of the same TB for some bundles which have larger number of available UL slots</w:t>
      </w:r>
      <w:r>
        <w:rPr>
          <w:rFonts w:ascii="Times New Roman" w:hAnsi="Times New Roman" w:cs="Times New Roman"/>
          <w:sz w:val="20"/>
          <w:szCs w:val="20"/>
          <w:lang w:val="en-GB" w:eastAsia="zh-CN"/>
        </w:rPr>
        <w:t xml:space="preserve">, and </w:t>
      </w:r>
      <w:r w:rsidRPr="005D51FA">
        <w:rPr>
          <w:rFonts w:ascii="Times New Roman" w:hAnsi="Times New Roman" w:cs="Times New Roman"/>
          <w:sz w:val="20"/>
          <w:szCs w:val="20"/>
          <w:lang w:val="en-GB" w:eastAsia="zh-CN"/>
        </w:rPr>
        <w:t xml:space="preserve">energy </w:t>
      </w:r>
      <w:r>
        <w:rPr>
          <w:rFonts w:ascii="Times New Roman" w:hAnsi="Times New Roman" w:cs="Times New Roman"/>
          <w:sz w:val="20"/>
          <w:szCs w:val="20"/>
          <w:lang w:val="en-GB" w:eastAsia="zh-CN"/>
        </w:rPr>
        <w:t>can be</w:t>
      </w:r>
      <w:r w:rsidRPr="005D51FA">
        <w:rPr>
          <w:rFonts w:ascii="Times New Roman" w:hAnsi="Times New Roman" w:cs="Times New Roman"/>
          <w:sz w:val="20"/>
          <w:szCs w:val="20"/>
          <w:lang w:val="en-GB" w:eastAsia="zh-CN"/>
        </w:rPr>
        <w:t xml:space="preserve"> lost</w:t>
      </w:r>
      <w:r>
        <w:rPr>
          <w:rFonts w:ascii="Times New Roman" w:hAnsi="Times New Roman" w:cs="Times New Roman"/>
          <w:sz w:val="20"/>
          <w:szCs w:val="20"/>
          <w:lang w:val="en-GB" w:eastAsia="zh-CN"/>
        </w:rPr>
        <w:t>. It also results in occupying the HARQ process for longer than needed, and thus delays transmission of other new TBs and reduces the UE’s throughput.</w:t>
      </w:r>
      <w:r>
        <w:rPr>
          <w:rFonts w:ascii="Times New Roman" w:hAnsi="Times New Roman" w:cs="Times New Roman"/>
          <w:sz w:val="20"/>
          <w:szCs w:val="20"/>
          <w:lang w:val="en-GB" w:eastAsia="zh-CN"/>
        </w:rPr>
        <w:br/>
      </w:r>
    </w:p>
    <w:p w14:paraId="4CCE8969" w14:textId="49C035B5" w:rsidR="006A12FE" w:rsidRDefault="006A12FE" w:rsidP="006A12FE">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Option</w:t>
      </w:r>
      <w:r w:rsidRPr="005D51FA">
        <w:rPr>
          <w:rFonts w:ascii="Times New Roman" w:hAnsi="Times New Roman" w:cs="Times New Roman"/>
          <w:b/>
          <w:bCs/>
          <w:sz w:val="20"/>
          <w:szCs w:val="20"/>
          <w:lang w:val="en-GB" w:eastAsia="zh-CN"/>
        </w:rPr>
        <w:t xml:space="preserve"> 2: the number of repetitions counted on the basis of available UL slots</w:t>
      </w:r>
      <w:r>
        <w:rPr>
          <w:rFonts w:ascii="Times New Roman" w:hAnsi="Times New Roman" w:cs="Times New Roman"/>
          <w:sz w:val="20"/>
          <w:szCs w:val="20"/>
          <w:lang w:val="en-GB" w:eastAsia="zh-CN"/>
        </w:rPr>
        <w:t>. This can be achieved by:</w:t>
      </w:r>
    </w:p>
    <w:p w14:paraId="55A0E1F3" w14:textId="77777777" w:rsidR="006A12FE" w:rsidRDefault="006A12FE" w:rsidP="006A12FE">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i/>
          <w:iCs/>
          <w:sz w:val="20"/>
          <w:szCs w:val="20"/>
          <w:lang w:val="en-GB" w:eastAsia="zh-CN"/>
        </w:rPr>
        <w:t xml:space="preserve">Alt 1: </w:t>
      </w:r>
      <w:r w:rsidRPr="005D51FA">
        <w:rPr>
          <w:rFonts w:ascii="Times New Roman" w:hAnsi="Times New Roman" w:cs="Times New Roman"/>
          <w:i/>
          <w:iCs/>
          <w:sz w:val="20"/>
          <w:szCs w:val="20"/>
          <w:lang w:val="en-GB" w:eastAsia="zh-CN"/>
        </w:rPr>
        <w:t>Forcing a fixed number of repetitions per bundle.</w:t>
      </w:r>
      <w:r>
        <w:rPr>
          <w:rFonts w:ascii="Times New Roman" w:hAnsi="Times New Roman" w:cs="Times New Roman"/>
          <w:sz w:val="20"/>
          <w:szCs w:val="20"/>
          <w:lang w:val="en-GB" w:eastAsia="zh-CN"/>
        </w:rPr>
        <w:t xml:space="preserve"> </w:t>
      </w:r>
      <w:r w:rsidRPr="006A12FE">
        <w:rPr>
          <w:rFonts w:ascii="Times New Roman" w:hAnsi="Times New Roman" w:cs="Times New Roman"/>
          <w:sz w:val="20"/>
          <w:szCs w:val="20"/>
          <w:lang w:val="en-GB" w:eastAsia="zh-CN"/>
        </w:rPr>
        <w:t xml:space="preserve"> </w:t>
      </w:r>
    </w:p>
    <w:p w14:paraId="7E39E7F6" w14:textId="1E8E56B3" w:rsidR="006A12FE" w:rsidRPr="006A12FE" w:rsidRDefault="006A12FE" w:rsidP="005D51FA">
      <w:pPr>
        <w:pStyle w:val="ListParagraph"/>
        <w:ind w:left="14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UE may for example only count actual repetitions transmitted in uplink slots. However, this </w:t>
      </w:r>
      <w:r w:rsidRPr="006A12FE">
        <w:rPr>
          <w:rFonts w:ascii="Times New Roman" w:hAnsi="Times New Roman" w:cs="Times New Roman"/>
          <w:sz w:val="20"/>
          <w:szCs w:val="20"/>
          <w:lang w:val="en-GB" w:eastAsia="zh-CN"/>
        </w:rPr>
        <w:t>is difficult to manage with flexible symbols and SFI</w:t>
      </w:r>
      <w:r>
        <w:rPr>
          <w:rFonts w:ascii="Times New Roman" w:hAnsi="Times New Roman" w:cs="Times New Roman"/>
          <w:sz w:val="20"/>
          <w:szCs w:val="20"/>
          <w:lang w:val="en-GB" w:eastAsia="zh-CN"/>
        </w:rPr>
        <w:t xml:space="preserve"> indicating some slots as uplink</w:t>
      </w:r>
      <w:r w:rsidRPr="006A12F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as</w:t>
      </w:r>
      <w:r w:rsidRPr="006A12FE">
        <w:rPr>
          <w:rFonts w:ascii="Times New Roman" w:hAnsi="Times New Roman" w:cs="Times New Roman"/>
          <w:sz w:val="20"/>
          <w:szCs w:val="20"/>
          <w:lang w:val="en-GB" w:eastAsia="zh-CN"/>
        </w:rPr>
        <w:t xml:space="preserve"> the UE may unexpectedly extend his allocation </w:t>
      </w:r>
      <w:r>
        <w:rPr>
          <w:rFonts w:ascii="Times New Roman" w:hAnsi="Times New Roman" w:cs="Times New Roman"/>
          <w:sz w:val="20"/>
          <w:szCs w:val="20"/>
          <w:lang w:val="en-GB" w:eastAsia="zh-CN"/>
        </w:rPr>
        <w:t xml:space="preserve">or terminate the transmission of a bundle early </w:t>
      </w:r>
      <w:r w:rsidRPr="006A12FE">
        <w:rPr>
          <w:rFonts w:ascii="Times New Roman" w:hAnsi="Times New Roman" w:cs="Times New Roman"/>
          <w:sz w:val="20"/>
          <w:szCs w:val="20"/>
          <w:lang w:val="en-GB" w:eastAsia="zh-CN"/>
        </w:rPr>
        <w:t>in case of misdetection of SFI</w:t>
      </w:r>
      <w:r>
        <w:rPr>
          <w:rFonts w:ascii="Times New Roman" w:hAnsi="Times New Roman" w:cs="Times New Roman"/>
          <w:sz w:val="20"/>
          <w:szCs w:val="20"/>
          <w:lang w:val="en-GB" w:eastAsia="zh-CN"/>
        </w:rPr>
        <w:t xml:space="preserve"> DCI. This can be problematic for the purpose of soft combining</w:t>
      </w:r>
      <w:r>
        <w:rPr>
          <w:rFonts w:ascii="Times New Roman" w:hAnsi="Times New Roman" w:cs="Times New Roman"/>
          <w:sz w:val="20"/>
          <w:szCs w:val="20"/>
          <w:lang w:val="en-GB" w:eastAsia="zh-CN"/>
        </w:rPr>
        <w:br/>
      </w:r>
    </w:p>
    <w:p w14:paraId="700A41CC" w14:textId="34A50DF1" w:rsidR="006A12FE" w:rsidRPr="005D51FA" w:rsidRDefault="006A12FE" w:rsidP="005D51FA">
      <w:pPr>
        <w:pStyle w:val="ListParagraph"/>
        <w:numPr>
          <w:ilvl w:val="1"/>
          <w:numId w:val="8"/>
        </w:numPr>
        <w:rPr>
          <w:rFonts w:ascii="Times New Roman" w:hAnsi="Times New Roman" w:cs="Times New Roman"/>
          <w:i/>
          <w:iCs/>
          <w:sz w:val="20"/>
          <w:szCs w:val="20"/>
          <w:lang w:val="en-GB" w:eastAsia="zh-CN"/>
        </w:rPr>
      </w:pPr>
      <w:r w:rsidRPr="005D51FA">
        <w:rPr>
          <w:rFonts w:ascii="Times New Roman" w:hAnsi="Times New Roman" w:cs="Times New Roman"/>
          <w:i/>
          <w:iCs/>
          <w:sz w:val="20"/>
          <w:szCs w:val="20"/>
          <w:lang w:val="en-GB" w:eastAsia="zh-CN"/>
        </w:rPr>
        <w:t xml:space="preserve">Alt 2: Forcing a fixed number of repetitions over </w:t>
      </w:r>
      <w:r w:rsidR="007B1349">
        <w:rPr>
          <w:rFonts w:ascii="Times New Roman" w:hAnsi="Times New Roman" w:cs="Times New Roman"/>
          <w:i/>
          <w:iCs/>
          <w:sz w:val="20"/>
          <w:szCs w:val="20"/>
          <w:lang w:val="en-GB" w:eastAsia="zh-CN"/>
        </w:rPr>
        <w:t xml:space="preserve">multiple </w:t>
      </w:r>
      <w:r w:rsidRPr="005D51FA">
        <w:rPr>
          <w:rFonts w:ascii="Times New Roman" w:hAnsi="Times New Roman" w:cs="Times New Roman"/>
          <w:i/>
          <w:iCs/>
          <w:sz w:val="20"/>
          <w:szCs w:val="20"/>
          <w:lang w:val="en-GB" w:eastAsia="zh-CN"/>
        </w:rPr>
        <w:t>bundles for a HARQ process.</w:t>
      </w:r>
      <w:r>
        <w:rPr>
          <w:rFonts w:ascii="Times New Roman" w:hAnsi="Times New Roman" w:cs="Times New Roman"/>
          <w:i/>
          <w:iCs/>
          <w:sz w:val="20"/>
          <w:szCs w:val="20"/>
          <w:lang w:val="en-GB" w:eastAsia="zh-CN"/>
        </w:rPr>
        <w:br/>
      </w:r>
      <w:r w:rsidRPr="005D51FA">
        <w:rPr>
          <w:rFonts w:ascii="Times New Roman" w:hAnsi="Times New Roman" w:cs="Times New Roman"/>
          <w:sz w:val="20"/>
          <w:szCs w:val="20"/>
          <w:lang w:val="en-GB" w:eastAsia="zh-CN"/>
        </w:rPr>
        <w:t>One way to ensure a deterministic number of actual repetitions transmitted is to flush the HARQ buffer when the desired number is reached. Currently, the HARQ process is flushed only upon expiry of the CG timer for a CG or upon receiving another DG with NDI toggled for the same HARQ process. The CG timer, however, is set to accommodate the total transmission timer of bundle at a minimum, and possibly more time to allow for retransmissions.</w:t>
      </w:r>
      <w:r>
        <w:rPr>
          <w:rFonts w:ascii="Times New Roman" w:hAnsi="Times New Roman" w:cs="Times New Roman"/>
          <w:sz w:val="20"/>
          <w:szCs w:val="20"/>
          <w:lang w:val="en-GB" w:eastAsia="zh-CN"/>
        </w:rPr>
        <w:t xml:space="preserve"> This should not have an impact on resource allocation</w:t>
      </w:r>
    </w:p>
    <w:p w14:paraId="0D131C18" w14:textId="1F3DE84B" w:rsidR="0071195E" w:rsidRPr="001B5E34" w:rsidRDefault="003D118B">
      <w:pPr>
        <w:rPr>
          <w:rFonts w:ascii="Times New Roman" w:hAnsi="Times New Roman" w:cs="Times New Roman"/>
          <w:i/>
          <w:iCs/>
          <w:sz w:val="20"/>
          <w:szCs w:val="20"/>
          <w:lang w:val="en-GB" w:eastAsia="zh-CN"/>
        </w:rPr>
      </w:pPr>
      <w:r>
        <w:rPr>
          <w:rFonts w:ascii="Times New Roman" w:hAnsi="Times New Roman" w:cs="Times New Roman"/>
          <w:bCs/>
          <w:iCs/>
          <w:sz w:val="20"/>
          <w:szCs w:val="20"/>
          <w:lang w:val="en-GB"/>
        </w:rPr>
        <w:br/>
      </w:r>
      <w:bookmarkStart w:id="3" w:name="_Hlk61704301"/>
      <w:r w:rsidR="00CA1FAF" w:rsidRPr="001B5E34">
        <w:rPr>
          <w:rFonts w:ascii="Times New Roman" w:hAnsi="Times New Roman" w:cs="Times New Roman"/>
          <w:b/>
          <w:bCs/>
          <w:i/>
          <w:iCs/>
          <w:sz w:val="20"/>
          <w:szCs w:val="20"/>
          <w:lang w:val="en-GB" w:eastAsia="zh-CN"/>
        </w:rPr>
        <w:t>Proposal</w:t>
      </w:r>
      <w:r w:rsidR="00CA1FAF" w:rsidRPr="001B5E34">
        <w:rPr>
          <w:rFonts w:ascii="Times New Roman" w:hAnsi="Times New Roman" w:cs="Times New Roman"/>
          <w:i/>
          <w:iCs/>
          <w:sz w:val="20"/>
          <w:szCs w:val="20"/>
          <w:lang w:val="en-GB" w:eastAsia="zh-CN"/>
        </w:rPr>
        <w:t xml:space="preserve">: Support </w:t>
      </w:r>
      <w:r w:rsidR="006A12FE" w:rsidRPr="006A12FE">
        <w:rPr>
          <w:rFonts w:ascii="Times New Roman" w:hAnsi="Times New Roman" w:cs="Times New Roman"/>
          <w:i/>
          <w:iCs/>
          <w:sz w:val="20"/>
          <w:szCs w:val="20"/>
          <w:lang w:val="en-GB" w:eastAsia="zh-CN"/>
        </w:rPr>
        <w:t>enhancement to enable fixed number of repetitions for a TB over one or more bundles.</w:t>
      </w:r>
    </w:p>
    <w:bookmarkEnd w:id="3"/>
    <w:p w14:paraId="0829F414" w14:textId="77777777" w:rsidR="0058535C" w:rsidRDefault="0058535C" w:rsidP="00AC452E">
      <w:pPr>
        <w:spacing w:before="120" w:after="120"/>
        <w:jc w:val="both"/>
        <w:rPr>
          <w:rFonts w:ascii="Times New Roman" w:hAnsi="Times New Roman" w:cs="Times New Roman"/>
          <w:bCs/>
          <w:iCs/>
          <w:sz w:val="20"/>
          <w:szCs w:val="20"/>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6A20C99F" w14:textId="65C4A0C7" w:rsidR="006A12FE" w:rsidRDefault="0079265C"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The following </w:t>
      </w:r>
      <w:r w:rsidR="006A12FE">
        <w:rPr>
          <w:rFonts w:ascii="Times New Roman" w:hAnsi="Times New Roman" w:cs="Times New Roman"/>
          <w:sz w:val="20"/>
          <w:szCs w:val="20"/>
        </w:rPr>
        <w:t xml:space="preserve">is proposed in </w:t>
      </w:r>
      <w:r>
        <w:rPr>
          <w:rFonts w:ascii="Times New Roman" w:hAnsi="Times New Roman" w:cs="Times New Roman"/>
          <w:sz w:val="20"/>
          <w:szCs w:val="20"/>
        </w:rPr>
        <w:t>this contribution</w:t>
      </w:r>
      <w:r w:rsidR="006A12FE">
        <w:rPr>
          <w:rFonts w:ascii="Times New Roman" w:hAnsi="Times New Roman" w:cs="Times New Roman"/>
          <w:sz w:val="20"/>
          <w:szCs w:val="20"/>
        </w:rPr>
        <w:t>:</w:t>
      </w:r>
    </w:p>
    <w:p w14:paraId="40878978" w14:textId="77777777" w:rsidR="004E6AA6" w:rsidRPr="007648DA" w:rsidRDefault="004E6AA6" w:rsidP="004E6AA6">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6A12FE">
        <w:rPr>
          <w:rFonts w:ascii="Times New Roman" w:hAnsi="Times New Roman" w:cs="Times New Roman"/>
          <w:sz w:val="20"/>
          <w:szCs w:val="20"/>
          <w:lang w:val="en-GB" w:eastAsia="zh-CN"/>
        </w:rPr>
        <w:t>In</w:t>
      </w:r>
      <w:r>
        <w:rPr>
          <w:rFonts w:ascii="Times New Roman" w:hAnsi="Times New Roman" w:cs="Times New Roman"/>
          <w:sz w:val="20"/>
          <w:szCs w:val="20"/>
          <w:lang w:val="en-GB" w:eastAsia="zh-CN"/>
        </w:rPr>
        <w:t xml:space="preserve"> dynamic</w:t>
      </w:r>
      <w:r w:rsidRPr="006A12FE">
        <w:rPr>
          <w:rFonts w:ascii="Times New Roman" w:hAnsi="Times New Roman" w:cs="Times New Roman"/>
          <w:sz w:val="20"/>
          <w:szCs w:val="20"/>
          <w:lang w:val="en-GB" w:eastAsia="zh-CN"/>
        </w:rPr>
        <w:t xml:space="preserve"> TDD scenario, </w:t>
      </w:r>
      <w:r>
        <w:rPr>
          <w:rFonts w:ascii="Times New Roman" w:hAnsi="Times New Roman" w:cs="Times New Roman"/>
          <w:sz w:val="20"/>
          <w:szCs w:val="20"/>
          <w:lang w:val="en-GB" w:eastAsia="zh-CN"/>
        </w:rPr>
        <w:t>the</w:t>
      </w:r>
      <w:r w:rsidRPr="006A12FE">
        <w:rPr>
          <w:rFonts w:ascii="Times New Roman" w:hAnsi="Times New Roman" w:cs="Times New Roman"/>
          <w:sz w:val="20"/>
          <w:szCs w:val="20"/>
          <w:lang w:val="en-GB" w:eastAsia="zh-CN"/>
        </w:rPr>
        <w:t xml:space="preserve"> number of </w:t>
      </w:r>
      <w:r>
        <w:rPr>
          <w:rFonts w:ascii="Times New Roman" w:hAnsi="Times New Roman" w:cs="Times New Roman"/>
          <w:sz w:val="20"/>
          <w:szCs w:val="20"/>
          <w:lang w:val="en-GB" w:eastAsia="zh-CN"/>
        </w:rPr>
        <w:t xml:space="preserve">repetitions </w:t>
      </w:r>
      <w:r w:rsidRPr="006A12FE">
        <w:rPr>
          <w:rFonts w:ascii="Times New Roman" w:hAnsi="Times New Roman" w:cs="Times New Roman"/>
          <w:sz w:val="20"/>
          <w:szCs w:val="20"/>
          <w:lang w:val="en-GB" w:eastAsia="zh-CN"/>
        </w:rPr>
        <w:t>transmi</w:t>
      </w:r>
      <w:r>
        <w:rPr>
          <w:rFonts w:ascii="Times New Roman" w:hAnsi="Times New Roman" w:cs="Times New Roman"/>
          <w:sz w:val="20"/>
          <w:szCs w:val="20"/>
          <w:lang w:val="en-GB" w:eastAsia="zh-CN"/>
        </w:rPr>
        <w:t>tted</w:t>
      </w:r>
      <w:r w:rsidRPr="006A12FE">
        <w:rPr>
          <w:rFonts w:ascii="Times New Roman" w:hAnsi="Times New Roman" w:cs="Times New Roman"/>
          <w:sz w:val="20"/>
          <w:szCs w:val="20"/>
          <w:lang w:val="en-GB" w:eastAsia="zh-CN"/>
        </w:rPr>
        <w:t xml:space="preserve"> over a fixed time period </w:t>
      </w:r>
      <w:r>
        <w:rPr>
          <w:rFonts w:ascii="Times New Roman" w:hAnsi="Times New Roman" w:cs="Times New Roman"/>
          <w:sz w:val="20"/>
          <w:szCs w:val="20"/>
          <w:lang w:val="en-GB" w:eastAsia="zh-CN"/>
        </w:rPr>
        <w:t xml:space="preserve">can be variable </w:t>
      </w:r>
      <w:r w:rsidRPr="006A12FE">
        <w:rPr>
          <w:rFonts w:ascii="Times New Roman" w:hAnsi="Times New Roman" w:cs="Times New Roman"/>
          <w:sz w:val="20"/>
          <w:szCs w:val="20"/>
          <w:lang w:val="en-GB" w:eastAsia="zh-CN"/>
        </w:rPr>
        <w:t xml:space="preserve">due to varying UL/DL </w:t>
      </w:r>
      <w:r>
        <w:rPr>
          <w:rFonts w:ascii="Times New Roman" w:hAnsi="Times New Roman" w:cs="Times New Roman"/>
          <w:sz w:val="20"/>
          <w:szCs w:val="20"/>
          <w:lang w:val="en-GB" w:eastAsia="zh-CN"/>
        </w:rPr>
        <w:t>slot indications/</w:t>
      </w:r>
      <w:r w:rsidRPr="006A12FE">
        <w:rPr>
          <w:rFonts w:ascii="Times New Roman" w:hAnsi="Times New Roman" w:cs="Times New Roman"/>
          <w:sz w:val="20"/>
          <w:szCs w:val="20"/>
          <w:lang w:val="en-GB" w:eastAsia="zh-CN"/>
        </w:rPr>
        <w:t>configuration.</w:t>
      </w:r>
    </w:p>
    <w:p w14:paraId="2AB1A90C" w14:textId="77777777" w:rsidR="004E6AA6" w:rsidRDefault="004E6AA6" w:rsidP="004E6AA6">
      <w:pPr>
        <w:ind w:left="1440" w:hanging="1440"/>
        <w:rPr>
          <w:rFonts w:ascii="Times New Roman" w:hAnsi="Times New Roman" w:cs="Times New Roman"/>
          <w:bCs/>
          <w:sz w:val="20"/>
          <w:szCs w:val="20"/>
          <w:lang w:val="en-GB"/>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To avoid over dimensioning RepK, the UE can repeat the same TB over multiple bundles using the same HARQ process when the number of HARQ PIDs configured for a CG is not large.</w:t>
      </w:r>
    </w:p>
    <w:p w14:paraId="1952C4B4" w14:textId="1750F985" w:rsidR="006A12FE" w:rsidRDefault="006A12FE" w:rsidP="0079265C">
      <w:pPr>
        <w:spacing w:before="120" w:after="120"/>
        <w:jc w:val="both"/>
        <w:rPr>
          <w:rFonts w:ascii="Times New Roman" w:hAnsi="Times New Roman" w:cs="Times New Roman"/>
          <w:sz w:val="20"/>
          <w:szCs w:val="20"/>
        </w:rPr>
      </w:pPr>
      <w:r w:rsidRPr="001B5E34">
        <w:rPr>
          <w:rFonts w:ascii="Times New Roman" w:hAnsi="Times New Roman" w:cs="Times New Roman"/>
          <w:b/>
          <w:bCs/>
          <w:i/>
          <w:iCs/>
          <w:sz w:val="20"/>
          <w:szCs w:val="20"/>
          <w:lang w:val="en-GB" w:eastAsia="zh-CN"/>
        </w:rPr>
        <w:t>Proposal</w:t>
      </w:r>
      <w:r w:rsidRPr="001B5E34">
        <w:rPr>
          <w:rFonts w:ascii="Times New Roman" w:hAnsi="Times New Roman" w:cs="Times New Roman"/>
          <w:i/>
          <w:iCs/>
          <w:sz w:val="20"/>
          <w:szCs w:val="20"/>
          <w:lang w:val="en-GB" w:eastAsia="zh-CN"/>
        </w:rPr>
        <w:t xml:space="preserve">: Support </w:t>
      </w:r>
      <w:r w:rsidRPr="006A12FE">
        <w:rPr>
          <w:rFonts w:ascii="Times New Roman" w:hAnsi="Times New Roman" w:cs="Times New Roman"/>
          <w:i/>
          <w:iCs/>
          <w:sz w:val="20"/>
          <w:szCs w:val="20"/>
          <w:lang w:val="en-GB" w:eastAsia="zh-CN"/>
        </w:rPr>
        <w:t>enhancement to enable fixed number of repetitions for a TB over one or more bundles.</w:t>
      </w:r>
    </w:p>
    <w:p w14:paraId="52A5D263" w14:textId="77777777" w:rsidR="00F23793" w:rsidRDefault="00F23793" w:rsidP="00E62C35">
      <w:pPr>
        <w:spacing w:before="120" w:after="120"/>
        <w:jc w:val="both"/>
        <w:rPr>
          <w:rFonts w:ascii="Times New Roman" w:hAnsi="Times New Roman" w:cs="Times New Roman"/>
          <w:i/>
          <w:iCs/>
          <w:sz w:val="20"/>
          <w:szCs w:val="20"/>
        </w:rPr>
      </w:pP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2586D5F1" w:rsidR="00C5622C"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562CFC">
        <w:rPr>
          <w:rFonts w:ascii="Times New Roman" w:hAnsi="Times New Roman" w:cs="Times New Roman"/>
          <w:sz w:val="20"/>
          <w:szCs w:val="20"/>
          <w:lang w:eastAsia="zh-CN"/>
        </w:rPr>
        <w:t>3</w:t>
      </w:r>
      <w:r w:rsidR="00807113" w:rsidRPr="008F7262">
        <w:rPr>
          <w:rFonts w:ascii="Times New Roman" w:hAnsi="Times New Roman" w:cs="Times New Roman"/>
          <w:sz w:val="20"/>
          <w:szCs w:val="20"/>
          <w:lang w:eastAsia="zh-CN"/>
        </w:rPr>
        <w:t xml:space="preserve">e, </w:t>
      </w:r>
      <w:r w:rsidR="00562CFC">
        <w:rPr>
          <w:rFonts w:ascii="Times New Roman" w:hAnsi="Times New Roman" w:cs="Times New Roman"/>
          <w:sz w:val="20"/>
          <w:szCs w:val="20"/>
          <w:lang w:eastAsia="zh-CN"/>
        </w:rPr>
        <w:t>Nov</w:t>
      </w:r>
      <w:r w:rsidR="00807113" w:rsidRPr="008F7262">
        <w:rPr>
          <w:rFonts w:ascii="Times New Roman" w:hAnsi="Times New Roman" w:cs="Times New Roman"/>
          <w:sz w:val="20"/>
          <w:szCs w:val="20"/>
          <w:lang w:eastAsia="zh-CN"/>
        </w:rPr>
        <w:t>. 2020.</w:t>
      </w:r>
    </w:p>
    <w:p w14:paraId="313C1D94" w14:textId="6E8120F7" w:rsidR="008B31D1" w:rsidRDefault="008B31D1" w:rsidP="008B31D1">
      <w:pPr>
        <w:spacing w:before="120" w:after="120"/>
        <w:jc w:val="both"/>
        <w:rPr>
          <w:rFonts w:ascii="Times New Roman" w:hAnsi="Times New Roman" w:cs="Times New Roman"/>
          <w:i/>
          <w:iCs/>
          <w:sz w:val="20"/>
          <w:szCs w:val="20"/>
        </w:rPr>
      </w:pP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2</w:t>
      </w:r>
      <w:r w:rsidRPr="008F7262">
        <w:rPr>
          <w:rFonts w:ascii="Times New Roman" w:hAnsi="Times New Roman" w:cs="Times New Roman"/>
          <w:sz w:val="20"/>
          <w:szCs w:val="20"/>
          <w:lang w:eastAsia="zh-CN"/>
        </w:rPr>
        <w:t xml:space="preserve">] </w:t>
      </w:r>
      <w:r>
        <w:rPr>
          <w:rFonts w:ascii="Times New Roman" w:hAnsi="Times New Roman" w:cs="Times New Roman"/>
          <w:bCs/>
          <w:iCs/>
          <w:sz w:val="20"/>
          <w:szCs w:val="20"/>
          <w:lang w:val="en-GB"/>
        </w:rPr>
        <w:t>3GPP TR 38.830, “Study on NR coverage enhancements”, v17.0.0.</w:t>
      </w:r>
    </w:p>
    <w:p w14:paraId="6E9B8F76" w14:textId="0402ED1F" w:rsidR="00C62156" w:rsidRPr="008F7262" w:rsidRDefault="00C62156"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sidR="0074435A">
        <w:rPr>
          <w:rFonts w:ascii="Times New Roman" w:hAnsi="Times New Roman" w:cs="Times New Roman"/>
          <w:sz w:val="20"/>
          <w:szCs w:val="20"/>
          <w:lang w:eastAsia="zh-CN"/>
        </w:rPr>
        <w:t>3</w:t>
      </w:r>
      <w:r w:rsidRPr="008F7262">
        <w:rPr>
          <w:rFonts w:ascii="Times New Roman" w:hAnsi="Times New Roman" w:cs="Times New Roman"/>
          <w:sz w:val="20"/>
          <w:szCs w:val="20"/>
          <w:lang w:eastAsia="zh-CN"/>
        </w:rPr>
        <w:t xml:space="preserve">] </w:t>
      </w:r>
      <w:r w:rsidR="0037125F" w:rsidRPr="0037125F">
        <w:rPr>
          <w:rFonts w:ascii="Times New Roman" w:hAnsi="Times New Roman" w:cs="Times New Roman"/>
          <w:sz w:val="20"/>
          <w:szCs w:val="20"/>
          <w:lang w:eastAsia="zh-CN"/>
        </w:rPr>
        <w:t>R1-2100749</w:t>
      </w:r>
      <w:r w:rsidR="0037125F">
        <w:rPr>
          <w:rFonts w:ascii="Times New Roman" w:hAnsi="Times New Roman" w:cs="Times New Roman"/>
          <w:sz w:val="20"/>
          <w:szCs w:val="20"/>
          <w:lang w:eastAsia="zh-CN"/>
        </w:rPr>
        <w:t>, “</w:t>
      </w:r>
      <w:r w:rsidR="0037125F" w:rsidRPr="0037125F">
        <w:rPr>
          <w:rFonts w:ascii="Times New Roman" w:hAnsi="Times New Roman" w:cs="Times New Roman"/>
          <w:sz w:val="20"/>
          <w:szCs w:val="20"/>
          <w:lang w:eastAsia="zh-CN"/>
        </w:rPr>
        <w:t>Discussion on the number of HARQ processes for VoIP</w:t>
      </w:r>
      <w:r w:rsidR="0037125F">
        <w:rPr>
          <w:rFonts w:ascii="Times New Roman" w:hAnsi="Times New Roman" w:cs="Times New Roman"/>
          <w:sz w:val="20"/>
          <w:szCs w:val="20"/>
          <w:lang w:eastAsia="zh-CN"/>
        </w:rPr>
        <w:t xml:space="preserve">,” </w:t>
      </w:r>
      <w:r w:rsidR="00925809">
        <w:rPr>
          <w:rFonts w:ascii="Times New Roman" w:hAnsi="Times New Roman" w:cs="Times New Roman"/>
          <w:sz w:val="20"/>
          <w:szCs w:val="20"/>
          <w:lang w:eastAsia="zh-CN"/>
        </w:rPr>
        <w:t xml:space="preserve">InterDigital, </w:t>
      </w:r>
      <w:r w:rsidR="0037125F">
        <w:rPr>
          <w:rFonts w:ascii="Times New Roman" w:hAnsi="Times New Roman" w:cs="Times New Roman"/>
          <w:sz w:val="20"/>
          <w:szCs w:val="20"/>
          <w:lang w:eastAsia="zh-CN"/>
        </w:rPr>
        <w:t>RAN1#104e, Jan. 2021</w:t>
      </w:r>
      <w:r w:rsidRPr="008F7262">
        <w:rPr>
          <w:rFonts w:ascii="Times New Roman" w:hAnsi="Times New Roman" w:cs="Times New Roman"/>
          <w:sz w:val="20"/>
          <w:szCs w:val="20"/>
          <w:lang w:eastAsia="zh-CN"/>
        </w:rPr>
        <w:t>.</w:t>
      </w:r>
    </w:p>
    <w:p w14:paraId="2B66EA38" w14:textId="39FD05DF" w:rsidR="00C5622C" w:rsidRPr="008F7262" w:rsidRDefault="00C5622C" w:rsidP="00403690">
      <w:pPr>
        <w:rPr>
          <w:lang w:eastAsia="zh-CN"/>
        </w:rPr>
      </w:pPr>
    </w:p>
    <w:sectPr w:rsidR="00C5622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8D0C11"/>
    <w:multiLevelType w:val="hybridMultilevel"/>
    <w:tmpl w:val="1CBCC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50AC0"/>
    <w:rsid w:val="00052E03"/>
    <w:rsid w:val="00076800"/>
    <w:rsid w:val="0008120F"/>
    <w:rsid w:val="0008644D"/>
    <w:rsid w:val="000A5F61"/>
    <w:rsid w:val="000B324F"/>
    <w:rsid w:val="000C374E"/>
    <w:rsid w:val="000C51C7"/>
    <w:rsid w:val="000D254D"/>
    <w:rsid w:val="000D4221"/>
    <w:rsid w:val="00123BDB"/>
    <w:rsid w:val="001261FD"/>
    <w:rsid w:val="001268F9"/>
    <w:rsid w:val="00127125"/>
    <w:rsid w:val="00132664"/>
    <w:rsid w:val="00147BFC"/>
    <w:rsid w:val="00151346"/>
    <w:rsid w:val="001566A4"/>
    <w:rsid w:val="00176519"/>
    <w:rsid w:val="0018216D"/>
    <w:rsid w:val="0018722E"/>
    <w:rsid w:val="001B5E34"/>
    <w:rsid w:val="001C195F"/>
    <w:rsid w:val="001C66AC"/>
    <w:rsid w:val="001D5444"/>
    <w:rsid w:val="001F33B5"/>
    <w:rsid w:val="00200A4F"/>
    <w:rsid w:val="002130AF"/>
    <w:rsid w:val="00222396"/>
    <w:rsid w:val="00222B50"/>
    <w:rsid w:val="00226468"/>
    <w:rsid w:val="00231F98"/>
    <w:rsid w:val="0023625E"/>
    <w:rsid w:val="00243FC1"/>
    <w:rsid w:val="00245438"/>
    <w:rsid w:val="0025169F"/>
    <w:rsid w:val="00254662"/>
    <w:rsid w:val="0025759F"/>
    <w:rsid w:val="0026262E"/>
    <w:rsid w:val="00275240"/>
    <w:rsid w:val="00275F95"/>
    <w:rsid w:val="00282760"/>
    <w:rsid w:val="002946AD"/>
    <w:rsid w:val="002A06F5"/>
    <w:rsid w:val="002A196C"/>
    <w:rsid w:val="002C0A51"/>
    <w:rsid w:val="002C3764"/>
    <w:rsid w:val="002D34A1"/>
    <w:rsid w:val="002D3DDA"/>
    <w:rsid w:val="002D4CAA"/>
    <w:rsid w:val="002E1F6D"/>
    <w:rsid w:val="003131E4"/>
    <w:rsid w:val="00314659"/>
    <w:rsid w:val="003176B4"/>
    <w:rsid w:val="003346F0"/>
    <w:rsid w:val="00336C48"/>
    <w:rsid w:val="00344701"/>
    <w:rsid w:val="003454D4"/>
    <w:rsid w:val="00365E10"/>
    <w:rsid w:val="0037125F"/>
    <w:rsid w:val="003732FD"/>
    <w:rsid w:val="00386A1D"/>
    <w:rsid w:val="00387AB3"/>
    <w:rsid w:val="003912DC"/>
    <w:rsid w:val="00391B55"/>
    <w:rsid w:val="003A3B07"/>
    <w:rsid w:val="003A4F97"/>
    <w:rsid w:val="003B1BF3"/>
    <w:rsid w:val="003B3F2B"/>
    <w:rsid w:val="003B58FB"/>
    <w:rsid w:val="003C46EB"/>
    <w:rsid w:val="003D118B"/>
    <w:rsid w:val="003D1F7E"/>
    <w:rsid w:val="003D32BE"/>
    <w:rsid w:val="003F546F"/>
    <w:rsid w:val="00403690"/>
    <w:rsid w:val="004769D9"/>
    <w:rsid w:val="004826D5"/>
    <w:rsid w:val="0049003E"/>
    <w:rsid w:val="004A2A07"/>
    <w:rsid w:val="004C2C86"/>
    <w:rsid w:val="004C2D1D"/>
    <w:rsid w:val="004D58A7"/>
    <w:rsid w:val="004E6AA6"/>
    <w:rsid w:val="004F79F7"/>
    <w:rsid w:val="00523C58"/>
    <w:rsid w:val="00544FA3"/>
    <w:rsid w:val="00546C47"/>
    <w:rsid w:val="00552028"/>
    <w:rsid w:val="00562CFC"/>
    <w:rsid w:val="0058109D"/>
    <w:rsid w:val="00584122"/>
    <w:rsid w:val="0058535C"/>
    <w:rsid w:val="005A7358"/>
    <w:rsid w:val="005B7F79"/>
    <w:rsid w:val="005C0DA1"/>
    <w:rsid w:val="005C235A"/>
    <w:rsid w:val="005C361D"/>
    <w:rsid w:val="005D0174"/>
    <w:rsid w:val="005D3BB7"/>
    <w:rsid w:val="005D51FA"/>
    <w:rsid w:val="005E260E"/>
    <w:rsid w:val="005F04A0"/>
    <w:rsid w:val="00601564"/>
    <w:rsid w:val="00627D14"/>
    <w:rsid w:val="00633AC8"/>
    <w:rsid w:val="0064666B"/>
    <w:rsid w:val="00650763"/>
    <w:rsid w:val="00655423"/>
    <w:rsid w:val="0067003E"/>
    <w:rsid w:val="006955BB"/>
    <w:rsid w:val="006957BF"/>
    <w:rsid w:val="006A05D2"/>
    <w:rsid w:val="006A12FE"/>
    <w:rsid w:val="006C232B"/>
    <w:rsid w:val="006C3ADE"/>
    <w:rsid w:val="006D2233"/>
    <w:rsid w:val="006E771B"/>
    <w:rsid w:val="006F6014"/>
    <w:rsid w:val="00700E19"/>
    <w:rsid w:val="0071195E"/>
    <w:rsid w:val="007151C1"/>
    <w:rsid w:val="0074435A"/>
    <w:rsid w:val="00753809"/>
    <w:rsid w:val="00756C59"/>
    <w:rsid w:val="007648DA"/>
    <w:rsid w:val="0079265C"/>
    <w:rsid w:val="00796347"/>
    <w:rsid w:val="007A2FF1"/>
    <w:rsid w:val="007A5CFC"/>
    <w:rsid w:val="007B1349"/>
    <w:rsid w:val="007D0E83"/>
    <w:rsid w:val="00807113"/>
    <w:rsid w:val="00815301"/>
    <w:rsid w:val="00817E8B"/>
    <w:rsid w:val="008217BC"/>
    <w:rsid w:val="00821F74"/>
    <w:rsid w:val="00836A18"/>
    <w:rsid w:val="0084070D"/>
    <w:rsid w:val="0084392E"/>
    <w:rsid w:val="008618C1"/>
    <w:rsid w:val="00865C18"/>
    <w:rsid w:val="0087466A"/>
    <w:rsid w:val="00882244"/>
    <w:rsid w:val="008848B8"/>
    <w:rsid w:val="00884BD2"/>
    <w:rsid w:val="00897D89"/>
    <w:rsid w:val="008A4558"/>
    <w:rsid w:val="008B22B9"/>
    <w:rsid w:val="008B31D1"/>
    <w:rsid w:val="008B5101"/>
    <w:rsid w:val="008C4C33"/>
    <w:rsid w:val="008D0A91"/>
    <w:rsid w:val="008E2173"/>
    <w:rsid w:val="008F7262"/>
    <w:rsid w:val="00903294"/>
    <w:rsid w:val="00905F02"/>
    <w:rsid w:val="00906EFA"/>
    <w:rsid w:val="00914B0A"/>
    <w:rsid w:val="00916457"/>
    <w:rsid w:val="00925809"/>
    <w:rsid w:val="00932124"/>
    <w:rsid w:val="00932BCE"/>
    <w:rsid w:val="00937427"/>
    <w:rsid w:val="0095612F"/>
    <w:rsid w:val="00971136"/>
    <w:rsid w:val="009835C6"/>
    <w:rsid w:val="0098722F"/>
    <w:rsid w:val="00993016"/>
    <w:rsid w:val="009A2B6E"/>
    <w:rsid w:val="009A6D0A"/>
    <w:rsid w:val="009A7C6F"/>
    <w:rsid w:val="009C0031"/>
    <w:rsid w:val="009D31A2"/>
    <w:rsid w:val="009E639F"/>
    <w:rsid w:val="00A16531"/>
    <w:rsid w:val="00A313F2"/>
    <w:rsid w:val="00A37D4B"/>
    <w:rsid w:val="00A40E68"/>
    <w:rsid w:val="00A4480A"/>
    <w:rsid w:val="00A51A9F"/>
    <w:rsid w:val="00A51EA7"/>
    <w:rsid w:val="00A64FBD"/>
    <w:rsid w:val="00A7306C"/>
    <w:rsid w:val="00A763F0"/>
    <w:rsid w:val="00A935CE"/>
    <w:rsid w:val="00A96210"/>
    <w:rsid w:val="00A964AE"/>
    <w:rsid w:val="00AA5DAF"/>
    <w:rsid w:val="00AC452E"/>
    <w:rsid w:val="00AC48F7"/>
    <w:rsid w:val="00AD7F72"/>
    <w:rsid w:val="00AE5257"/>
    <w:rsid w:val="00AF65C6"/>
    <w:rsid w:val="00B01D24"/>
    <w:rsid w:val="00B1126C"/>
    <w:rsid w:val="00B32DF5"/>
    <w:rsid w:val="00B336BD"/>
    <w:rsid w:val="00B461D4"/>
    <w:rsid w:val="00B466C6"/>
    <w:rsid w:val="00B47D1F"/>
    <w:rsid w:val="00B53F5F"/>
    <w:rsid w:val="00B62217"/>
    <w:rsid w:val="00B9051C"/>
    <w:rsid w:val="00B92F34"/>
    <w:rsid w:val="00B953DE"/>
    <w:rsid w:val="00B964C3"/>
    <w:rsid w:val="00BB5C4F"/>
    <w:rsid w:val="00BB5EDF"/>
    <w:rsid w:val="00BC3147"/>
    <w:rsid w:val="00C00983"/>
    <w:rsid w:val="00C20C9F"/>
    <w:rsid w:val="00C5622C"/>
    <w:rsid w:val="00C62156"/>
    <w:rsid w:val="00C650F2"/>
    <w:rsid w:val="00C7310A"/>
    <w:rsid w:val="00C76721"/>
    <w:rsid w:val="00C915B5"/>
    <w:rsid w:val="00C96A74"/>
    <w:rsid w:val="00CA1FAF"/>
    <w:rsid w:val="00CA67B2"/>
    <w:rsid w:val="00CC2A30"/>
    <w:rsid w:val="00CD0D63"/>
    <w:rsid w:val="00CD5149"/>
    <w:rsid w:val="00CD756B"/>
    <w:rsid w:val="00D026A4"/>
    <w:rsid w:val="00D05AD5"/>
    <w:rsid w:val="00D06EB6"/>
    <w:rsid w:val="00D07111"/>
    <w:rsid w:val="00D10087"/>
    <w:rsid w:val="00D11EC9"/>
    <w:rsid w:val="00D1454D"/>
    <w:rsid w:val="00D24EA4"/>
    <w:rsid w:val="00D4085C"/>
    <w:rsid w:val="00D5201E"/>
    <w:rsid w:val="00D56CF4"/>
    <w:rsid w:val="00D60A0A"/>
    <w:rsid w:val="00D83706"/>
    <w:rsid w:val="00D83F41"/>
    <w:rsid w:val="00D86790"/>
    <w:rsid w:val="00D90B5E"/>
    <w:rsid w:val="00DB0439"/>
    <w:rsid w:val="00DB5ED8"/>
    <w:rsid w:val="00DC0240"/>
    <w:rsid w:val="00DC6F05"/>
    <w:rsid w:val="00DD3952"/>
    <w:rsid w:val="00DE4976"/>
    <w:rsid w:val="00E008B4"/>
    <w:rsid w:val="00E0198C"/>
    <w:rsid w:val="00E14679"/>
    <w:rsid w:val="00E20D2E"/>
    <w:rsid w:val="00E31149"/>
    <w:rsid w:val="00E464CC"/>
    <w:rsid w:val="00E62C35"/>
    <w:rsid w:val="00E74E1A"/>
    <w:rsid w:val="00E82232"/>
    <w:rsid w:val="00EB22FC"/>
    <w:rsid w:val="00EB34A3"/>
    <w:rsid w:val="00ED6171"/>
    <w:rsid w:val="00ED7393"/>
    <w:rsid w:val="00ED7CF9"/>
    <w:rsid w:val="00F07FDF"/>
    <w:rsid w:val="00F23793"/>
    <w:rsid w:val="00F5724C"/>
    <w:rsid w:val="00F637F1"/>
    <w:rsid w:val="00F724C9"/>
    <w:rsid w:val="00F75590"/>
    <w:rsid w:val="00F9205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3295</TotalTime>
  <Pages>4</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84</cp:revision>
  <dcterms:created xsi:type="dcterms:W3CDTF">2021-01-07T19:05:00Z</dcterms:created>
  <dcterms:modified xsi:type="dcterms:W3CDTF">2021-01-19T03:09:00Z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