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042498BC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#10</w:t>
      </w:r>
      <w:r w:rsidR="00136B81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136B81">
        <w:rPr>
          <w:rFonts w:ascii="Arial" w:hAnsi="Arial" w:cs="Arial"/>
          <w:b/>
          <w:bCs/>
          <w:snapToGrid w:val="0"/>
          <w:sz w:val="24"/>
          <w:lang w:val="en-GB"/>
        </w:rPr>
        <w:t>2100706</w:t>
      </w:r>
    </w:p>
    <w:p w14:paraId="35E93599" w14:textId="2A1AE3C4" w:rsidR="004C50BE" w:rsidRPr="006A0944" w:rsidRDefault="00BB2F37" w:rsidP="00BB2F37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136B81" w:rsidRPr="00136B81">
        <w:rPr>
          <w:rFonts w:ascii="Arial" w:hAnsi="Arial" w:cs="Arial"/>
          <w:b/>
          <w:bCs/>
          <w:snapToGrid w:val="0"/>
          <w:sz w:val="24"/>
          <w:lang w:val="en-GB"/>
        </w:rPr>
        <w:t xml:space="preserve">January 25th – February 5th, 2021 </w:t>
      </w:r>
    </w:p>
    <w:p w14:paraId="4EB9F59D" w14:textId="0BB9BBEB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854580" w:rsidRPr="00854580">
        <w:rPr>
          <w:sz w:val="24"/>
          <w:szCs w:val="24"/>
        </w:rPr>
        <w:t>8.4.4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7FED5E6F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BB2F37" w:rsidRPr="00BB2F37">
        <w:rPr>
          <w:sz w:val="24"/>
          <w:szCs w:val="24"/>
        </w:rPr>
        <w:t>Discussions on other aspects of NTN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10E99DE8" w14:textId="63B950B0" w:rsidR="009C1846" w:rsidRDefault="009C1846" w:rsidP="00FB1D9A">
      <w:pPr>
        <w:wordWrap/>
        <w:spacing w:before="100" w:beforeAutospacing="1" w:after="100" w:afterAutospacing="1" w:line="360" w:lineRule="auto"/>
        <w:rPr>
          <w:rFonts w:eastAsiaTheme="minorEastAsia"/>
        </w:rPr>
      </w:pPr>
      <w:r>
        <w:rPr>
          <w:rFonts w:eastAsiaTheme="minorEastAsia" w:hint="eastAsia"/>
        </w:rPr>
        <w:t xml:space="preserve"> In </w:t>
      </w:r>
      <w:r w:rsidR="00854580">
        <w:rPr>
          <w:rFonts w:eastAsiaTheme="minorEastAsia"/>
        </w:rPr>
        <w:t>the WID [1]</w:t>
      </w:r>
      <w:r>
        <w:rPr>
          <w:rFonts w:eastAsiaTheme="minorEastAsia" w:hint="eastAsia"/>
        </w:rPr>
        <w:t xml:space="preserve">, </w:t>
      </w:r>
      <w:r w:rsidR="00CD6707">
        <w:rPr>
          <w:rFonts w:eastAsiaTheme="minorEastAsia"/>
        </w:rPr>
        <w:t xml:space="preserve">the following topics are listed for further discussion and specifying if beneficial and needed. </w:t>
      </w:r>
    </w:p>
    <w:p w14:paraId="23172711" w14:textId="21D26D27" w:rsidR="00854580" w:rsidRDefault="00854580" w:rsidP="00FB1D9A">
      <w:pPr>
        <w:wordWrap/>
        <w:spacing w:before="100" w:beforeAutospacing="1" w:after="100" w:afterAutospacing="1" w:line="360" w:lineRule="auto"/>
        <w:rPr>
          <w:rFonts w:eastAsiaTheme="minorEastAsia"/>
        </w:rPr>
      </w:pPr>
      <w:r w:rsidRPr="00854580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2A8A190F" wp14:editId="1E3A9D5D">
                <wp:extent cx="5661660" cy="1404620"/>
                <wp:effectExtent l="0" t="0" r="15240" b="12065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16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6F1CF" w14:textId="77777777" w:rsidR="00080BAC" w:rsidRPr="00854580" w:rsidRDefault="00080BAC" w:rsidP="00CD670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before="100" w:beforeAutospacing="1" w:after="100" w:afterAutospacing="1" w:line="240" w:lineRule="auto"/>
                              <w:jc w:val="left"/>
                              <w:textAlignment w:val="baseline"/>
                              <w:rPr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854580">
                              <w:rPr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Enhancement on the PRACH sequence and/or format and extension of the ra-ResponseWindow duration (in the case of UE with GNSS capability but without pre-compensation of timing and frequency offset capabilities) [RAN1/2]</w:t>
                            </w:r>
                            <w:r w:rsidRPr="00854580">
                              <w:rPr>
                                <w:rFonts w:eastAsia="PMingLiU"/>
                                <w:kern w:val="0"/>
                                <w:sz w:val="20"/>
                                <w:szCs w:val="20"/>
                                <w:lang w:val="en-GB" w:eastAsia="zh-TW"/>
                              </w:rPr>
                              <w:t>.</w:t>
                            </w:r>
                          </w:p>
                          <w:p w14:paraId="33A7411B" w14:textId="77777777" w:rsidR="00080BAC" w:rsidRPr="00854580" w:rsidRDefault="00080BAC" w:rsidP="00CD670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before="100" w:beforeAutospacing="1" w:after="100" w:afterAutospacing="1" w:line="240" w:lineRule="auto"/>
                              <w:jc w:val="left"/>
                              <w:textAlignment w:val="baseline"/>
                              <w:rPr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854580">
                              <w:rPr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Feeder link switch [RAN2,RAN1]</w:t>
                            </w:r>
                          </w:p>
                          <w:p w14:paraId="32797769" w14:textId="77777777" w:rsidR="00080BAC" w:rsidRPr="00854580" w:rsidRDefault="00080BAC" w:rsidP="00CD6707"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before="100" w:beforeAutospacing="1" w:after="100" w:afterAutospacing="1" w:line="240" w:lineRule="auto"/>
                              <w:jc w:val="left"/>
                              <w:textAlignment w:val="baseline"/>
                              <w:rPr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854580">
                              <w:rPr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Beam management and Bandwidth Parts (BWP) operation for NTN with frequency reuse [RAN1/2]</w:t>
                            </w:r>
                          </w:p>
                          <w:p w14:paraId="78E6BF5F" w14:textId="77777777" w:rsidR="00080BAC" w:rsidRPr="00854580" w:rsidRDefault="00080BAC" w:rsidP="00CD6707">
                            <w:pPr>
                              <w:widowControl/>
                              <w:numPr>
                                <w:ilvl w:val="1"/>
                                <w:numId w:val="5"/>
                              </w:numPr>
                              <w:wordWrap/>
                              <w:overflowPunct w:val="0"/>
                              <w:adjustRightInd w:val="0"/>
                              <w:spacing w:after="0" w:line="240" w:lineRule="auto"/>
                              <w:jc w:val="left"/>
                              <w:textAlignment w:val="baseline"/>
                              <w:rPr>
                                <w:rFonts w:eastAsia="PMingLiU"/>
                                <w:kern w:val="0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854580">
                              <w:rPr>
                                <w:rFonts w:eastAsia="PMingLiU"/>
                                <w:kern w:val="0"/>
                                <w:sz w:val="20"/>
                                <w:szCs w:val="20"/>
                                <w:lang w:val="en-GB" w:eastAsia="zh-TW"/>
                              </w:rPr>
                              <w:t>Including signalling of polarization 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A8A190F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45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">
                <v:textbox style="mso-fit-shape-to-text:t">
                  <w:txbxContent>
                    <w:p w14:paraId="03F6F1CF" w14:textId="77777777" w:rsidR="00080BAC" w:rsidRPr="00854580" w:rsidRDefault="00080BAC" w:rsidP="00CD670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before="100" w:beforeAutospacing="1" w:after="100" w:afterAutospacing="1" w:line="240" w:lineRule="auto"/>
                        <w:jc w:val="left"/>
                        <w:textAlignment w:val="baseline"/>
                        <w:rPr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854580">
                        <w:rPr>
                          <w:kern w:val="0"/>
                          <w:sz w:val="20"/>
                          <w:szCs w:val="20"/>
                          <w:lang w:val="en-GB" w:eastAsia="en-US"/>
                        </w:rPr>
                        <w:t>Enhancement on the PRACH sequence and/or format and extension of the ra-ResponseWindow duration (in the case of UE with GNSS capability but without pre-compensation of timing and frequency offset capabilities) [RAN1/2]</w:t>
                      </w:r>
                      <w:r w:rsidRPr="00854580">
                        <w:rPr>
                          <w:rFonts w:eastAsia="PMingLiU"/>
                          <w:kern w:val="0"/>
                          <w:sz w:val="20"/>
                          <w:szCs w:val="20"/>
                          <w:lang w:val="en-GB" w:eastAsia="zh-TW"/>
                        </w:rPr>
                        <w:t>.</w:t>
                      </w:r>
                    </w:p>
                    <w:p w14:paraId="33A7411B" w14:textId="77777777" w:rsidR="00080BAC" w:rsidRPr="00854580" w:rsidRDefault="00080BAC" w:rsidP="00CD670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before="100" w:beforeAutospacing="1" w:after="100" w:afterAutospacing="1" w:line="240" w:lineRule="auto"/>
                        <w:jc w:val="left"/>
                        <w:textAlignment w:val="baseline"/>
                        <w:rPr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854580">
                        <w:rPr>
                          <w:kern w:val="0"/>
                          <w:sz w:val="20"/>
                          <w:szCs w:val="20"/>
                          <w:lang w:val="en-GB" w:eastAsia="en-US"/>
                        </w:rPr>
                        <w:t>Feeder link switch [RAN2,RAN1]</w:t>
                      </w:r>
                    </w:p>
                    <w:p w14:paraId="32797769" w14:textId="77777777" w:rsidR="00080BAC" w:rsidRPr="00854580" w:rsidRDefault="00080BAC" w:rsidP="00CD6707">
                      <w:pPr>
                        <w:widowControl/>
                        <w:numPr>
                          <w:ilvl w:val="0"/>
                          <w:numId w:val="5"/>
                        </w:numPr>
                        <w:wordWrap/>
                        <w:overflowPunct w:val="0"/>
                        <w:adjustRightInd w:val="0"/>
                        <w:spacing w:before="100" w:beforeAutospacing="1" w:after="100" w:afterAutospacing="1" w:line="240" w:lineRule="auto"/>
                        <w:jc w:val="left"/>
                        <w:textAlignment w:val="baseline"/>
                        <w:rPr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854580">
                        <w:rPr>
                          <w:kern w:val="0"/>
                          <w:sz w:val="20"/>
                          <w:szCs w:val="20"/>
                          <w:lang w:val="en-GB" w:eastAsia="en-US"/>
                        </w:rPr>
                        <w:t>Beam management and Bandwidth Parts (BWP) operation for NTN with frequency reuse [RAN1/2]</w:t>
                      </w:r>
                    </w:p>
                    <w:p w14:paraId="78E6BF5F" w14:textId="77777777" w:rsidR="00080BAC" w:rsidRPr="00854580" w:rsidRDefault="00080BAC" w:rsidP="00CD6707">
                      <w:pPr>
                        <w:widowControl/>
                        <w:numPr>
                          <w:ilvl w:val="1"/>
                          <w:numId w:val="5"/>
                        </w:numPr>
                        <w:wordWrap/>
                        <w:overflowPunct w:val="0"/>
                        <w:adjustRightInd w:val="0"/>
                        <w:spacing w:after="0" w:line="240" w:lineRule="auto"/>
                        <w:jc w:val="left"/>
                        <w:textAlignment w:val="baseline"/>
                        <w:rPr>
                          <w:rFonts w:eastAsia="PMingLiU"/>
                          <w:kern w:val="0"/>
                          <w:sz w:val="20"/>
                          <w:szCs w:val="20"/>
                          <w:lang w:val="en-GB" w:eastAsia="zh-TW"/>
                        </w:rPr>
                      </w:pPr>
                      <w:r w:rsidRPr="00854580">
                        <w:rPr>
                          <w:rFonts w:eastAsia="PMingLiU"/>
                          <w:kern w:val="0"/>
                          <w:sz w:val="20"/>
                          <w:szCs w:val="20"/>
                          <w:lang w:val="en-GB" w:eastAsia="zh-TW"/>
                        </w:rPr>
                        <w:t>Including signalling of polarization mode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35114E1" w14:textId="74D363D1" w:rsidR="0019093B" w:rsidRDefault="0019093B" w:rsidP="00FB1D9A">
      <w:pPr>
        <w:wordWrap/>
        <w:spacing w:before="100" w:beforeAutospacing="1" w:after="100" w:afterAutospacing="1" w:line="360" w:lineRule="auto"/>
        <w:rPr>
          <w:rFonts w:eastAsiaTheme="minorEastAsia"/>
        </w:rPr>
      </w:pPr>
      <w:r>
        <w:rPr>
          <w:rFonts w:eastAsiaTheme="minorEastAsia" w:hint="eastAsia"/>
        </w:rPr>
        <w:t xml:space="preserve">Also, </w:t>
      </w:r>
      <w:r>
        <w:rPr>
          <w:rFonts w:eastAsiaTheme="minorEastAsia"/>
        </w:rPr>
        <w:t>in RAN1#10</w:t>
      </w:r>
      <w:r w:rsidR="002C133C">
        <w:rPr>
          <w:rFonts w:eastAsiaTheme="minorEastAsia"/>
        </w:rPr>
        <w:t>3</w:t>
      </w:r>
      <w:r>
        <w:rPr>
          <w:rFonts w:eastAsiaTheme="minorEastAsia"/>
        </w:rPr>
        <w:t>-e meeting, following agreement</w:t>
      </w:r>
      <w:r w:rsidR="002C133C">
        <w:rPr>
          <w:rFonts w:eastAsiaTheme="minorEastAsia"/>
        </w:rPr>
        <w:t xml:space="preserve"> </w:t>
      </w:r>
      <w:r w:rsidR="002C133C">
        <w:rPr>
          <w:rFonts w:eastAsiaTheme="minorEastAsia" w:hint="eastAsia"/>
        </w:rPr>
        <w:t>on</w:t>
      </w:r>
      <w:r>
        <w:rPr>
          <w:rFonts w:eastAsiaTheme="minorEastAsia"/>
        </w:rPr>
        <w:t xml:space="preserve"> polarization</w:t>
      </w:r>
      <w:r w:rsidR="002C133C">
        <w:rPr>
          <w:rFonts w:eastAsiaTheme="minorEastAsia"/>
        </w:rPr>
        <w:t xml:space="preserve"> mode</w:t>
      </w:r>
      <w:r>
        <w:rPr>
          <w:rFonts w:eastAsiaTheme="minorEastAsia"/>
        </w:rPr>
        <w:t xml:space="preserve"> signaling w</w:t>
      </w:r>
      <w:r w:rsidR="002C133C">
        <w:rPr>
          <w:rFonts w:eastAsiaTheme="minorEastAsia"/>
        </w:rPr>
        <w:t>as</w:t>
      </w:r>
      <w:r>
        <w:rPr>
          <w:rFonts w:eastAsiaTheme="minorEastAsia"/>
        </w:rPr>
        <w:t xml:space="preserve"> made as captured below:</w:t>
      </w:r>
    </w:p>
    <w:p w14:paraId="03E51501" w14:textId="4EB32836" w:rsidR="0019093B" w:rsidRDefault="0019093B" w:rsidP="00FB1D9A">
      <w:pPr>
        <w:wordWrap/>
        <w:spacing w:before="100" w:beforeAutospacing="1" w:after="100" w:afterAutospacing="1" w:line="360" w:lineRule="auto"/>
        <w:rPr>
          <w:rFonts w:eastAsiaTheme="minorEastAsia"/>
        </w:rPr>
      </w:pPr>
      <w:r w:rsidRPr="00854580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4A1A79FB" wp14:editId="72A8EE41">
                <wp:extent cx="5731510" cy="655320"/>
                <wp:effectExtent l="0" t="0" r="21590" b="11430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FBDED" w14:textId="77777777" w:rsidR="002C133C" w:rsidRPr="002F4A5F" w:rsidRDefault="002C133C" w:rsidP="002C133C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Cs w:val="24"/>
                                <w:lang w:eastAsia="x-none"/>
                              </w:rPr>
                            </w:pPr>
                            <w:r w:rsidRPr="002F4A5F">
                              <w:rPr>
                                <w:kern w:val="0"/>
                                <w:szCs w:val="24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03616AC" w14:textId="77777777" w:rsidR="002C133C" w:rsidRPr="002F4A5F" w:rsidRDefault="002C133C" w:rsidP="002C133C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Cs w:val="24"/>
                                <w:lang w:eastAsia="x-none"/>
                              </w:rPr>
                            </w:pPr>
                            <w:r w:rsidRPr="002F4A5F">
                              <w:rPr>
                                <w:kern w:val="0"/>
                                <w:szCs w:val="24"/>
                                <w:lang w:eastAsia="x-none"/>
                              </w:rPr>
                              <w:t xml:space="preserve">Indication of polarization information for DL and UL by the network is supported. </w:t>
                            </w:r>
                          </w:p>
                          <w:p w14:paraId="16109BC7" w14:textId="77777777" w:rsidR="002C133C" w:rsidRPr="002F4A5F" w:rsidRDefault="002C133C" w:rsidP="002C133C">
                            <w:pPr>
                              <w:widowControl/>
                              <w:numPr>
                                <w:ilvl w:val="0"/>
                                <w:numId w:val="12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kern w:val="0"/>
                                <w:szCs w:val="24"/>
                                <w:lang w:eastAsia="x-none"/>
                              </w:rPr>
                            </w:pPr>
                            <w:r w:rsidRPr="002F4A5F">
                              <w:rPr>
                                <w:kern w:val="0"/>
                                <w:szCs w:val="24"/>
                                <w:lang w:eastAsia="x-none"/>
                              </w:rPr>
                              <w:t>FFS: Signaling details</w:t>
                            </w:r>
                          </w:p>
                          <w:p w14:paraId="17BBF915" w14:textId="2BB4DCB9" w:rsidR="00080BAC" w:rsidRPr="005C60FB" w:rsidRDefault="00080BAC" w:rsidP="002C133C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ind w:left="1080"/>
                              <w:jc w:val="left"/>
                              <w:rPr>
                                <w:rFonts w:ascii="Calibri" w:eastAsia="SimSun" w:hAnsi="Calibri" w:cs="Calibri"/>
                                <w:bCs/>
                                <w:iCs/>
                                <w:kern w:val="0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1A79FB" id="_x0000_s1027" type="#_x0000_t202" style="width:451.3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">
                <v:textbox>
                  <w:txbxContent>
                    <w:p w14:paraId="7A4FBDED" w14:textId="77777777" w:rsidR="002C133C" w:rsidRPr="002F4A5F" w:rsidRDefault="002C133C" w:rsidP="002C133C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Cs w:val="24"/>
                          <w:lang w:eastAsia="x-none"/>
                        </w:rPr>
                      </w:pPr>
                      <w:r w:rsidRPr="002F4A5F">
                        <w:rPr>
                          <w:kern w:val="0"/>
                          <w:szCs w:val="24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03616AC" w14:textId="77777777" w:rsidR="002C133C" w:rsidRPr="002F4A5F" w:rsidRDefault="002C133C" w:rsidP="002C133C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Cs w:val="24"/>
                          <w:lang w:eastAsia="x-none"/>
                        </w:rPr>
                      </w:pPr>
                      <w:r w:rsidRPr="002F4A5F">
                        <w:rPr>
                          <w:kern w:val="0"/>
                          <w:szCs w:val="24"/>
                          <w:lang w:eastAsia="x-none"/>
                        </w:rPr>
                        <w:t xml:space="preserve">Indication of polarization information for DL and UL by the network is supported. </w:t>
                      </w:r>
                    </w:p>
                    <w:p w14:paraId="16109BC7" w14:textId="77777777" w:rsidR="002C133C" w:rsidRPr="002F4A5F" w:rsidRDefault="002C133C" w:rsidP="002C133C">
                      <w:pPr>
                        <w:widowControl/>
                        <w:numPr>
                          <w:ilvl w:val="0"/>
                          <w:numId w:val="12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kern w:val="0"/>
                          <w:szCs w:val="24"/>
                          <w:lang w:eastAsia="x-none"/>
                        </w:rPr>
                      </w:pPr>
                      <w:r w:rsidRPr="002F4A5F">
                        <w:rPr>
                          <w:kern w:val="0"/>
                          <w:szCs w:val="24"/>
                          <w:lang w:eastAsia="x-none"/>
                        </w:rPr>
                        <w:t>FFS: Signaling details</w:t>
                      </w:r>
                    </w:p>
                    <w:p w14:paraId="17BBF915" w14:textId="2BB4DCB9" w:rsidR="00080BAC" w:rsidRPr="005C60FB" w:rsidRDefault="00080BAC" w:rsidP="002C133C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ind w:left="1080"/>
                        <w:jc w:val="left"/>
                        <w:rPr>
                          <w:rFonts w:ascii="Calibri" w:eastAsia="SimSun" w:hAnsi="Calibri" w:cs="Calibri"/>
                          <w:bCs/>
                          <w:iCs/>
                          <w:kern w:val="0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A428301" w14:textId="7AADD699" w:rsidR="00854580" w:rsidRDefault="00CD6707" w:rsidP="007915E4">
      <w:pPr>
        <w:wordWrap/>
        <w:spacing w:before="100" w:beforeAutospacing="1" w:after="100" w:afterAutospacing="1" w:line="360" w:lineRule="auto"/>
        <w:ind w:firstLine="228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>
        <w:rPr>
          <w:rFonts w:eastAsiaTheme="minorEastAsia"/>
        </w:rPr>
        <w:t xml:space="preserve">this contribution, we discuss on </w:t>
      </w:r>
      <w:r w:rsidR="00EB55CD">
        <w:rPr>
          <w:rFonts w:eastAsiaTheme="minorEastAsia" w:hint="eastAsia"/>
        </w:rPr>
        <w:t xml:space="preserve">other </w:t>
      </w:r>
      <w:r w:rsidR="00EB55CD">
        <w:rPr>
          <w:rFonts w:eastAsiaTheme="minorEastAsia"/>
        </w:rPr>
        <w:t xml:space="preserve">aspects including PRACH, polarization signaling </w:t>
      </w:r>
      <w:r w:rsidR="008F7DF2">
        <w:rPr>
          <w:rFonts w:eastAsiaTheme="minorEastAsia"/>
        </w:rPr>
        <w:t xml:space="preserve">and BWP operation </w:t>
      </w:r>
      <w:r w:rsidR="008922C9">
        <w:rPr>
          <w:rFonts w:eastAsiaTheme="minorEastAsia"/>
        </w:rPr>
        <w:t>in</w:t>
      </w:r>
      <w:r w:rsidR="00EB55CD">
        <w:rPr>
          <w:rFonts w:eastAsiaTheme="minorEastAsia"/>
        </w:rPr>
        <w:t xml:space="preserve"> NTN</w:t>
      </w:r>
      <w:r>
        <w:rPr>
          <w:rFonts w:eastAsiaTheme="minorEastAsia"/>
        </w:rPr>
        <w:t>.</w:t>
      </w:r>
    </w:p>
    <w:p w14:paraId="0B69F377" w14:textId="77777777" w:rsidR="007915E4" w:rsidRDefault="007915E4" w:rsidP="007915E4">
      <w:pPr>
        <w:wordWrap/>
        <w:spacing w:before="100" w:beforeAutospacing="1" w:after="100" w:afterAutospacing="1" w:line="360" w:lineRule="auto"/>
        <w:ind w:firstLine="228"/>
        <w:rPr>
          <w:rFonts w:eastAsiaTheme="minorEastAsia"/>
        </w:rPr>
      </w:pPr>
    </w:p>
    <w:p w14:paraId="5915F18A" w14:textId="672F4E9A" w:rsidR="00DE63A0" w:rsidRDefault="00C46AC5" w:rsidP="00FB1D9A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</w:pPr>
      <w:r>
        <w:t>Discussion</w:t>
      </w:r>
      <w:r w:rsidR="00E30138">
        <w:t xml:space="preserve"> </w:t>
      </w:r>
      <w:r w:rsidR="000E2B6F">
        <w:t xml:space="preserve"> </w:t>
      </w:r>
    </w:p>
    <w:p w14:paraId="1BBB73D8" w14:textId="3BD40F33" w:rsidR="00CD6707" w:rsidRDefault="00CD6707" w:rsidP="00FB1D9A">
      <w:pPr>
        <w:pStyle w:val="2"/>
        <w:wordWrap/>
        <w:spacing w:before="100" w:beforeAutospacing="1" w:after="100" w:afterAutospacing="1" w:line="360" w:lineRule="auto"/>
        <w:ind w:left="620" w:right="220"/>
        <w:rPr>
          <w:rFonts w:eastAsiaTheme="minorEastAsia"/>
        </w:rPr>
      </w:pPr>
      <w:r w:rsidRPr="00CD6707">
        <w:rPr>
          <w:rFonts w:eastAsiaTheme="minorEastAsia" w:hint="eastAsia"/>
        </w:rPr>
        <w:t>Enhancement on PRACH</w:t>
      </w:r>
    </w:p>
    <w:p w14:paraId="71649168" w14:textId="4B02CABA" w:rsidR="00420DF1" w:rsidRDefault="00420DF1" w:rsidP="00420DF1">
      <w:pPr>
        <w:wordWrap/>
        <w:spacing w:before="100" w:beforeAutospacing="1" w:after="100" w:afterAutospacing="1" w:line="360" w:lineRule="auto"/>
        <w:ind w:firstLine="228"/>
        <w:rPr>
          <w:rFonts w:eastAsiaTheme="minorEastAsia"/>
        </w:rPr>
      </w:pPr>
      <w:r w:rsidRPr="00170779">
        <w:rPr>
          <w:rFonts w:eastAsiaTheme="minorEastAsia"/>
        </w:rPr>
        <w:t>In general, GNSS-equipped UE can obtain its location and reference time through GNSS.</w:t>
      </w:r>
      <w:r>
        <w:rPr>
          <w:rFonts w:eastAsiaTheme="minorEastAsia"/>
        </w:rPr>
        <w:t xml:space="preserve"> In this case, </w:t>
      </w:r>
      <w:r w:rsidRPr="00B21E2C">
        <w:rPr>
          <w:rFonts w:eastAsiaTheme="minorEastAsia"/>
        </w:rPr>
        <w:t>existing Rel-15 PRACH formats and preamble sequences can be reused</w:t>
      </w:r>
      <w:r>
        <w:rPr>
          <w:rFonts w:eastAsiaTheme="minorEastAsia"/>
        </w:rPr>
        <w:t xml:space="preserve">. However, </w:t>
      </w:r>
      <w:r w:rsidRPr="007E5EFF">
        <w:t xml:space="preserve">if </w:t>
      </w:r>
      <w:r>
        <w:t>GNSS-equipped UE</w:t>
      </w:r>
      <w:r w:rsidRPr="007E5EFF">
        <w:t xml:space="preserve"> </w:t>
      </w:r>
      <w:r>
        <w:t>is</w:t>
      </w:r>
      <w:r w:rsidRPr="007E5EFF">
        <w:t xml:space="preserve"> in </w:t>
      </w:r>
      <w:r>
        <w:t xml:space="preserve">a particular </w:t>
      </w:r>
      <w:r w:rsidRPr="007E5EFF">
        <w:t>situations (</w:t>
      </w:r>
      <w:r>
        <w:t>e.g., indoor</w:t>
      </w:r>
      <w:r w:rsidRPr="007E5EFF">
        <w:t>, underground</w:t>
      </w:r>
      <w:r>
        <w:t>, etc.</w:t>
      </w:r>
      <w:r w:rsidRPr="007E5EFF">
        <w:t>),</w:t>
      </w:r>
      <w:r>
        <w:t xml:space="preserve"> it</w:t>
      </w:r>
      <w:r w:rsidRPr="007E5EFF">
        <w:t xml:space="preserve"> may </w:t>
      </w:r>
      <w:r w:rsidR="00FC6633">
        <w:t>be hard to obtain</w:t>
      </w:r>
      <w:r w:rsidR="0048221E">
        <w:t xml:space="preserve"> the</w:t>
      </w:r>
      <w:r w:rsidR="00FC6633">
        <w:t xml:space="preserve"> accurate</w:t>
      </w:r>
      <w:r>
        <w:t xml:space="preserve"> </w:t>
      </w:r>
      <w:r>
        <w:lastRenderedPageBreak/>
        <w:t>l</w:t>
      </w:r>
      <w:r w:rsidRPr="007E5EFF">
        <w:t>ocation</w:t>
      </w:r>
      <w:r>
        <w:t xml:space="preserve"> and </w:t>
      </w:r>
      <w:r w:rsidR="00FC6633">
        <w:t xml:space="preserve">the </w:t>
      </w:r>
      <w:r>
        <w:t>reference time</w:t>
      </w:r>
      <w:r w:rsidRPr="007E5EFF">
        <w:t xml:space="preserve"> because the</w:t>
      </w:r>
      <w:r>
        <w:t xml:space="preserve"> accuracy of the GNSS may be reduced. In this situation, </w:t>
      </w:r>
      <w:r w:rsidRPr="00B21E2C">
        <w:rPr>
          <w:rFonts w:eastAsiaTheme="minorEastAsia"/>
        </w:rPr>
        <w:t>existing Rel-15 PRACH formats and preamble sequences can</w:t>
      </w:r>
      <w:r>
        <w:rPr>
          <w:rFonts w:eastAsiaTheme="minorEastAsia"/>
        </w:rPr>
        <w:t>not</w:t>
      </w:r>
      <w:r w:rsidRPr="00B21E2C">
        <w:rPr>
          <w:rFonts w:eastAsiaTheme="minorEastAsia"/>
        </w:rPr>
        <w:t xml:space="preserve"> be reused</w:t>
      </w:r>
      <w:r>
        <w:rPr>
          <w:rFonts w:eastAsiaTheme="minorEastAsia"/>
        </w:rPr>
        <w:t xml:space="preserve">. Therefore, </w:t>
      </w:r>
      <w:r>
        <w:rPr>
          <w:rFonts w:eastAsiaTheme="minorEastAsia"/>
        </w:rPr>
        <w:t xml:space="preserve">following </w:t>
      </w:r>
      <w:r w:rsidRPr="00B21E2C">
        <w:rPr>
          <w:rFonts w:eastAsiaTheme="minorEastAsia"/>
        </w:rPr>
        <w:t>four options can be considered for the enhanced PRACH formats and/or preamble sequences</w:t>
      </w:r>
      <w:r>
        <w:rPr>
          <w:rFonts w:eastAsiaTheme="minorEastAsia"/>
        </w:rPr>
        <w:t xml:space="preserve"> in TR38.821 [2].</w:t>
      </w:r>
    </w:p>
    <w:p w14:paraId="3A2B483B" w14:textId="77777777" w:rsidR="00420DF1" w:rsidRPr="00BA1DC1" w:rsidRDefault="00420DF1" w:rsidP="00420DF1">
      <w:pPr>
        <w:pStyle w:val="LGTdoc1"/>
        <w:numPr>
          <w:ilvl w:val="0"/>
          <w:numId w:val="10"/>
        </w:numPr>
        <w:snapToGrid/>
        <w:spacing w:beforeLines="0" w:before="100" w:beforeAutospacing="1" w:line="360" w:lineRule="auto"/>
        <w:contextualSpacing/>
        <w:rPr>
          <w:b w:val="0"/>
          <w:sz w:val="22"/>
          <w:szCs w:val="22"/>
          <w:lang w:val="en-US"/>
        </w:rPr>
      </w:pPr>
      <w:r w:rsidRPr="00BA1DC1">
        <w:rPr>
          <w:b w:val="0"/>
          <w:sz w:val="22"/>
          <w:szCs w:val="22"/>
          <w:lang w:val="en-US"/>
        </w:rPr>
        <w:t>Option</w:t>
      </w:r>
      <w:r>
        <w:rPr>
          <w:b w:val="0"/>
          <w:sz w:val="22"/>
          <w:szCs w:val="22"/>
          <w:lang w:val="en-US"/>
        </w:rPr>
        <w:t xml:space="preserve"> </w:t>
      </w:r>
      <w:r w:rsidRPr="00BA1DC1">
        <w:rPr>
          <w:b w:val="0"/>
          <w:sz w:val="22"/>
          <w:szCs w:val="22"/>
          <w:lang w:val="en-US"/>
        </w:rPr>
        <w:t>1: A single Zadoff-Chu sequence based on</w:t>
      </w:r>
      <w:r>
        <w:rPr>
          <w:b w:val="0"/>
          <w:sz w:val="22"/>
          <w:szCs w:val="22"/>
          <w:lang w:val="en-US"/>
        </w:rPr>
        <w:t xml:space="preserve"> larger SCS, repetition number.</w:t>
      </w:r>
    </w:p>
    <w:p w14:paraId="297EC63E" w14:textId="77777777" w:rsidR="00420DF1" w:rsidRPr="00BA1DC1" w:rsidRDefault="00420DF1" w:rsidP="00420DF1">
      <w:pPr>
        <w:pStyle w:val="LGTdoc1"/>
        <w:numPr>
          <w:ilvl w:val="0"/>
          <w:numId w:val="10"/>
        </w:numPr>
        <w:spacing w:beforeAutospacing="1" w:line="360" w:lineRule="auto"/>
        <w:contextualSpacing/>
        <w:rPr>
          <w:b w:val="0"/>
          <w:sz w:val="22"/>
          <w:szCs w:val="22"/>
          <w:lang w:val="en-US"/>
        </w:rPr>
      </w:pPr>
      <w:r w:rsidRPr="00BA1DC1">
        <w:rPr>
          <w:b w:val="0"/>
          <w:sz w:val="22"/>
          <w:szCs w:val="22"/>
          <w:lang w:val="en-US"/>
        </w:rPr>
        <w:t>Option 2: A solution based on multiple Zadoff-Chu sequences with different roots</w:t>
      </w:r>
      <w:r>
        <w:rPr>
          <w:b w:val="0"/>
          <w:sz w:val="22"/>
          <w:szCs w:val="22"/>
          <w:lang w:val="en-US"/>
        </w:rPr>
        <w:t>.</w:t>
      </w:r>
    </w:p>
    <w:p w14:paraId="7F8804F2" w14:textId="77777777" w:rsidR="00420DF1" w:rsidRPr="00BA1DC1" w:rsidRDefault="00420DF1" w:rsidP="00420DF1">
      <w:pPr>
        <w:pStyle w:val="LGTdoc1"/>
        <w:numPr>
          <w:ilvl w:val="0"/>
          <w:numId w:val="10"/>
        </w:numPr>
        <w:spacing w:beforeAutospacing="1" w:line="360" w:lineRule="auto"/>
        <w:contextualSpacing/>
        <w:rPr>
          <w:b w:val="0"/>
          <w:sz w:val="22"/>
          <w:szCs w:val="22"/>
          <w:lang w:val="en-US"/>
        </w:rPr>
      </w:pPr>
      <w:r w:rsidRPr="00BA1DC1">
        <w:rPr>
          <w:b w:val="0"/>
          <w:sz w:val="22"/>
          <w:szCs w:val="22"/>
          <w:lang w:val="en-US"/>
        </w:rPr>
        <w:t>Option 3: Gold/m-sequence as preamble sequence with additional process, e.g., modulation and transform precoding</w:t>
      </w:r>
      <w:r>
        <w:rPr>
          <w:b w:val="0"/>
          <w:sz w:val="22"/>
          <w:szCs w:val="22"/>
          <w:lang w:val="en-US"/>
        </w:rPr>
        <w:t>.</w:t>
      </w:r>
    </w:p>
    <w:p w14:paraId="2032C29C" w14:textId="77777777" w:rsidR="00420DF1" w:rsidRPr="00BA1DC1" w:rsidRDefault="00420DF1" w:rsidP="00420DF1">
      <w:pPr>
        <w:pStyle w:val="LGTdoc1"/>
        <w:numPr>
          <w:ilvl w:val="0"/>
          <w:numId w:val="10"/>
        </w:numPr>
        <w:snapToGrid/>
        <w:spacing w:beforeLines="0" w:before="100" w:beforeAutospacing="1" w:line="360" w:lineRule="auto"/>
        <w:contextualSpacing/>
        <w:rPr>
          <w:rFonts w:eastAsiaTheme="minorEastAsia"/>
          <w:sz w:val="22"/>
          <w:szCs w:val="22"/>
          <w:lang w:val="en-US"/>
        </w:rPr>
      </w:pPr>
      <w:r w:rsidRPr="00BA1DC1">
        <w:rPr>
          <w:b w:val="0"/>
          <w:sz w:val="22"/>
          <w:szCs w:val="22"/>
          <w:lang w:val="en-US"/>
        </w:rPr>
        <w:t>Option 4: A single Zadoff-Chu sequence with combination of scrambling sequence</w:t>
      </w:r>
      <w:r>
        <w:rPr>
          <w:b w:val="0"/>
          <w:sz w:val="22"/>
          <w:szCs w:val="22"/>
          <w:lang w:val="en-US"/>
        </w:rPr>
        <w:t>.</w:t>
      </w:r>
    </w:p>
    <w:p w14:paraId="5660968A" w14:textId="77777777" w:rsidR="00420DF1" w:rsidRPr="00BA1DC1" w:rsidRDefault="00420DF1" w:rsidP="00420DF1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szCs w:val="22"/>
          <w:lang w:val="en-US"/>
        </w:rPr>
      </w:pPr>
    </w:p>
    <w:p w14:paraId="527C0AFE" w14:textId="4E6570D5" w:rsidR="00420DF1" w:rsidRPr="00B21E2C" w:rsidRDefault="00420DF1" w:rsidP="00420DF1">
      <w:pPr>
        <w:wordWrap/>
        <w:spacing w:before="100" w:beforeAutospacing="1" w:after="100" w:afterAutospacing="1" w:line="360" w:lineRule="auto"/>
        <w:ind w:firstLine="228"/>
        <w:rPr>
          <w:rFonts w:eastAsiaTheme="minorEastAsia"/>
        </w:rPr>
      </w:pPr>
      <w:r w:rsidRPr="00B21E2C">
        <w:rPr>
          <w:rFonts w:eastAsiaTheme="minorEastAsia"/>
        </w:rPr>
        <w:t xml:space="preserve">Regarding this issue, </w:t>
      </w:r>
      <w:r>
        <w:rPr>
          <w:rFonts w:eastAsiaTheme="minorEastAsia" w:hint="eastAsia"/>
        </w:rPr>
        <w:t xml:space="preserve">it is </w:t>
      </w:r>
      <w:r>
        <w:rPr>
          <w:rFonts w:eastAsiaTheme="minorEastAsia"/>
        </w:rPr>
        <w:t>necessary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to discuss further in Rel-17 NTN WI phase. </w:t>
      </w:r>
      <w:r w:rsidRPr="00B21E2C">
        <w:rPr>
          <w:rFonts w:eastAsiaTheme="minorEastAsia"/>
        </w:rPr>
        <w:t>If it is agreed</w:t>
      </w:r>
      <w:r w:rsidR="000C0CDD">
        <w:rPr>
          <w:rFonts w:eastAsiaTheme="minorEastAsia"/>
        </w:rPr>
        <w:t xml:space="preserve"> that</w:t>
      </w:r>
      <w:r w:rsidRPr="00B21E2C">
        <w:rPr>
          <w:rFonts w:eastAsiaTheme="minorEastAsia"/>
        </w:rPr>
        <w:t xml:space="preserve"> the enhanced PRACH formats and/or preamble sequences </w:t>
      </w:r>
      <w:r w:rsidR="000C0CDD">
        <w:rPr>
          <w:rFonts w:eastAsiaTheme="minorEastAsia"/>
        </w:rPr>
        <w:t>are</w:t>
      </w:r>
      <w:r w:rsidRPr="00B21E2C">
        <w:rPr>
          <w:rFonts w:eastAsiaTheme="minorEastAsia"/>
        </w:rPr>
        <w:t xml:space="preserve"> necessary, and if one of the above options should be supported, the Option 1 is preferred over other options due to the</w:t>
      </w:r>
      <w:r w:rsidR="000C0CDD">
        <w:rPr>
          <w:rFonts w:eastAsiaTheme="minorEastAsia"/>
        </w:rPr>
        <w:t xml:space="preserve"> minimum impact on </w:t>
      </w:r>
      <w:r w:rsidRPr="00B21E2C">
        <w:rPr>
          <w:rFonts w:eastAsiaTheme="minorEastAsia"/>
        </w:rPr>
        <w:t>specification considering the limited time budget in Rel-17 NTN.</w:t>
      </w:r>
    </w:p>
    <w:p w14:paraId="7BBE8A76" w14:textId="77777777" w:rsidR="00420DF1" w:rsidRPr="00363D6E" w:rsidRDefault="00420DF1" w:rsidP="00420DF1">
      <w:pPr>
        <w:wordWrap/>
        <w:spacing w:before="100" w:beforeAutospacing="1" w:after="100" w:afterAutospacing="1" w:line="360" w:lineRule="auto"/>
        <w:rPr>
          <w:rFonts w:eastAsiaTheme="minorEastAsia"/>
          <w:b/>
        </w:rPr>
      </w:pPr>
      <w:r w:rsidRPr="00363D6E">
        <w:rPr>
          <w:rFonts w:eastAsiaTheme="minorEastAsia" w:hint="eastAsia"/>
          <w:b/>
        </w:rPr>
        <w:t xml:space="preserve">Proposal 1. </w:t>
      </w:r>
      <w:r w:rsidRPr="00363D6E">
        <w:rPr>
          <w:rFonts w:eastAsiaTheme="minorEastAsia"/>
          <w:b/>
        </w:rPr>
        <w:t>If enhanced PRACH formats and/or preamble sequences are necessary and supported in Rel-17 NTN, the option with simple modification, such as a single Zadoff-Chu sequence based on larger SCS and repetition number, is preferred.</w:t>
      </w:r>
    </w:p>
    <w:p w14:paraId="36482667" w14:textId="77777777" w:rsidR="00CD6707" w:rsidRPr="00420DF1" w:rsidRDefault="00CD6707" w:rsidP="00FB1D9A">
      <w:pPr>
        <w:wordWrap/>
        <w:spacing w:before="100" w:beforeAutospacing="1" w:after="100" w:afterAutospacing="1" w:line="360" w:lineRule="auto"/>
        <w:rPr>
          <w:rFonts w:eastAsiaTheme="minorEastAsia"/>
        </w:rPr>
      </w:pPr>
    </w:p>
    <w:p w14:paraId="075C2F4B" w14:textId="1CD4A272" w:rsidR="00CD6707" w:rsidRPr="00CD6707" w:rsidRDefault="00CD6707" w:rsidP="00FB1D9A">
      <w:pPr>
        <w:pStyle w:val="2"/>
        <w:wordWrap/>
        <w:spacing w:before="100" w:beforeAutospacing="1" w:after="100" w:afterAutospacing="1" w:line="360" w:lineRule="auto"/>
        <w:ind w:left="620" w:right="220"/>
        <w:rPr>
          <w:rFonts w:eastAsiaTheme="minorEastAsia"/>
        </w:rPr>
      </w:pPr>
      <w:r>
        <w:rPr>
          <w:rFonts w:eastAsiaTheme="minorEastAsia"/>
        </w:rPr>
        <w:t xml:space="preserve">Polarization </w:t>
      </w:r>
      <w:r w:rsidR="00F165D9">
        <w:rPr>
          <w:rFonts w:eastAsiaTheme="minorEastAsia"/>
        </w:rPr>
        <w:t>mode signaling</w:t>
      </w:r>
      <w:r>
        <w:rPr>
          <w:rFonts w:eastAsiaTheme="minorEastAsia"/>
        </w:rPr>
        <w:t xml:space="preserve"> </w:t>
      </w:r>
    </w:p>
    <w:p w14:paraId="0B8D57FF" w14:textId="16414CCB" w:rsidR="00931FE0" w:rsidRPr="004430F3" w:rsidRDefault="00CD6707" w:rsidP="00FB1D9A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</w:rPr>
      </w:pPr>
      <w:r w:rsidRPr="004430F3">
        <w:rPr>
          <w:b w:val="0"/>
          <w:sz w:val="22"/>
        </w:rPr>
        <w:t xml:space="preserve">In this </w:t>
      </w:r>
      <w:r w:rsidR="00C30DD1" w:rsidRPr="004430F3">
        <w:rPr>
          <w:b w:val="0"/>
          <w:sz w:val="22"/>
        </w:rPr>
        <w:t>sub-</w:t>
      </w:r>
      <w:r w:rsidRPr="004430F3">
        <w:rPr>
          <w:b w:val="0"/>
          <w:sz w:val="22"/>
        </w:rPr>
        <w:t>section</w:t>
      </w:r>
      <w:r w:rsidR="00192112" w:rsidRPr="004430F3">
        <w:rPr>
          <w:b w:val="0"/>
          <w:sz w:val="22"/>
        </w:rPr>
        <w:t xml:space="preserve">, we discuss on the polarization mode signalling. </w:t>
      </w:r>
      <w:r w:rsidR="00931FE0" w:rsidRPr="004430F3">
        <w:rPr>
          <w:b w:val="0"/>
          <w:sz w:val="22"/>
        </w:rPr>
        <w:t xml:space="preserve">Circular polarization can be consists of two perpendicular electromagnetic plane waves of equal amplitude </w:t>
      </w:r>
      <w:r w:rsidR="006B0EB2">
        <w:rPr>
          <w:b w:val="0"/>
          <w:sz w:val="22"/>
        </w:rPr>
        <w:t xml:space="preserve">with </w:t>
      </w:r>
      <w:r w:rsidR="00931FE0" w:rsidRPr="004430F3">
        <w:rPr>
          <w:b w:val="0"/>
          <w:sz w:val="22"/>
        </w:rPr>
        <w:t>90° phase difference</w:t>
      </w:r>
      <w:r w:rsidR="00AE3C33" w:rsidRPr="004430F3">
        <w:rPr>
          <w:b w:val="0"/>
          <w:sz w:val="22"/>
        </w:rPr>
        <w:t xml:space="preserve"> as shown in Figure 1</w:t>
      </w:r>
      <w:r w:rsidR="00931FE0" w:rsidRPr="004430F3">
        <w:rPr>
          <w:b w:val="0"/>
          <w:sz w:val="22"/>
        </w:rPr>
        <w:t>. Depending on phase difference, rotati</w:t>
      </w:r>
      <w:r w:rsidR="006B0EB2">
        <w:rPr>
          <w:b w:val="0"/>
          <w:sz w:val="22"/>
        </w:rPr>
        <w:t>ng</w:t>
      </w:r>
      <w:r w:rsidR="00931FE0" w:rsidRPr="004430F3">
        <w:rPr>
          <w:b w:val="0"/>
          <w:sz w:val="22"/>
        </w:rPr>
        <w:t xml:space="preserve"> direction can be </w:t>
      </w:r>
      <w:r w:rsidR="00A83FC5" w:rsidRPr="004430F3">
        <w:rPr>
          <w:b w:val="0"/>
          <w:sz w:val="22"/>
        </w:rPr>
        <w:t>determined</w:t>
      </w:r>
      <w:r w:rsidR="00931FE0" w:rsidRPr="004430F3">
        <w:rPr>
          <w:b w:val="0"/>
          <w:sz w:val="22"/>
        </w:rPr>
        <w:t xml:space="preserve"> (e.g. LHCP or RHCP). </w:t>
      </w:r>
      <w:r w:rsidR="00A83FC5" w:rsidRPr="004430F3">
        <w:rPr>
          <w:b w:val="0"/>
          <w:sz w:val="22"/>
        </w:rPr>
        <w:t xml:space="preserve">Compared to linear polarization, circular polarization can provide more robustness in signal degradation </w:t>
      </w:r>
      <w:r w:rsidR="00AE3C33" w:rsidRPr="004430F3">
        <w:rPr>
          <w:b w:val="0"/>
          <w:sz w:val="22"/>
        </w:rPr>
        <w:t>caused by</w:t>
      </w:r>
      <w:r w:rsidR="00A83FC5" w:rsidRPr="004430F3">
        <w:rPr>
          <w:b w:val="0"/>
          <w:sz w:val="22"/>
        </w:rPr>
        <w:t xml:space="preserve"> atmospheric condition</w:t>
      </w:r>
      <w:r w:rsidR="00AE3C33" w:rsidRPr="004430F3">
        <w:rPr>
          <w:b w:val="0"/>
          <w:sz w:val="22"/>
        </w:rPr>
        <w:t>,</w:t>
      </w:r>
      <w:r w:rsidR="00A83FC5" w:rsidRPr="004430F3">
        <w:rPr>
          <w:b w:val="0"/>
          <w:sz w:val="22"/>
        </w:rPr>
        <w:t xml:space="preserve"> and thus can provide higher link reliability. </w:t>
      </w:r>
    </w:p>
    <w:p w14:paraId="1799FAA4" w14:textId="77777777" w:rsidR="006A00F0" w:rsidRPr="004430F3" w:rsidRDefault="006A00F0" w:rsidP="00FB1D9A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</w:rPr>
      </w:pPr>
    </w:p>
    <w:p w14:paraId="7BB455E5" w14:textId="0A16D8CC" w:rsidR="006A00F0" w:rsidRPr="004430F3" w:rsidRDefault="00931FE0" w:rsidP="00FB1D9A">
      <w:pPr>
        <w:pStyle w:val="LGTdoc1"/>
        <w:snapToGrid/>
        <w:spacing w:beforeLines="0" w:before="100" w:beforeAutospacing="1" w:line="360" w:lineRule="auto"/>
        <w:contextualSpacing/>
        <w:jc w:val="center"/>
        <w:rPr>
          <w:b w:val="0"/>
          <w:sz w:val="22"/>
        </w:rPr>
      </w:pPr>
      <w:r w:rsidRPr="004430F3">
        <w:rPr>
          <w:noProof/>
          <w:lang w:val="en-US"/>
        </w:rPr>
        <w:lastRenderedPageBreak/>
        <w:drawing>
          <wp:inline distT="0" distB="0" distL="0" distR="0" wp14:anchorId="2987BBB7" wp14:editId="6122896E">
            <wp:extent cx="5005413" cy="2448887"/>
            <wp:effectExtent l="0" t="0" r="5080" b="8890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968" cy="245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501CAA" w14:textId="1CFADA81" w:rsidR="006A00F0" w:rsidRPr="004430F3" w:rsidRDefault="00931FE0" w:rsidP="00FB1D9A">
      <w:pPr>
        <w:pStyle w:val="LGTdoc1"/>
        <w:snapToGrid/>
        <w:spacing w:beforeLines="0" w:before="100" w:beforeAutospacing="1" w:line="360" w:lineRule="auto"/>
        <w:contextualSpacing/>
        <w:jc w:val="center"/>
        <w:rPr>
          <w:b w:val="0"/>
          <w:sz w:val="22"/>
        </w:rPr>
      </w:pPr>
      <w:r w:rsidRPr="004430F3">
        <w:rPr>
          <w:rFonts w:hint="eastAsia"/>
          <w:b w:val="0"/>
          <w:sz w:val="22"/>
        </w:rPr>
        <w:t xml:space="preserve">Figure 1. Linear </w:t>
      </w:r>
      <w:r w:rsidRPr="004430F3">
        <w:rPr>
          <w:b w:val="0"/>
          <w:sz w:val="22"/>
        </w:rPr>
        <w:t>polarization</w:t>
      </w:r>
      <w:r w:rsidRPr="004430F3">
        <w:rPr>
          <w:rFonts w:hint="eastAsia"/>
          <w:b w:val="0"/>
          <w:sz w:val="22"/>
        </w:rPr>
        <w:t xml:space="preserve"> </w:t>
      </w:r>
      <w:r w:rsidRPr="004430F3">
        <w:rPr>
          <w:b w:val="0"/>
          <w:sz w:val="22"/>
        </w:rPr>
        <w:t>vs circular polarization</w:t>
      </w:r>
    </w:p>
    <w:p w14:paraId="1CAA8256" w14:textId="45282287" w:rsidR="00E0378C" w:rsidRDefault="000317CE" w:rsidP="00651BEA">
      <w:pPr>
        <w:wordWrap/>
        <w:spacing w:before="100" w:beforeAutospacing="1" w:after="100" w:afterAutospacing="1" w:line="360" w:lineRule="auto"/>
        <w:ind w:firstLine="228"/>
        <w:rPr>
          <w:rFonts w:eastAsiaTheme="minorEastAsia"/>
        </w:rPr>
      </w:pPr>
      <w:r w:rsidRPr="004430F3">
        <w:rPr>
          <w:rFonts w:eastAsiaTheme="minorEastAsia" w:hint="eastAsia"/>
        </w:rPr>
        <w:t>Inter</w:t>
      </w:r>
      <w:r w:rsidRPr="004430F3">
        <w:rPr>
          <w:rFonts w:eastAsiaTheme="minorEastAsia"/>
        </w:rPr>
        <w:t>-</w:t>
      </w:r>
      <w:r w:rsidRPr="004430F3">
        <w:rPr>
          <w:rFonts w:eastAsiaTheme="minorEastAsia" w:hint="eastAsia"/>
        </w:rPr>
        <w:t xml:space="preserve">cell interference mitigation is important </w:t>
      </w:r>
      <w:r w:rsidR="00AE3C33" w:rsidRPr="004430F3">
        <w:rPr>
          <w:rFonts w:eastAsiaTheme="minorEastAsia"/>
        </w:rPr>
        <w:t xml:space="preserve">issue </w:t>
      </w:r>
      <w:r w:rsidRPr="004430F3">
        <w:rPr>
          <w:rFonts w:eastAsiaTheme="minorEastAsia" w:hint="eastAsia"/>
        </w:rPr>
        <w:t xml:space="preserve">not only for NTN but also for TN. </w:t>
      </w:r>
      <w:r w:rsidRPr="004430F3">
        <w:rPr>
          <w:rFonts w:eastAsiaTheme="minorEastAsia"/>
        </w:rPr>
        <w:t>This interference mitigation can be achieved by configuring different polarization from neighboring cells. By a</w:t>
      </w:r>
      <w:r w:rsidR="00C73C6D">
        <w:rPr>
          <w:rFonts w:eastAsiaTheme="minorEastAsia"/>
        </w:rPr>
        <w:t>pplying</w:t>
      </w:r>
      <w:r w:rsidRPr="004430F3">
        <w:rPr>
          <w:rFonts w:eastAsiaTheme="minorEastAsia"/>
        </w:rPr>
        <w:t xml:space="preserve"> polarization domain in addition to frequency domain, network can be more flexib</w:t>
      </w:r>
      <w:r w:rsidR="00FB1D9A" w:rsidRPr="004430F3">
        <w:rPr>
          <w:rFonts w:eastAsiaTheme="minorEastAsia"/>
        </w:rPr>
        <w:t xml:space="preserve">le </w:t>
      </w:r>
      <w:r w:rsidR="00847F2C">
        <w:rPr>
          <w:rFonts w:eastAsiaTheme="minorEastAsia"/>
        </w:rPr>
        <w:t>on</w:t>
      </w:r>
      <w:r w:rsidR="00FB1D9A" w:rsidRPr="004430F3">
        <w:rPr>
          <w:rFonts w:eastAsiaTheme="minorEastAsia"/>
        </w:rPr>
        <w:t xml:space="preserve"> configuring resources, and therefore </w:t>
      </w:r>
      <w:r w:rsidR="00C73C6D">
        <w:rPr>
          <w:rFonts w:eastAsiaTheme="minorEastAsia"/>
        </w:rPr>
        <w:t xml:space="preserve">it is expected to achieve </w:t>
      </w:r>
      <w:r w:rsidR="00847F2C">
        <w:rPr>
          <w:rFonts w:eastAsiaTheme="minorEastAsia"/>
        </w:rPr>
        <w:t>higher</w:t>
      </w:r>
      <w:r w:rsidR="00FB1D9A" w:rsidRPr="004430F3">
        <w:rPr>
          <w:rFonts w:eastAsiaTheme="minorEastAsia"/>
        </w:rPr>
        <w:t xml:space="preserve"> spectral efficiency</w:t>
      </w:r>
      <w:r w:rsidR="00C73C6D">
        <w:rPr>
          <w:rFonts w:eastAsiaTheme="minorEastAsia"/>
        </w:rPr>
        <w:t xml:space="preserve"> or </w:t>
      </w:r>
      <w:r w:rsidR="00FA1C0A">
        <w:rPr>
          <w:rFonts w:eastAsiaTheme="minorEastAsia"/>
        </w:rPr>
        <w:t xml:space="preserve">higher </w:t>
      </w:r>
      <w:r w:rsidR="00C73C6D">
        <w:rPr>
          <w:rFonts w:eastAsiaTheme="minorEastAsia"/>
        </w:rPr>
        <w:t>network throughput</w:t>
      </w:r>
      <w:r w:rsidR="00FB1D9A" w:rsidRPr="004430F3">
        <w:rPr>
          <w:rFonts w:eastAsiaTheme="minorEastAsia"/>
        </w:rPr>
        <w:t>.</w:t>
      </w:r>
      <w:r w:rsidR="004A3E8A">
        <w:rPr>
          <w:rFonts w:eastAsiaTheme="minorEastAsia"/>
        </w:rPr>
        <w:t xml:space="preserve"> </w:t>
      </w:r>
      <w:r w:rsidR="004A3E8A" w:rsidRPr="004430F3">
        <w:rPr>
          <w:rFonts w:eastAsiaTheme="minorEastAsia"/>
        </w:rPr>
        <w:t>So,</w:t>
      </w:r>
      <w:r w:rsidR="00785DC6">
        <w:rPr>
          <w:rFonts w:eastAsiaTheme="minorEastAsia"/>
        </w:rPr>
        <w:t xml:space="preserve"> signaling of</w:t>
      </w:r>
      <w:r w:rsidR="004A3E8A">
        <w:rPr>
          <w:rFonts w:eastAsiaTheme="minorEastAsia"/>
        </w:rPr>
        <w:t xml:space="preserve"> polarization mode (RHCP, LHCP) at satellite</w:t>
      </w:r>
      <w:r w:rsidR="004A3E8A" w:rsidRPr="004430F3">
        <w:rPr>
          <w:rFonts w:eastAsiaTheme="minorEastAsia"/>
        </w:rPr>
        <w:t xml:space="preserve"> is beneficial</w:t>
      </w:r>
      <w:r w:rsidR="00785DC6">
        <w:rPr>
          <w:rFonts w:eastAsiaTheme="minorEastAsia"/>
        </w:rPr>
        <w:t xml:space="preserve">, and it can be </w:t>
      </w:r>
      <w:r w:rsidR="00785DC6">
        <w:rPr>
          <w:rFonts w:eastAsiaTheme="minorEastAsia"/>
        </w:rPr>
        <w:t>broadcasted via SIB</w:t>
      </w:r>
      <w:r w:rsidR="004A3E8A">
        <w:rPr>
          <w:rFonts w:eastAsiaTheme="minorEastAsia"/>
        </w:rPr>
        <w:t xml:space="preserve">. </w:t>
      </w:r>
      <w:r w:rsidR="005F3476">
        <w:rPr>
          <w:rFonts w:eastAsiaTheme="minorEastAsia"/>
        </w:rPr>
        <w:t>In RAN1#102-e meeting, it was agreed to support o</w:t>
      </w:r>
      <w:r w:rsidR="005F3476" w:rsidRPr="005F3476">
        <w:rPr>
          <w:rFonts w:eastAsiaTheme="minorEastAsia"/>
        </w:rPr>
        <w:t>ne-beam per cell and multiple-beam per cell</w:t>
      </w:r>
      <w:r w:rsidR="005F3476">
        <w:rPr>
          <w:rFonts w:eastAsiaTheme="minorEastAsia"/>
        </w:rPr>
        <w:t xml:space="preserve"> as existing NR specification</w:t>
      </w:r>
      <w:r w:rsidR="0048221E">
        <w:rPr>
          <w:rFonts w:eastAsiaTheme="minorEastAsia"/>
        </w:rPr>
        <w:t xml:space="preserve"> does</w:t>
      </w:r>
      <w:r w:rsidR="005F3476">
        <w:rPr>
          <w:rFonts w:eastAsiaTheme="minorEastAsia"/>
        </w:rPr>
        <w:t xml:space="preserve">. Since the </w:t>
      </w:r>
      <w:r w:rsidR="005F3476">
        <w:rPr>
          <w:rFonts w:eastAsiaTheme="minorEastAsia"/>
        </w:rPr>
        <w:t>cell size of NTN is</w:t>
      </w:r>
      <w:r w:rsidR="00B71F1E">
        <w:rPr>
          <w:rFonts w:eastAsiaTheme="minorEastAsia"/>
        </w:rPr>
        <w:t xml:space="preserve"> much larger than that of TN, multiple beam per cell can be typically considered in NTN where each beam can be associated </w:t>
      </w:r>
      <w:r w:rsidR="000925EA">
        <w:rPr>
          <w:rFonts w:eastAsiaTheme="minorEastAsia"/>
        </w:rPr>
        <w:t xml:space="preserve">with </w:t>
      </w:r>
      <w:r w:rsidR="00B71F1E">
        <w:rPr>
          <w:rFonts w:eastAsiaTheme="minorEastAsia"/>
        </w:rPr>
        <w:t xml:space="preserve">either LHCP or RHCP </w:t>
      </w:r>
      <w:r w:rsidR="000925EA">
        <w:rPr>
          <w:rFonts w:eastAsiaTheme="minorEastAsia"/>
        </w:rPr>
        <w:t>based on the</w:t>
      </w:r>
      <w:r w:rsidR="00B71F1E">
        <w:rPr>
          <w:rFonts w:eastAsiaTheme="minorEastAsia"/>
        </w:rPr>
        <w:t xml:space="preserve"> pre-defined rule, e.g., even/odd SSB is associated with LHCP/RHCP, respectively, or first half of SSBs are associated with LHCP and the others are associated with RHCP. </w:t>
      </w:r>
    </w:p>
    <w:p w14:paraId="280192EB" w14:textId="46688818" w:rsidR="000C34B5" w:rsidRDefault="000A6928" w:rsidP="000C34B5">
      <w:pPr>
        <w:wordWrap/>
        <w:spacing w:before="100" w:beforeAutospacing="1" w:after="100" w:afterAutospacing="1" w:line="360" w:lineRule="auto"/>
        <w:rPr>
          <w:rFonts w:eastAsiaTheme="minorEastAsia"/>
          <w:b/>
        </w:rPr>
      </w:pPr>
      <w:r>
        <w:rPr>
          <w:rFonts w:eastAsiaTheme="minorEastAsia"/>
          <w:b/>
        </w:rPr>
        <w:t>Proposal</w:t>
      </w:r>
      <w:r w:rsidR="000C34B5" w:rsidRPr="004430F3">
        <w:rPr>
          <w:rFonts w:eastAsiaTheme="minorEastAsia"/>
          <w:b/>
        </w:rPr>
        <w:t xml:space="preserve"> </w:t>
      </w:r>
      <w:r w:rsidR="00640971">
        <w:rPr>
          <w:rFonts w:eastAsiaTheme="minorEastAsia"/>
          <w:b/>
        </w:rPr>
        <w:t>2</w:t>
      </w:r>
      <w:r w:rsidR="000C34B5" w:rsidRPr="004430F3">
        <w:rPr>
          <w:rFonts w:eastAsiaTheme="minorEastAsia" w:hint="eastAsia"/>
          <w:b/>
        </w:rPr>
        <w:t>.</w:t>
      </w:r>
      <w:r w:rsidR="00BF5105">
        <w:rPr>
          <w:rFonts w:eastAsiaTheme="minorEastAsia"/>
          <w:b/>
        </w:rPr>
        <w:t xml:space="preserve"> </w:t>
      </w:r>
      <w:r w:rsidR="00FB15C4">
        <w:rPr>
          <w:rFonts w:eastAsiaTheme="minorEastAsia"/>
          <w:b/>
        </w:rPr>
        <w:t>Indication of p</w:t>
      </w:r>
      <w:r w:rsidR="000C34B5" w:rsidRPr="004430F3">
        <w:rPr>
          <w:rFonts w:eastAsiaTheme="minorEastAsia"/>
          <w:b/>
        </w:rPr>
        <w:t xml:space="preserve">olarization </w:t>
      </w:r>
      <w:r>
        <w:rPr>
          <w:rFonts w:eastAsiaTheme="minorEastAsia"/>
          <w:b/>
        </w:rPr>
        <w:t xml:space="preserve">mode (RHCP, LHCP) </w:t>
      </w:r>
      <w:r w:rsidR="00FB15C4">
        <w:rPr>
          <w:rFonts w:eastAsiaTheme="minorEastAsia"/>
          <w:b/>
        </w:rPr>
        <w:t xml:space="preserve">can be </w:t>
      </w:r>
      <w:r w:rsidR="00BF5105">
        <w:rPr>
          <w:rFonts w:eastAsiaTheme="minorEastAsia"/>
          <w:b/>
        </w:rPr>
        <w:t xml:space="preserve">broadcasted </w:t>
      </w:r>
      <w:r w:rsidR="00847F2C">
        <w:rPr>
          <w:rFonts w:eastAsiaTheme="minorEastAsia"/>
          <w:b/>
        </w:rPr>
        <w:t>via</w:t>
      </w:r>
      <w:r w:rsidR="00BF5105">
        <w:rPr>
          <w:rFonts w:eastAsiaTheme="minorEastAsia"/>
          <w:b/>
        </w:rPr>
        <w:t xml:space="preserve"> SIB</w:t>
      </w:r>
      <w:r w:rsidR="00FB15C4">
        <w:rPr>
          <w:rFonts w:eastAsiaTheme="minorEastAsia"/>
          <w:b/>
        </w:rPr>
        <w:t xml:space="preserve"> where each polarization can be associated with SSB/RS indices based on pre-defined rule. </w:t>
      </w:r>
    </w:p>
    <w:p w14:paraId="15FBF3AF" w14:textId="77777777" w:rsidR="00651BEA" w:rsidRPr="00FB15C4" w:rsidRDefault="00651BEA" w:rsidP="000C34B5">
      <w:pPr>
        <w:wordWrap/>
        <w:spacing w:before="100" w:beforeAutospacing="1" w:after="100" w:afterAutospacing="1" w:line="360" w:lineRule="auto"/>
        <w:rPr>
          <w:rFonts w:eastAsiaTheme="minorEastAsia"/>
          <w:b/>
        </w:rPr>
      </w:pPr>
    </w:p>
    <w:p w14:paraId="49832503" w14:textId="6EFE2AFD" w:rsidR="007000B0" w:rsidRPr="007000B0" w:rsidRDefault="00E547F3" w:rsidP="007000B0">
      <w:pPr>
        <w:pStyle w:val="2"/>
        <w:ind w:right="220"/>
        <w:rPr>
          <w:rFonts w:eastAsiaTheme="minorEastAsia"/>
        </w:rPr>
      </w:pPr>
      <w:r>
        <w:rPr>
          <w:rFonts w:eastAsiaTheme="minorEastAsia"/>
        </w:rPr>
        <w:t>BWP operation in NTN</w:t>
      </w:r>
      <w:r w:rsidR="007000B0" w:rsidRPr="007000B0">
        <w:rPr>
          <w:rFonts w:eastAsiaTheme="minorEastAsia"/>
        </w:rPr>
        <w:t xml:space="preserve"> </w:t>
      </w:r>
    </w:p>
    <w:p w14:paraId="78482BD9" w14:textId="2FC17088" w:rsidR="006D493A" w:rsidRDefault="004430F3" w:rsidP="008E32D9">
      <w:pPr>
        <w:pStyle w:val="LGTdoc1"/>
        <w:snapToGrid/>
        <w:spacing w:beforeLines="0" w:before="100" w:beforeAutospacing="1" w:line="360" w:lineRule="auto"/>
        <w:ind w:firstLine="228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In NR, BWP switch</w:t>
      </w:r>
      <w:r w:rsidR="0031476A">
        <w:rPr>
          <w:b w:val="0"/>
          <w:sz w:val="22"/>
          <w:lang w:val="en-US"/>
        </w:rPr>
        <w:t>ing</w:t>
      </w:r>
      <w:r>
        <w:rPr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>is based on the DCI</w:t>
      </w:r>
      <w:r>
        <w:rPr>
          <w:b w:val="0"/>
          <w:sz w:val="22"/>
          <w:lang w:val="en-US"/>
        </w:rPr>
        <w:t xml:space="preserve">, </w:t>
      </w:r>
      <w:r>
        <w:rPr>
          <w:rFonts w:hint="eastAsia"/>
          <w:b w:val="0"/>
          <w:sz w:val="22"/>
          <w:lang w:val="en-US"/>
        </w:rPr>
        <w:t xml:space="preserve">MAC-CE </w:t>
      </w:r>
      <w:r>
        <w:rPr>
          <w:b w:val="0"/>
          <w:sz w:val="22"/>
          <w:lang w:val="en-US"/>
        </w:rPr>
        <w:t>or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>inactivity timer</w:t>
      </w:r>
      <w:r w:rsidR="008339B1">
        <w:rPr>
          <w:b w:val="0"/>
          <w:sz w:val="22"/>
          <w:lang w:val="en-US"/>
        </w:rPr>
        <w:t xml:space="preserve"> </w:t>
      </w:r>
      <w:r w:rsidR="008339B1" w:rsidRPr="008339B1">
        <w:rPr>
          <w:b w:val="0"/>
          <w:sz w:val="22"/>
          <w:lang w:val="en-US"/>
        </w:rPr>
        <w:t>(</w:t>
      </w:r>
      <w:r w:rsidR="008339B1" w:rsidRPr="008339B1">
        <w:rPr>
          <w:b w:val="0"/>
          <w:i/>
          <w:sz w:val="22"/>
          <w:lang w:val="en-US"/>
        </w:rPr>
        <w:t>bwp-InactivityTimer</w:t>
      </w:r>
      <w:r w:rsidR="008339B1" w:rsidRPr="008339B1">
        <w:rPr>
          <w:b w:val="0"/>
          <w:sz w:val="22"/>
          <w:lang w:val="en-US"/>
        </w:rPr>
        <w:t>)</w:t>
      </w:r>
      <w:r w:rsidRPr="008339B1">
        <w:rPr>
          <w:rFonts w:hint="eastAsia"/>
          <w:i/>
          <w:sz w:val="22"/>
          <w:lang w:val="en-US"/>
        </w:rPr>
        <w:t>.</w:t>
      </w:r>
      <w:r>
        <w:rPr>
          <w:rFonts w:hint="eastAsia"/>
          <w:b w:val="0"/>
          <w:sz w:val="22"/>
          <w:lang w:val="en-US"/>
        </w:rPr>
        <w:t xml:space="preserve"> </w:t>
      </w:r>
      <w:r w:rsidR="0031476A">
        <w:rPr>
          <w:b w:val="0"/>
          <w:sz w:val="22"/>
          <w:lang w:val="en-US"/>
        </w:rPr>
        <w:t>For example of timer based operation</w:t>
      </w:r>
      <w:r w:rsidR="00D22DA6">
        <w:rPr>
          <w:b w:val="0"/>
          <w:sz w:val="22"/>
          <w:lang w:val="en-US"/>
        </w:rPr>
        <w:t xml:space="preserve"> as shown in Figure 2</w:t>
      </w:r>
      <w:r w:rsidR="0031476A">
        <w:rPr>
          <w:b w:val="0"/>
          <w:sz w:val="22"/>
          <w:lang w:val="en-US"/>
        </w:rPr>
        <w:t xml:space="preserve">, when </w:t>
      </w:r>
      <w:r w:rsidR="0092020F">
        <w:rPr>
          <w:b w:val="0"/>
          <w:sz w:val="22"/>
          <w:lang w:val="en-US"/>
        </w:rPr>
        <w:t xml:space="preserve">UE receives PDCCH scheduling </w:t>
      </w:r>
      <w:r w:rsidR="0031476A">
        <w:rPr>
          <w:b w:val="0"/>
          <w:sz w:val="22"/>
          <w:lang w:val="en-US"/>
        </w:rPr>
        <w:t>DL or U</w:t>
      </w:r>
      <w:r w:rsidR="0092020F">
        <w:rPr>
          <w:b w:val="0"/>
          <w:sz w:val="22"/>
          <w:lang w:val="en-US"/>
        </w:rPr>
        <w:t>L, the inactivity timer (re)start</w:t>
      </w:r>
      <w:r w:rsidR="000A7977">
        <w:rPr>
          <w:b w:val="0"/>
          <w:sz w:val="22"/>
          <w:lang w:val="en-US"/>
        </w:rPr>
        <w:t>s</w:t>
      </w:r>
      <w:r w:rsidR="004345FF">
        <w:rPr>
          <w:b w:val="0"/>
          <w:sz w:val="22"/>
          <w:lang w:val="en-US"/>
        </w:rPr>
        <w:t>.</w:t>
      </w:r>
      <w:r w:rsidR="0092020F">
        <w:rPr>
          <w:b w:val="0"/>
          <w:sz w:val="22"/>
          <w:lang w:val="en-US"/>
        </w:rPr>
        <w:t xml:space="preserve"> </w:t>
      </w:r>
      <w:r w:rsidR="004345FF">
        <w:rPr>
          <w:b w:val="0"/>
          <w:sz w:val="22"/>
          <w:lang w:val="en-US"/>
        </w:rPr>
        <w:t>I</w:t>
      </w:r>
      <w:r w:rsidR="0092020F">
        <w:rPr>
          <w:b w:val="0"/>
          <w:sz w:val="22"/>
          <w:lang w:val="en-US"/>
        </w:rPr>
        <w:t xml:space="preserve">f there is no additional scheduling command before the </w:t>
      </w:r>
      <w:r w:rsidR="0048221E">
        <w:rPr>
          <w:b w:val="0"/>
          <w:sz w:val="22"/>
          <w:lang w:val="en-US"/>
        </w:rPr>
        <w:t xml:space="preserve">expiration of </w:t>
      </w:r>
      <w:r w:rsidR="0092020F">
        <w:rPr>
          <w:b w:val="0"/>
          <w:sz w:val="22"/>
          <w:lang w:val="en-US"/>
        </w:rPr>
        <w:t>timer, UE will perform BWP switching to initial BWP or default BWP.</w:t>
      </w:r>
      <w:r w:rsidR="000A7977">
        <w:rPr>
          <w:b w:val="0"/>
          <w:sz w:val="22"/>
          <w:lang w:val="en-US"/>
        </w:rPr>
        <w:t xml:space="preserve"> </w:t>
      </w:r>
      <w:r w:rsidR="000A7977">
        <w:rPr>
          <w:b w:val="0"/>
          <w:sz w:val="22"/>
          <w:lang w:val="en-US"/>
        </w:rPr>
        <w:t>This is the way to resolve ambiguity when gNB and UE ha</w:t>
      </w:r>
      <w:r w:rsidR="00EA249D">
        <w:rPr>
          <w:b w:val="0"/>
          <w:sz w:val="22"/>
          <w:lang w:val="en-US"/>
        </w:rPr>
        <w:t>ve</w:t>
      </w:r>
      <w:r w:rsidR="000A7977">
        <w:rPr>
          <w:b w:val="0"/>
          <w:sz w:val="22"/>
          <w:lang w:val="en-US"/>
        </w:rPr>
        <w:t xml:space="preserve"> different understanding o</w:t>
      </w:r>
      <w:r w:rsidR="004345FF">
        <w:rPr>
          <w:b w:val="0"/>
          <w:sz w:val="22"/>
          <w:lang w:val="en-US"/>
        </w:rPr>
        <w:t>n</w:t>
      </w:r>
      <w:r w:rsidR="000A7977">
        <w:rPr>
          <w:b w:val="0"/>
          <w:sz w:val="22"/>
          <w:lang w:val="en-US"/>
        </w:rPr>
        <w:t xml:space="preserve"> BWP switching. </w:t>
      </w:r>
      <w:r w:rsidR="00F53247">
        <w:rPr>
          <w:b w:val="0"/>
          <w:sz w:val="22"/>
          <w:lang w:val="en-US"/>
        </w:rPr>
        <w:t>I</w:t>
      </w:r>
      <w:r w:rsidR="008E32D9">
        <w:rPr>
          <w:b w:val="0"/>
          <w:sz w:val="22"/>
          <w:lang w:val="en-US"/>
        </w:rPr>
        <w:t xml:space="preserve">f a UE </w:t>
      </w:r>
      <w:r w:rsidR="006D493A">
        <w:rPr>
          <w:b w:val="0"/>
          <w:sz w:val="22"/>
          <w:lang w:val="en-US"/>
        </w:rPr>
        <w:t>miss</w:t>
      </w:r>
      <w:r w:rsidR="00F53247">
        <w:rPr>
          <w:b w:val="0"/>
          <w:sz w:val="22"/>
          <w:lang w:val="en-US"/>
        </w:rPr>
        <w:t>es</w:t>
      </w:r>
      <w:r w:rsidR="006D493A">
        <w:rPr>
          <w:b w:val="0"/>
          <w:sz w:val="22"/>
          <w:lang w:val="en-US"/>
        </w:rPr>
        <w:t xml:space="preserve"> PDCCH </w:t>
      </w:r>
      <w:r w:rsidR="008E32D9">
        <w:rPr>
          <w:b w:val="0"/>
          <w:sz w:val="22"/>
          <w:lang w:val="en-US"/>
        </w:rPr>
        <w:t>carrying BWP switching indication, gNB can notice this situation at least after round-trip time</w:t>
      </w:r>
      <w:r w:rsidR="00B2143F">
        <w:rPr>
          <w:b w:val="0"/>
          <w:sz w:val="22"/>
          <w:lang w:val="en-US"/>
        </w:rPr>
        <w:t xml:space="preserve"> + </w:t>
      </w:r>
      <w:r w:rsidR="00B2143F">
        <w:rPr>
          <w:b w:val="0"/>
          <w:sz w:val="22"/>
          <w:lang w:val="en-US"/>
        </w:rPr>
        <w:lastRenderedPageBreak/>
        <w:t>T_timer</w:t>
      </w:r>
      <w:r w:rsidR="008E32D9">
        <w:rPr>
          <w:b w:val="0"/>
          <w:sz w:val="22"/>
          <w:lang w:val="en-US"/>
        </w:rPr>
        <w:t xml:space="preserve"> from </w:t>
      </w:r>
      <w:r w:rsidR="004345FF">
        <w:rPr>
          <w:b w:val="0"/>
          <w:sz w:val="22"/>
          <w:lang w:val="en-US"/>
        </w:rPr>
        <w:t>the time of a PDCCH transmission</w:t>
      </w:r>
      <w:r w:rsidR="008E32D9">
        <w:rPr>
          <w:b w:val="0"/>
          <w:sz w:val="22"/>
          <w:lang w:val="en-US"/>
        </w:rPr>
        <w:t xml:space="preserve">. </w:t>
      </w:r>
      <w:r w:rsidR="00B2143F">
        <w:rPr>
          <w:b w:val="0"/>
          <w:sz w:val="22"/>
          <w:lang w:val="en-US"/>
        </w:rPr>
        <w:t xml:space="preserve">Thus, as RTT increase, </w:t>
      </w:r>
      <w:r w:rsidR="00D24F50">
        <w:rPr>
          <w:b w:val="0"/>
          <w:sz w:val="22"/>
          <w:lang w:val="en-US"/>
        </w:rPr>
        <w:t xml:space="preserve">this issue becomes non-negligible. </w:t>
      </w:r>
    </w:p>
    <w:p w14:paraId="29FFDA86" w14:textId="77777777" w:rsidR="00541A1B" w:rsidRPr="00541A1B" w:rsidRDefault="00541A1B" w:rsidP="00541A1B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</w:p>
    <w:p w14:paraId="755D139A" w14:textId="51BDB2AD" w:rsidR="0031476A" w:rsidRDefault="0064543B" w:rsidP="0064543B">
      <w:pPr>
        <w:pStyle w:val="LGTdoc1"/>
        <w:snapToGrid/>
        <w:spacing w:beforeLines="0" w:before="100" w:beforeAutospacing="1" w:line="360" w:lineRule="auto"/>
        <w:ind w:firstLine="228"/>
        <w:contextualSpacing/>
        <w:jc w:val="center"/>
        <w:rPr>
          <w:b w:val="0"/>
          <w:sz w:val="22"/>
          <w:lang w:val="en-US"/>
        </w:rPr>
      </w:pPr>
      <w:r>
        <w:rPr>
          <w:b w:val="0"/>
          <w:noProof/>
          <w:sz w:val="22"/>
          <w:lang w:val="en-US"/>
        </w:rPr>
        <w:drawing>
          <wp:inline distT="0" distB="0" distL="0" distR="0" wp14:anchorId="20C85809" wp14:editId="37DEA865">
            <wp:extent cx="5471499" cy="265049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857" cy="26511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4D3A37" w14:textId="662F4F5E" w:rsidR="00426243" w:rsidRPr="004430F3" w:rsidRDefault="00426243" w:rsidP="00426243">
      <w:pPr>
        <w:pStyle w:val="LGTdoc1"/>
        <w:snapToGrid/>
        <w:spacing w:beforeLines="0" w:before="100" w:beforeAutospacing="1" w:line="360" w:lineRule="auto"/>
        <w:contextualSpacing/>
        <w:jc w:val="center"/>
        <w:rPr>
          <w:b w:val="0"/>
          <w:sz w:val="22"/>
        </w:rPr>
      </w:pPr>
      <w:r w:rsidRPr="004430F3">
        <w:rPr>
          <w:rFonts w:hint="eastAsia"/>
          <w:b w:val="0"/>
          <w:sz w:val="22"/>
        </w:rPr>
        <w:t xml:space="preserve">Figure </w:t>
      </w:r>
      <w:r>
        <w:rPr>
          <w:b w:val="0"/>
          <w:sz w:val="22"/>
        </w:rPr>
        <w:t>2</w:t>
      </w:r>
      <w:r w:rsidRPr="004430F3">
        <w:rPr>
          <w:rFonts w:hint="eastAsia"/>
          <w:b w:val="0"/>
          <w:sz w:val="22"/>
        </w:rPr>
        <w:t xml:space="preserve">. </w:t>
      </w:r>
      <w:r w:rsidR="0064543B">
        <w:rPr>
          <w:b w:val="0"/>
          <w:sz w:val="22"/>
        </w:rPr>
        <w:t>Illustration of timer based BWP switching</w:t>
      </w:r>
    </w:p>
    <w:p w14:paraId="58D3FA12" w14:textId="77777777" w:rsidR="0031476A" w:rsidRPr="00426243" w:rsidRDefault="0031476A" w:rsidP="0031476A">
      <w:pPr>
        <w:pStyle w:val="LGTdoc1"/>
        <w:snapToGrid/>
        <w:spacing w:beforeLines="0" w:before="100" w:beforeAutospacing="1" w:line="360" w:lineRule="auto"/>
        <w:ind w:firstLine="228"/>
        <w:contextualSpacing/>
        <w:rPr>
          <w:b w:val="0"/>
          <w:sz w:val="22"/>
        </w:rPr>
      </w:pPr>
    </w:p>
    <w:p w14:paraId="5D714F1F" w14:textId="53F02010" w:rsidR="00D54671" w:rsidRDefault="00D54671" w:rsidP="00D54671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NTN, the maximum RTT can be up to 21</w:t>
      </w:r>
      <w:r>
        <w:rPr>
          <w:rFonts w:hint="eastAsia"/>
          <w:b w:val="0"/>
          <w:sz w:val="22"/>
          <w:lang w:val="en-US"/>
        </w:rPr>
        <w:t>ms,</w:t>
      </w:r>
      <w:r>
        <w:rPr>
          <w:b w:val="0"/>
          <w:sz w:val="22"/>
          <w:lang w:val="en-US"/>
        </w:rPr>
        <w:t xml:space="preserve"> 42ms and 542ms for LEO-600km, LEO-1200km and GEO, respectively. Hence, the careful BWP switching needs to be considered in order not to waste scheduling resources. To this end, </w:t>
      </w:r>
      <w:r w:rsidR="00B30909">
        <w:rPr>
          <w:b w:val="0"/>
          <w:sz w:val="22"/>
          <w:lang w:val="en-US"/>
        </w:rPr>
        <w:t xml:space="preserve">potential </w:t>
      </w:r>
      <w:r>
        <w:rPr>
          <w:b w:val="0"/>
          <w:sz w:val="22"/>
          <w:lang w:val="en-US"/>
        </w:rPr>
        <w:t>enhancement</w:t>
      </w:r>
      <w:r w:rsidR="00B30909">
        <w:rPr>
          <w:b w:val="0"/>
          <w:sz w:val="22"/>
          <w:lang w:val="en-US"/>
        </w:rPr>
        <w:t xml:space="preserve">s on BWP switching </w:t>
      </w:r>
      <w:r>
        <w:rPr>
          <w:b w:val="0"/>
          <w:sz w:val="22"/>
          <w:lang w:val="en-US"/>
        </w:rPr>
        <w:t>can</w:t>
      </w:r>
      <w:r w:rsidR="00B30909">
        <w:rPr>
          <w:b w:val="0"/>
          <w:sz w:val="22"/>
          <w:lang w:val="en-US"/>
        </w:rPr>
        <w:t xml:space="preserve"> consider at least the following aspects:</w:t>
      </w:r>
      <w:r>
        <w:rPr>
          <w:b w:val="0"/>
          <w:sz w:val="22"/>
          <w:lang w:val="en-US"/>
        </w:rPr>
        <w:t xml:space="preserve"> </w:t>
      </w:r>
    </w:p>
    <w:p w14:paraId="2E4FED35" w14:textId="46B11B4F" w:rsidR="00D54671" w:rsidRPr="00D54671" w:rsidRDefault="00D54671" w:rsidP="00D54671">
      <w:pPr>
        <w:pStyle w:val="LGTdoc1"/>
        <w:numPr>
          <w:ilvl w:val="0"/>
          <w:numId w:val="14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E</w:t>
      </w:r>
      <w:r>
        <w:rPr>
          <w:b w:val="0"/>
          <w:sz w:val="22"/>
          <w:lang w:val="en-US"/>
        </w:rPr>
        <w:t xml:space="preserve">nhancement on </w:t>
      </w:r>
      <w:r w:rsidRPr="008339B1">
        <w:rPr>
          <w:b w:val="0"/>
          <w:i/>
          <w:sz w:val="22"/>
          <w:lang w:val="en-US"/>
        </w:rPr>
        <w:t>bwp-InactivityTimer</w:t>
      </w:r>
      <w:r>
        <w:rPr>
          <w:b w:val="0"/>
          <w:i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including value range extension and (re)start timing. </w:t>
      </w:r>
    </w:p>
    <w:p w14:paraId="48E6AD7E" w14:textId="32031569" w:rsidR="00D54671" w:rsidRDefault="00D54671" w:rsidP="00D54671">
      <w:pPr>
        <w:pStyle w:val="LGTdoc1"/>
        <w:numPr>
          <w:ilvl w:val="0"/>
          <w:numId w:val="14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PDSCH and PUSCH </w:t>
      </w:r>
      <w:r>
        <w:rPr>
          <w:b w:val="0"/>
          <w:sz w:val="22"/>
          <w:lang w:val="en-US"/>
        </w:rPr>
        <w:t>transmission after ACK transmission of BWP switching command.</w:t>
      </w:r>
    </w:p>
    <w:p w14:paraId="776F8C4A" w14:textId="4AEAFCFF" w:rsidR="005C0AA1" w:rsidRPr="00197EC8" w:rsidRDefault="005C0AA1" w:rsidP="00197EC8">
      <w:pPr>
        <w:wordWrap/>
        <w:spacing w:before="100" w:beforeAutospacing="1" w:after="100" w:afterAutospacing="1" w:line="240" w:lineRule="auto"/>
        <w:rPr>
          <w:rFonts w:eastAsiaTheme="minorEastAsia"/>
          <w:b/>
        </w:rPr>
      </w:pPr>
      <w:r w:rsidRPr="00197EC8">
        <w:rPr>
          <w:rFonts w:eastAsiaTheme="minorEastAsia"/>
          <w:b/>
        </w:rPr>
        <w:t>Proposal 3</w:t>
      </w:r>
      <w:r w:rsidRPr="00197EC8">
        <w:rPr>
          <w:rFonts w:eastAsiaTheme="minorEastAsia" w:hint="eastAsia"/>
          <w:b/>
        </w:rPr>
        <w:t>.</w:t>
      </w:r>
      <w:r w:rsidRPr="00197EC8">
        <w:rPr>
          <w:rFonts w:eastAsiaTheme="minorEastAsia"/>
          <w:b/>
        </w:rPr>
        <w:t xml:space="preserve"> For NTN, </w:t>
      </w:r>
      <w:r w:rsidR="00197EC8" w:rsidRPr="00197EC8">
        <w:rPr>
          <w:rFonts w:eastAsiaTheme="minorEastAsia"/>
          <w:b/>
        </w:rPr>
        <w:t xml:space="preserve">potential </w:t>
      </w:r>
      <w:r w:rsidRPr="00197EC8">
        <w:rPr>
          <w:rFonts w:eastAsiaTheme="minorEastAsia"/>
          <w:b/>
        </w:rPr>
        <w:t xml:space="preserve">enhancement on BWP switching </w:t>
      </w:r>
      <w:r w:rsidR="00197EC8" w:rsidRPr="00197EC8">
        <w:rPr>
          <w:rFonts w:eastAsiaTheme="minorEastAsia"/>
          <w:b/>
        </w:rPr>
        <w:t>can consider</w:t>
      </w:r>
      <w:r w:rsidR="00B30909">
        <w:rPr>
          <w:rFonts w:eastAsiaTheme="minorEastAsia"/>
          <w:b/>
        </w:rPr>
        <w:t xml:space="preserve"> </w:t>
      </w:r>
      <w:r w:rsidR="00197EC8" w:rsidRPr="00197EC8">
        <w:rPr>
          <w:rFonts w:eastAsiaTheme="minorEastAsia"/>
          <w:b/>
        </w:rPr>
        <w:t>at least following aspects:</w:t>
      </w:r>
    </w:p>
    <w:p w14:paraId="4A73C79B" w14:textId="50EE91D9" w:rsidR="00197EC8" w:rsidRPr="00197EC8" w:rsidRDefault="00197EC8" w:rsidP="00197EC8">
      <w:pPr>
        <w:pStyle w:val="LGTdoc1"/>
        <w:numPr>
          <w:ilvl w:val="0"/>
          <w:numId w:val="14"/>
        </w:numPr>
        <w:snapToGrid/>
        <w:spacing w:beforeLines="0" w:before="100" w:beforeAutospacing="1"/>
        <w:contextualSpacing/>
        <w:rPr>
          <w:sz w:val="22"/>
          <w:lang w:val="en-US"/>
        </w:rPr>
      </w:pPr>
      <w:r w:rsidRPr="00197EC8">
        <w:rPr>
          <w:rFonts w:hint="eastAsia"/>
          <w:sz w:val="22"/>
          <w:lang w:val="en-US"/>
        </w:rPr>
        <w:t>E</w:t>
      </w:r>
      <w:r w:rsidRPr="00197EC8">
        <w:rPr>
          <w:sz w:val="22"/>
          <w:lang w:val="en-US"/>
        </w:rPr>
        <w:t xml:space="preserve">nhancement on </w:t>
      </w:r>
      <w:r w:rsidRPr="00197EC8">
        <w:rPr>
          <w:i/>
          <w:sz w:val="22"/>
          <w:lang w:val="en-US"/>
        </w:rPr>
        <w:t xml:space="preserve">bwp-InactivityTimer </w:t>
      </w:r>
      <w:r w:rsidRPr="00197EC8">
        <w:rPr>
          <w:sz w:val="22"/>
          <w:lang w:val="en-US"/>
        </w:rPr>
        <w:t xml:space="preserve">including value range extension and (re)start timing, </w:t>
      </w:r>
    </w:p>
    <w:p w14:paraId="56BD5734" w14:textId="21738158" w:rsidR="00197EC8" w:rsidRPr="00197EC8" w:rsidRDefault="00C50CA3" w:rsidP="00197EC8">
      <w:pPr>
        <w:pStyle w:val="LGTdoc1"/>
        <w:numPr>
          <w:ilvl w:val="0"/>
          <w:numId w:val="14"/>
        </w:numPr>
        <w:snapToGrid/>
        <w:spacing w:beforeLines="0" w:before="100" w:beforeAutospacing="1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PDSCH </w:t>
      </w:r>
      <w:r w:rsidR="00197EC8" w:rsidRPr="00197EC8">
        <w:rPr>
          <w:sz w:val="22"/>
          <w:lang w:val="en-US"/>
        </w:rPr>
        <w:t xml:space="preserve">transmission after transmission of </w:t>
      </w:r>
      <w:r w:rsidR="009B2CEB">
        <w:rPr>
          <w:sz w:val="22"/>
          <w:lang w:val="en-US"/>
        </w:rPr>
        <w:t xml:space="preserve">ACK for </w:t>
      </w:r>
      <w:r w:rsidR="00197EC8" w:rsidRPr="00197EC8">
        <w:rPr>
          <w:sz w:val="22"/>
          <w:lang w:val="en-US"/>
        </w:rPr>
        <w:t>BWP switching command.</w:t>
      </w:r>
    </w:p>
    <w:p w14:paraId="5DB0C13F" w14:textId="77777777" w:rsidR="00BC5C66" w:rsidRPr="00BB2F37" w:rsidRDefault="00BC5C66" w:rsidP="00FB1D9A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14:paraId="5506DC73" w14:textId="77777777" w:rsidR="00DE63A0" w:rsidRDefault="00DE63A0" w:rsidP="00FB1D9A">
      <w:pPr>
        <w:pStyle w:val="1"/>
        <w:numPr>
          <w:ilvl w:val="0"/>
          <w:numId w:val="1"/>
        </w:numPr>
        <w:wordWrap/>
        <w:spacing w:before="100" w:beforeAutospacing="1" w:after="100" w:afterAutospacing="1" w:line="360" w:lineRule="auto"/>
        <w:ind w:left="426" w:hanging="426"/>
      </w:pPr>
      <w:r>
        <w:t>Conclusion</w:t>
      </w:r>
    </w:p>
    <w:p w14:paraId="350CDB46" w14:textId="218D0443" w:rsidR="00332ADC" w:rsidRDefault="00CD6707" w:rsidP="00FB1D9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 we discuss</w:t>
      </w:r>
      <w:r>
        <w:rPr>
          <w:b w:val="0"/>
          <w:sz w:val="22"/>
          <w:lang w:val="en-US"/>
        </w:rPr>
        <w:t>ed</w:t>
      </w:r>
      <w:r w:rsidRPr="00CD6707">
        <w:rPr>
          <w:b w:val="0"/>
          <w:sz w:val="22"/>
          <w:lang w:val="en-US"/>
        </w:rPr>
        <w:t xml:space="preserve"> on the enhancement on PRACH, polarization signaling</w:t>
      </w:r>
      <w:r w:rsidR="0009761D">
        <w:rPr>
          <w:b w:val="0"/>
          <w:sz w:val="22"/>
          <w:lang w:val="en-US"/>
        </w:rPr>
        <w:t>, and BWP operat</w:t>
      </w:r>
      <w:r w:rsidR="004D6CBB">
        <w:rPr>
          <w:b w:val="0"/>
          <w:sz w:val="22"/>
          <w:lang w:val="en-US"/>
        </w:rPr>
        <w:t>i</w:t>
      </w:r>
      <w:r w:rsidR="0009761D">
        <w:rPr>
          <w:b w:val="0"/>
          <w:sz w:val="22"/>
          <w:lang w:val="en-US"/>
        </w:rPr>
        <w:t>on</w:t>
      </w:r>
      <w:r w:rsidRPr="00CD6707">
        <w:rPr>
          <w:b w:val="0"/>
          <w:sz w:val="22"/>
          <w:lang w:val="en-US"/>
        </w:rPr>
        <w:t xml:space="preserve"> in NTN.</w:t>
      </w:r>
      <w:r w:rsidR="00185E47" w:rsidRPr="00185E47"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Based on the above discussion, we have following observations and proposals:</w:t>
      </w:r>
    </w:p>
    <w:p w14:paraId="61D3559C" w14:textId="77777777" w:rsidR="00AE3C33" w:rsidRPr="00363D6E" w:rsidRDefault="00AE3C33" w:rsidP="00AE3C33">
      <w:pPr>
        <w:wordWrap/>
        <w:spacing w:before="100" w:beforeAutospacing="1" w:after="100" w:afterAutospacing="1" w:line="360" w:lineRule="auto"/>
        <w:rPr>
          <w:rFonts w:eastAsiaTheme="minorEastAsia"/>
          <w:b/>
        </w:rPr>
      </w:pPr>
      <w:r w:rsidRPr="00363D6E">
        <w:rPr>
          <w:rFonts w:eastAsiaTheme="minorEastAsia" w:hint="eastAsia"/>
          <w:b/>
        </w:rPr>
        <w:t xml:space="preserve">Proposal 1. </w:t>
      </w:r>
      <w:r w:rsidRPr="00363D6E">
        <w:rPr>
          <w:rFonts w:eastAsiaTheme="minorEastAsia"/>
          <w:b/>
        </w:rPr>
        <w:t xml:space="preserve">If enhanced PRACH formats and/or preamble sequences are necessary and supported in Rel-17 NTN, the option with simple modification, such as a single Zadoff-Chu sequence based </w:t>
      </w:r>
      <w:r w:rsidRPr="00363D6E">
        <w:rPr>
          <w:rFonts w:eastAsiaTheme="minorEastAsia"/>
          <w:b/>
        </w:rPr>
        <w:lastRenderedPageBreak/>
        <w:t>on larger SCS and repetition number, is preferred.</w:t>
      </w:r>
    </w:p>
    <w:p w14:paraId="7220FEB5" w14:textId="77777777" w:rsidR="00CC61EA" w:rsidRDefault="00CC61EA" w:rsidP="00CC61EA">
      <w:pPr>
        <w:wordWrap/>
        <w:spacing w:before="100" w:beforeAutospacing="1" w:after="100" w:afterAutospacing="1" w:line="360" w:lineRule="auto"/>
        <w:rPr>
          <w:rFonts w:eastAsiaTheme="minorEastAsia"/>
          <w:b/>
        </w:rPr>
      </w:pPr>
      <w:r>
        <w:rPr>
          <w:rFonts w:eastAsiaTheme="minorEastAsia"/>
          <w:b/>
        </w:rPr>
        <w:t>Proposal</w:t>
      </w:r>
      <w:r w:rsidRPr="004430F3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2</w:t>
      </w:r>
      <w:r w:rsidRPr="004430F3">
        <w:rPr>
          <w:rFonts w:eastAsiaTheme="minorEastAsia" w:hint="eastAsia"/>
          <w:b/>
        </w:rPr>
        <w:t>.</w:t>
      </w:r>
      <w:r>
        <w:rPr>
          <w:rFonts w:eastAsiaTheme="minorEastAsia"/>
          <w:b/>
        </w:rPr>
        <w:t xml:space="preserve"> Indication of p</w:t>
      </w:r>
      <w:r w:rsidRPr="004430F3">
        <w:rPr>
          <w:rFonts w:eastAsiaTheme="minorEastAsia"/>
          <w:b/>
        </w:rPr>
        <w:t xml:space="preserve">olarization </w:t>
      </w:r>
      <w:r>
        <w:rPr>
          <w:rFonts w:eastAsiaTheme="minorEastAsia"/>
          <w:b/>
        </w:rPr>
        <w:t xml:space="preserve">mode (RHCP, LHCP) can be broadcasted via SIB where each polarization can be associated with SSB/RS indices based on pre-defined rule. </w:t>
      </w:r>
    </w:p>
    <w:p w14:paraId="2BAB645D" w14:textId="77777777" w:rsidR="00E55E1D" w:rsidRPr="00197EC8" w:rsidRDefault="00E55E1D" w:rsidP="00E55E1D">
      <w:pPr>
        <w:wordWrap/>
        <w:spacing w:before="100" w:beforeAutospacing="1" w:after="100" w:afterAutospacing="1" w:line="240" w:lineRule="auto"/>
        <w:rPr>
          <w:rFonts w:eastAsiaTheme="minorEastAsia"/>
          <w:b/>
        </w:rPr>
      </w:pPr>
      <w:r w:rsidRPr="00197EC8">
        <w:rPr>
          <w:rFonts w:eastAsiaTheme="minorEastAsia"/>
          <w:b/>
        </w:rPr>
        <w:t>Proposal 3</w:t>
      </w:r>
      <w:r w:rsidRPr="00197EC8">
        <w:rPr>
          <w:rFonts w:eastAsiaTheme="minorEastAsia" w:hint="eastAsia"/>
          <w:b/>
        </w:rPr>
        <w:t>.</w:t>
      </w:r>
      <w:r w:rsidRPr="00197EC8">
        <w:rPr>
          <w:rFonts w:eastAsiaTheme="minorEastAsia"/>
          <w:b/>
        </w:rPr>
        <w:t xml:space="preserve"> For NTN, potential enhancement on BWP switching can consider at least following aspects:</w:t>
      </w:r>
      <w:bookmarkStart w:id="2" w:name="_GoBack"/>
      <w:bookmarkEnd w:id="2"/>
    </w:p>
    <w:p w14:paraId="69360C3D" w14:textId="77777777" w:rsidR="00E55E1D" w:rsidRPr="00197EC8" w:rsidRDefault="00E55E1D" w:rsidP="00E55E1D">
      <w:pPr>
        <w:pStyle w:val="LGTdoc1"/>
        <w:numPr>
          <w:ilvl w:val="0"/>
          <w:numId w:val="14"/>
        </w:numPr>
        <w:snapToGrid/>
        <w:spacing w:beforeLines="0" w:before="100" w:beforeAutospacing="1"/>
        <w:contextualSpacing/>
        <w:rPr>
          <w:sz w:val="22"/>
          <w:lang w:val="en-US"/>
        </w:rPr>
      </w:pPr>
      <w:r w:rsidRPr="00197EC8">
        <w:rPr>
          <w:rFonts w:hint="eastAsia"/>
          <w:sz w:val="22"/>
          <w:lang w:val="en-US"/>
        </w:rPr>
        <w:t>E</w:t>
      </w:r>
      <w:r w:rsidRPr="00197EC8">
        <w:rPr>
          <w:sz w:val="22"/>
          <w:lang w:val="en-US"/>
        </w:rPr>
        <w:t xml:space="preserve">nhancement on </w:t>
      </w:r>
      <w:r w:rsidRPr="00197EC8">
        <w:rPr>
          <w:i/>
          <w:sz w:val="22"/>
          <w:lang w:val="en-US"/>
        </w:rPr>
        <w:t xml:space="preserve">bwp-InactivityTimer </w:t>
      </w:r>
      <w:r w:rsidRPr="00197EC8">
        <w:rPr>
          <w:sz w:val="22"/>
          <w:lang w:val="en-US"/>
        </w:rPr>
        <w:t xml:space="preserve">including value range extension and (re)start timing, </w:t>
      </w:r>
    </w:p>
    <w:p w14:paraId="598072CD" w14:textId="77777777" w:rsidR="00E55E1D" w:rsidRPr="00197EC8" w:rsidRDefault="00E55E1D" w:rsidP="00E55E1D">
      <w:pPr>
        <w:pStyle w:val="LGTdoc1"/>
        <w:numPr>
          <w:ilvl w:val="0"/>
          <w:numId w:val="14"/>
        </w:numPr>
        <w:snapToGrid/>
        <w:spacing w:beforeLines="0" w:before="100" w:beforeAutospacing="1"/>
        <w:contextualSpacing/>
        <w:rPr>
          <w:sz w:val="22"/>
          <w:lang w:val="en-US"/>
        </w:rPr>
      </w:pPr>
      <w:r>
        <w:rPr>
          <w:sz w:val="22"/>
          <w:lang w:val="en-US"/>
        </w:rPr>
        <w:t xml:space="preserve">PDSCH </w:t>
      </w:r>
      <w:r w:rsidRPr="00197EC8">
        <w:rPr>
          <w:sz w:val="22"/>
          <w:lang w:val="en-US"/>
        </w:rPr>
        <w:t xml:space="preserve">transmission after transmission of </w:t>
      </w:r>
      <w:r>
        <w:rPr>
          <w:sz w:val="22"/>
          <w:lang w:val="en-US"/>
        </w:rPr>
        <w:t xml:space="preserve">ACK for </w:t>
      </w:r>
      <w:r w:rsidRPr="00197EC8">
        <w:rPr>
          <w:sz w:val="22"/>
          <w:lang w:val="en-US"/>
        </w:rPr>
        <w:t>BWP switching command.</w:t>
      </w:r>
    </w:p>
    <w:p w14:paraId="511F466E" w14:textId="77777777" w:rsidR="00197EC8" w:rsidRPr="00197EC8" w:rsidRDefault="00197EC8" w:rsidP="00FB1D9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FE44A34" w14:textId="054FA089" w:rsidR="00C46AC5" w:rsidRPr="002F3E41" w:rsidRDefault="00C46AC5" w:rsidP="00FB1D9A">
      <w:pPr>
        <w:pStyle w:val="1"/>
        <w:widowControl/>
        <w:tabs>
          <w:tab w:val="left" w:pos="0"/>
        </w:tabs>
        <w:wordWrap/>
        <w:autoSpaceDE/>
        <w:autoSpaceDN/>
        <w:spacing w:before="100" w:beforeAutospacing="1" w:after="100" w:afterAutospacing="1" w:line="360" w:lineRule="auto"/>
        <w:jc w:val="both"/>
        <w:rPr>
          <w:rFonts w:eastAsia="바탕"/>
          <w:sz w:val="28"/>
        </w:rPr>
      </w:pPr>
      <w:r w:rsidRPr="002F3E41">
        <w:rPr>
          <w:rFonts w:eastAsia="바탕"/>
        </w:rPr>
        <w:t>Reference</w:t>
      </w:r>
    </w:p>
    <w:p w14:paraId="09089AEB" w14:textId="383DDBC4" w:rsidR="00C46AC5" w:rsidRPr="00CC62EB" w:rsidRDefault="00854580" w:rsidP="00FB1D9A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>
        <w:rPr>
          <w:rFonts w:hint="eastAsia"/>
          <w:b w:val="0"/>
          <w:sz w:val="20"/>
          <w:lang w:val="en-US"/>
        </w:rPr>
        <w:t>[1]</w:t>
      </w:r>
      <w:r>
        <w:rPr>
          <w:b w:val="0"/>
          <w:sz w:val="20"/>
          <w:lang w:val="en-US"/>
        </w:rPr>
        <w:t xml:space="preserve"> RP-</w:t>
      </w:r>
      <w:r w:rsidR="00E6747E">
        <w:rPr>
          <w:b w:val="0"/>
          <w:sz w:val="20"/>
          <w:lang w:val="en-US"/>
        </w:rPr>
        <w:t>201256</w:t>
      </w:r>
      <w:r>
        <w:rPr>
          <w:b w:val="0"/>
          <w:sz w:val="20"/>
          <w:lang w:val="en-US"/>
        </w:rPr>
        <w:t>, “</w:t>
      </w:r>
      <w:r w:rsidRPr="00854580">
        <w:rPr>
          <w:b w:val="0"/>
          <w:sz w:val="20"/>
          <w:lang w:val="en-US"/>
        </w:rPr>
        <w:t>Solutions for NR to support non-terrestrial networks (NTN)</w:t>
      </w:r>
      <w:r>
        <w:rPr>
          <w:b w:val="0"/>
          <w:sz w:val="20"/>
          <w:lang w:val="en-US"/>
        </w:rPr>
        <w:t>”, Thales</w:t>
      </w:r>
    </w:p>
    <w:p w14:paraId="2B8AF419" w14:textId="77777777" w:rsidR="00363D6E" w:rsidRPr="00CC62EB" w:rsidRDefault="00363D6E" w:rsidP="00363D6E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>[2] 3</w:t>
      </w:r>
      <w:r>
        <w:rPr>
          <w:rFonts w:hint="eastAsia"/>
          <w:b w:val="0"/>
          <w:sz w:val="20"/>
          <w:lang w:val="en-US"/>
        </w:rPr>
        <w:t>GPP TR 38.821 V1.0.0 (Release 16)</w:t>
      </w:r>
    </w:p>
    <w:p w14:paraId="6A05D34D" w14:textId="60BDD858" w:rsidR="00133727" w:rsidRDefault="00133727" w:rsidP="00340CC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13372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AD4B2" w14:textId="77777777" w:rsidR="002B7EBC" w:rsidRDefault="002B7EBC" w:rsidP="00D30654">
      <w:pPr>
        <w:spacing w:after="0" w:line="240" w:lineRule="auto"/>
      </w:pPr>
      <w:r>
        <w:separator/>
      </w:r>
    </w:p>
  </w:endnote>
  <w:endnote w:type="continuationSeparator" w:id="0">
    <w:p w14:paraId="3C90E809" w14:textId="77777777" w:rsidR="002B7EBC" w:rsidRDefault="002B7EBC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93866" w14:textId="77777777" w:rsidR="002B7EBC" w:rsidRDefault="002B7EBC" w:rsidP="00D30654">
      <w:pPr>
        <w:spacing w:after="0" w:line="240" w:lineRule="auto"/>
      </w:pPr>
      <w:r>
        <w:separator/>
      </w:r>
    </w:p>
  </w:footnote>
  <w:footnote w:type="continuationSeparator" w:id="0">
    <w:p w14:paraId="6B0DEE23" w14:textId="77777777" w:rsidR="002B7EBC" w:rsidRDefault="002B7EBC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D12D2"/>
    <w:multiLevelType w:val="hybridMultilevel"/>
    <w:tmpl w:val="7A9C48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05FB6"/>
    <w:multiLevelType w:val="hybridMultilevel"/>
    <w:tmpl w:val="F9D62F9C"/>
    <w:lvl w:ilvl="0" w:tplc="D33C2298">
      <w:start w:val="1"/>
      <w:numFmt w:val="decimal"/>
      <w:lvlText w:val="2.%1."/>
      <w:lvlJc w:val="left"/>
      <w:pPr>
        <w:ind w:left="800" w:hanging="4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8FE1BE4"/>
    <w:multiLevelType w:val="hybridMultilevel"/>
    <w:tmpl w:val="55A2A81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6" w15:restartNumberingAfterBreak="0">
    <w:nsid w:val="3B4A4163"/>
    <w:multiLevelType w:val="hybridMultilevel"/>
    <w:tmpl w:val="802EF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86D6F"/>
    <w:multiLevelType w:val="hybridMultilevel"/>
    <w:tmpl w:val="087A9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2" w15:restartNumberingAfterBreak="0">
    <w:nsid w:val="6A3A082F"/>
    <w:multiLevelType w:val="hybridMultilevel"/>
    <w:tmpl w:val="3BE2DC50"/>
    <w:lvl w:ilvl="0" w:tplc="71729EB0">
      <w:start w:val="3"/>
      <w:numFmt w:val="bullet"/>
      <w:lvlText w:val=""/>
      <w:lvlJc w:val="left"/>
      <w:pPr>
        <w:ind w:left="69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3" w15:restartNumberingAfterBreak="0">
    <w:nsid w:val="77595516"/>
    <w:multiLevelType w:val="hybridMultilevel"/>
    <w:tmpl w:val="16A2B532"/>
    <w:lvl w:ilvl="0" w:tplc="5FBC3726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13"/>
  </w:num>
  <w:num w:numId="10">
    <w:abstractNumId w:val="12"/>
  </w:num>
  <w:num w:numId="11">
    <w:abstractNumId w:val="8"/>
  </w:num>
  <w:num w:numId="12">
    <w:abstractNumId w:val="0"/>
  </w:num>
  <w:num w:numId="13">
    <w:abstractNumId w:val="13"/>
    <w:lvlOverride w:ilvl="0">
      <w:startOverride w:val="1"/>
    </w:lvlOverride>
  </w:num>
  <w:num w:numId="14">
    <w:abstractNumId w:val="4"/>
  </w:num>
  <w:num w:numId="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6E6"/>
    <w:rsid w:val="000011A5"/>
    <w:rsid w:val="00004A65"/>
    <w:rsid w:val="00005E3C"/>
    <w:rsid w:val="0000605B"/>
    <w:rsid w:val="0000693B"/>
    <w:rsid w:val="00006CAB"/>
    <w:rsid w:val="00007DE7"/>
    <w:rsid w:val="00010F1E"/>
    <w:rsid w:val="00015105"/>
    <w:rsid w:val="000246EC"/>
    <w:rsid w:val="000261E9"/>
    <w:rsid w:val="00026AE1"/>
    <w:rsid w:val="0003080C"/>
    <w:rsid w:val="000317CE"/>
    <w:rsid w:val="00031F18"/>
    <w:rsid w:val="0003278D"/>
    <w:rsid w:val="000345C4"/>
    <w:rsid w:val="00037F0D"/>
    <w:rsid w:val="0004170A"/>
    <w:rsid w:val="000445C7"/>
    <w:rsid w:val="00044E04"/>
    <w:rsid w:val="00046ECE"/>
    <w:rsid w:val="00047C81"/>
    <w:rsid w:val="00047CD2"/>
    <w:rsid w:val="00047D2F"/>
    <w:rsid w:val="00052A39"/>
    <w:rsid w:val="00056054"/>
    <w:rsid w:val="00057A9B"/>
    <w:rsid w:val="00061B7D"/>
    <w:rsid w:val="0006209D"/>
    <w:rsid w:val="0006227C"/>
    <w:rsid w:val="0006357F"/>
    <w:rsid w:val="00065637"/>
    <w:rsid w:val="000749EB"/>
    <w:rsid w:val="00074AB3"/>
    <w:rsid w:val="000777D9"/>
    <w:rsid w:val="00077861"/>
    <w:rsid w:val="00080BAC"/>
    <w:rsid w:val="00084680"/>
    <w:rsid w:val="0009000C"/>
    <w:rsid w:val="0009085C"/>
    <w:rsid w:val="00090DE1"/>
    <w:rsid w:val="00092020"/>
    <w:rsid w:val="000925EA"/>
    <w:rsid w:val="000951F4"/>
    <w:rsid w:val="0009761D"/>
    <w:rsid w:val="00097BE8"/>
    <w:rsid w:val="000A00AE"/>
    <w:rsid w:val="000A407B"/>
    <w:rsid w:val="000A429C"/>
    <w:rsid w:val="000A447E"/>
    <w:rsid w:val="000A5252"/>
    <w:rsid w:val="000A56C1"/>
    <w:rsid w:val="000A6928"/>
    <w:rsid w:val="000A7977"/>
    <w:rsid w:val="000B263D"/>
    <w:rsid w:val="000B4500"/>
    <w:rsid w:val="000B5357"/>
    <w:rsid w:val="000C0CDD"/>
    <w:rsid w:val="000C24C7"/>
    <w:rsid w:val="000C2EFD"/>
    <w:rsid w:val="000C34B5"/>
    <w:rsid w:val="000C45F7"/>
    <w:rsid w:val="000C6453"/>
    <w:rsid w:val="000C768B"/>
    <w:rsid w:val="000D0EF1"/>
    <w:rsid w:val="000D2DF7"/>
    <w:rsid w:val="000D572C"/>
    <w:rsid w:val="000E1D15"/>
    <w:rsid w:val="000E2B6F"/>
    <w:rsid w:val="000E4730"/>
    <w:rsid w:val="000E7C34"/>
    <w:rsid w:val="000F2690"/>
    <w:rsid w:val="00100183"/>
    <w:rsid w:val="00100619"/>
    <w:rsid w:val="00102536"/>
    <w:rsid w:val="001041A5"/>
    <w:rsid w:val="00104D33"/>
    <w:rsid w:val="00114911"/>
    <w:rsid w:val="00122A95"/>
    <w:rsid w:val="00133727"/>
    <w:rsid w:val="00136B81"/>
    <w:rsid w:val="0013779D"/>
    <w:rsid w:val="00137FC8"/>
    <w:rsid w:val="00145D4E"/>
    <w:rsid w:val="0014751D"/>
    <w:rsid w:val="0015195A"/>
    <w:rsid w:val="0015356E"/>
    <w:rsid w:val="00154EE1"/>
    <w:rsid w:val="001554A0"/>
    <w:rsid w:val="001605B4"/>
    <w:rsid w:val="001621BF"/>
    <w:rsid w:val="0016449C"/>
    <w:rsid w:val="00170281"/>
    <w:rsid w:val="00171172"/>
    <w:rsid w:val="001712E0"/>
    <w:rsid w:val="001740B8"/>
    <w:rsid w:val="00175AA6"/>
    <w:rsid w:val="00184F56"/>
    <w:rsid w:val="00184F73"/>
    <w:rsid w:val="00185E47"/>
    <w:rsid w:val="00186789"/>
    <w:rsid w:val="0019093B"/>
    <w:rsid w:val="00192112"/>
    <w:rsid w:val="00192DE4"/>
    <w:rsid w:val="00195087"/>
    <w:rsid w:val="001950B1"/>
    <w:rsid w:val="00197C14"/>
    <w:rsid w:val="00197EC8"/>
    <w:rsid w:val="001B0EDE"/>
    <w:rsid w:val="001B19FC"/>
    <w:rsid w:val="001B7A87"/>
    <w:rsid w:val="001C5D48"/>
    <w:rsid w:val="001D4524"/>
    <w:rsid w:val="001D4E98"/>
    <w:rsid w:val="001D5B81"/>
    <w:rsid w:val="001D5C1F"/>
    <w:rsid w:val="001E00D4"/>
    <w:rsid w:val="001E0A1A"/>
    <w:rsid w:val="001E45C6"/>
    <w:rsid w:val="001F0A3A"/>
    <w:rsid w:val="001F1760"/>
    <w:rsid w:val="001F24CE"/>
    <w:rsid w:val="001F54EB"/>
    <w:rsid w:val="001F6B05"/>
    <w:rsid w:val="00203824"/>
    <w:rsid w:val="002055A8"/>
    <w:rsid w:val="002203A7"/>
    <w:rsid w:val="00222DA2"/>
    <w:rsid w:val="002263C6"/>
    <w:rsid w:val="00226721"/>
    <w:rsid w:val="00231363"/>
    <w:rsid w:val="00231C2D"/>
    <w:rsid w:val="0023756B"/>
    <w:rsid w:val="00237B71"/>
    <w:rsid w:val="00240DFD"/>
    <w:rsid w:val="00240F2A"/>
    <w:rsid w:val="002454D1"/>
    <w:rsid w:val="00252632"/>
    <w:rsid w:val="00255A97"/>
    <w:rsid w:val="00255BB4"/>
    <w:rsid w:val="002657F4"/>
    <w:rsid w:val="002660FC"/>
    <w:rsid w:val="002670C6"/>
    <w:rsid w:val="00267958"/>
    <w:rsid w:val="0027358F"/>
    <w:rsid w:val="00274B25"/>
    <w:rsid w:val="00275039"/>
    <w:rsid w:val="00275446"/>
    <w:rsid w:val="00275899"/>
    <w:rsid w:val="002776CA"/>
    <w:rsid w:val="0028089F"/>
    <w:rsid w:val="002817FB"/>
    <w:rsid w:val="00283CBC"/>
    <w:rsid w:val="00290587"/>
    <w:rsid w:val="00291B1A"/>
    <w:rsid w:val="002931AB"/>
    <w:rsid w:val="002951C3"/>
    <w:rsid w:val="002A3193"/>
    <w:rsid w:val="002B4D95"/>
    <w:rsid w:val="002B7EBC"/>
    <w:rsid w:val="002C133C"/>
    <w:rsid w:val="002C517E"/>
    <w:rsid w:val="002E0FB4"/>
    <w:rsid w:val="002E5D8A"/>
    <w:rsid w:val="002E6702"/>
    <w:rsid w:val="002E6FC5"/>
    <w:rsid w:val="002E7C8B"/>
    <w:rsid w:val="002F150E"/>
    <w:rsid w:val="002F21F7"/>
    <w:rsid w:val="002F3E41"/>
    <w:rsid w:val="00303C10"/>
    <w:rsid w:val="00305BCE"/>
    <w:rsid w:val="003064E5"/>
    <w:rsid w:val="0031273A"/>
    <w:rsid w:val="0031476A"/>
    <w:rsid w:val="00326037"/>
    <w:rsid w:val="0033120F"/>
    <w:rsid w:val="00331E4D"/>
    <w:rsid w:val="00332ADC"/>
    <w:rsid w:val="003342CF"/>
    <w:rsid w:val="003360A8"/>
    <w:rsid w:val="00337423"/>
    <w:rsid w:val="003377B5"/>
    <w:rsid w:val="00337C8C"/>
    <w:rsid w:val="003400B8"/>
    <w:rsid w:val="00340C8B"/>
    <w:rsid w:val="00340CC8"/>
    <w:rsid w:val="0034193B"/>
    <w:rsid w:val="00351D6D"/>
    <w:rsid w:val="0035218C"/>
    <w:rsid w:val="00353FC8"/>
    <w:rsid w:val="00354A80"/>
    <w:rsid w:val="00360A3A"/>
    <w:rsid w:val="00363D6E"/>
    <w:rsid w:val="003705CE"/>
    <w:rsid w:val="0037122D"/>
    <w:rsid w:val="00377CDF"/>
    <w:rsid w:val="003816BA"/>
    <w:rsid w:val="00382CDA"/>
    <w:rsid w:val="003872EE"/>
    <w:rsid w:val="00394DF7"/>
    <w:rsid w:val="00395FA0"/>
    <w:rsid w:val="00396966"/>
    <w:rsid w:val="00397F72"/>
    <w:rsid w:val="003A091B"/>
    <w:rsid w:val="003A35E5"/>
    <w:rsid w:val="003A3775"/>
    <w:rsid w:val="003A3A28"/>
    <w:rsid w:val="003B0CA9"/>
    <w:rsid w:val="003B1856"/>
    <w:rsid w:val="003B7ADF"/>
    <w:rsid w:val="003B7E08"/>
    <w:rsid w:val="003C0A7F"/>
    <w:rsid w:val="003C4F0E"/>
    <w:rsid w:val="003C66FD"/>
    <w:rsid w:val="003C6BA1"/>
    <w:rsid w:val="003D0E83"/>
    <w:rsid w:val="003D1C1D"/>
    <w:rsid w:val="003D5AD4"/>
    <w:rsid w:val="003D70D1"/>
    <w:rsid w:val="003D71B2"/>
    <w:rsid w:val="003E4034"/>
    <w:rsid w:val="003F3BF5"/>
    <w:rsid w:val="003F3F91"/>
    <w:rsid w:val="003F591D"/>
    <w:rsid w:val="00404A52"/>
    <w:rsid w:val="00410BFD"/>
    <w:rsid w:val="00416BB4"/>
    <w:rsid w:val="0041723A"/>
    <w:rsid w:val="00420DEF"/>
    <w:rsid w:val="00420DF1"/>
    <w:rsid w:val="00426243"/>
    <w:rsid w:val="00427F68"/>
    <w:rsid w:val="004336D3"/>
    <w:rsid w:val="004345FF"/>
    <w:rsid w:val="0044216A"/>
    <w:rsid w:val="004430F3"/>
    <w:rsid w:val="004441F5"/>
    <w:rsid w:val="00447827"/>
    <w:rsid w:val="00447C7C"/>
    <w:rsid w:val="00452727"/>
    <w:rsid w:val="00454D12"/>
    <w:rsid w:val="00455F73"/>
    <w:rsid w:val="004573FE"/>
    <w:rsid w:val="0046061B"/>
    <w:rsid w:val="0046396B"/>
    <w:rsid w:val="004639B8"/>
    <w:rsid w:val="00467F25"/>
    <w:rsid w:val="00470138"/>
    <w:rsid w:val="004772D1"/>
    <w:rsid w:val="0048221E"/>
    <w:rsid w:val="00484234"/>
    <w:rsid w:val="004845D9"/>
    <w:rsid w:val="004923D1"/>
    <w:rsid w:val="004925B3"/>
    <w:rsid w:val="00494474"/>
    <w:rsid w:val="00496242"/>
    <w:rsid w:val="004967DF"/>
    <w:rsid w:val="004A0633"/>
    <w:rsid w:val="004A0E9B"/>
    <w:rsid w:val="004A3E8A"/>
    <w:rsid w:val="004A6D8B"/>
    <w:rsid w:val="004B1D74"/>
    <w:rsid w:val="004B5AD0"/>
    <w:rsid w:val="004B7B9E"/>
    <w:rsid w:val="004C50BE"/>
    <w:rsid w:val="004C65C7"/>
    <w:rsid w:val="004C6957"/>
    <w:rsid w:val="004D2D8F"/>
    <w:rsid w:val="004D6CBB"/>
    <w:rsid w:val="004E1800"/>
    <w:rsid w:val="004F21C0"/>
    <w:rsid w:val="004F60D7"/>
    <w:rsid w:val="004F6F02"/>
    <w:rsid w:val="00501539"/>
    <w:rsid w:val="0050353F"/>
    <w:rsid w:val="005056DA"/>
    <w:rsid w:val="0051172B"/>
    <w:rsid w:val="005144B1"/>
    <w:rsid w:val="00521A2F"/>
    <w:rsid w:val="005266A9"/>
    <w:rsid w:val="0053062A"/>
    <w:rsid w:val="00532A21"/>
    <w:rsid w:val="005356B4"/>
    <w:rsid w:val="005373A2"/>
    <w:rsid w:val="00541A1B"/>
    <w:rsid w:val="00547287"/>
    <w:rsid w:val="00551816"/>
    <w:rsid w:val="0055418F"/>
    <w:rsid w:val="00557D9F"/>
    <w:rsid w:val="00561DC2"/>
    <w:rsid w:val="005660D8"/>
    <w:rsid w:val="00566F6A"/>
    <w:rsid w:val="00567AE8"/>
    <w:rsid w:val="00570571"/>
    <w:rsid w:val="00570FF9"/>
    <w:rsid w:val="00575092"/>
    <w:rsid w:val="00575C6F"/>
    <w:rsid w:val="00580629"/>
    <w:rsid w:val="00584597"/>
    <w:rsid w:val="0058480E"/>
    <w:rsid w:val="005865A9"/>
    <w:rsid w:val="00586BC5"/>
    <w:rsid w:val="00596AD8"/>
    <w:rsid w:val="005A21E5"/>
    <w:rsid w:val="005A4225"/>
    <w:rsid w:val="005A45B1"/>
    <w:rsid w:val="005A575F"/>
    <w:rsid w:val="005A73B7"/>
    <w:rsid w:val="005A768F"/>
    <w:rsid w:val="005B0AE5"/>
    <w:rsid w:val="005C0AA1"/>
    <w:rsid w:val="005C645F"/>
    <w:rsid w:val="005C6DAE"/>
    <w:rsid w:val="005C7A77"/>
    <w:rsid w:val="005D03E5"/>
    <w:rsid w:val="005D05DB"/>
    <w:rsid w:val="005D333F"/>
    <w:rsid w:val="005D3702"/>
    <w:rsid w:val="005D5803"/>
    <w:rsid w:val="005D797A"/>
    <w:rsid w:val="005E483B"/>
    <w:rsid w:val="005E525B"/>
    <w:rsid w:val="005E77D6"/>
    <w:rsid w:val="005F3476"/>
    <w:rsid w:val="005F552C"/>
    <w:rsid w:val="00612827"/>
    <w:rsid w:val="0061328E"/>
    <w:rsid w:val="00615675"/>
    <w:rsid w:val="006169A9"/>
    <w:rsid w:val="006236E8"/>
    <w:rsid w:val="00624558"/>
    <w:rsid w:val="00626466"/>
    <w:rsid w:val="0062737F"/>
    <w:rsid w:val="0063099A"/>
    <w:rsid w:val="006318FA"/>
    <w:rsid w:val="006338B9"/>
    <w:rsid w:val="00634E08"/>
    <w:rsid w:val="00637305"/>
    <w:rsid w:val="00640971"/>
    <w:rsid w:val="006420A8"/>
    <w:rsid w:val="00643C8B"/>
    <w:rsid w:val="0064543B"/>
    <w:rsid w:val="00651BEA"/>
    <w:rsid w:val="006533EC"/>
    <w:rsid w:val="006577A2"/>
    <w:rsid w:val="006579DF"/>
    <w:rsid w:val="00661B31"/>
    <w:rsid w:val="006622D7"/>
    <w:rsid w:val="00674A5F"/>
    <w:rsid w:val="00675AE3"/>
    <w:rsid w:val="0068027E"/>
    <w:rsid w:val="00680446"/>
    <w:rsid w:val="006823BA"/>
    <w:rsid w:val="006826B9"/>
    <w:rsid w:val="00683D8C"/>
    <w:rsid w:val="006870A9"/>
    <w:rsid w:val="00687833"/>
    <w:rsid w:val="006926A9"/>
    <w:rsid w:val="006A00F0"/>
    <w:rsid w:val="006A35DA"/>
    <w:rsid w:val="006A4330"/>
    <w:rsid w:val="006A44DF"/>
    <w:rsid w:val="006A5BDB"/>
    <w:rsid w:val="006B0EB2"/>
    <w:rsid w:val="006B33A7"/>
    <w:rsid w:val="006B516C"/>
    <w:rsid w:val="006C226F"/>
    <w:rsid w:val="006D0BA9"/>
    <w:rsid w:val="006D1608"/>
    <w:rsid w:val="006D21D0"/>
    <w:rsid w:val="006D493A"/>
    <w:rsid w:val="006D5D0B"/>
    <w:rsid w:val="006D5FB1"/>
    <w:rsid w:val="006D7185"/>
    <w:rsid w:val="006E007E"/>
    <w:rsid w:val="006E1755"/>
    <w:rsid w:val="006E2160"/>
    <w:rsid w:val="006E307E"/>
    <w:rsid w:val="006E4A3A"/>
    <w:rsid w:val="006E722D"/>
    <w:rsid w:val="006F1829"/>
    <w:rsid w:val="006F2A94"/>
    <w:rsid w:val="006F2CD9"/>
    <w:rsid w:val="007000B0"/>
    <w:rsid w:val="00704A36"/>
    <w:rsid w:val="00706834"/>
    <w:rsid w:val="007070B3"/>
    <w:rsid w:val="00707105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35168"/>
    <w:rsid w:val="00735EEB"/>
    <w:rsid w:val="00742118"/>
    <w:rsid w:val="00750C2D"/>
    <w:rsid w:val="00752C9F"/>
    <w:rsid w:val="007535A8"/>
    <w:rsid w:val="00772D72"/>
    <w:rsid w:val="0078127D"/>
    <w:rsid w:val="00784301"/>
    <w:rsid w:val="00785DC6"/>
    <w:rsid w:val="00785E7A"/>
    <w:rsid w:val="00786BB8"/>
    <w:rsid w:val="00790613"/>
    <w:rsid w:val="00791235"/>
    <w:rsid w:val="007915E4"/>
    <w:rsid w:val="007A2989"/>
    <w:rsid w:val="007A4618"/>
    <w:rsid w:val="007A6DEF"/>
    <w:rsid w:val="007A716B"/>
    <w:rsid w:val="007B24CD"/>
    <w:rsid w:val="007B2CBA"/>
    <w:rsid w:val="007B7EE4"/>
    <w:rsid w:val="007C204C"/>
    <w:rsid w:val="007C2067"/>
    <w:rsid w:val="007C7454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E242E"/>
    <w:rsid w:val="007F27A3"/>
    <w:rsid w:val="007F418A"/>
    <w:rsid w:val="00805CFC"/>
    <w:rsid w:val="00812242"/>
    <w:rsid w:val="00814397"/>
    <w:rsid w:val="00816D94"/>
    <w:rsid w:val="008203A6"/>
    <w:rsid w:val="00821576"/>
    <w:rsid w:val="008217E7"/>
    <w:rsid w:val="00822D10"/>
    <w:rsid w:val="00824D78"/>
    <w:rsid w:val="00824DFB"/>
    <w:rsid w:val="008339B1"/>
    <w:rsid w:val="00835159"/>
    <w:rsid w:val="00841E13"/>
    <w:rsid w:val="0084248D"/>
    <w:rsid w:val="00842B13"/>
    <w:rsid w:val="008434F5"/>
    <w:rsid w:val="008445AD"/>
    <w:rsid w:val="00845420"/>
    <w:rsid w:val="00847F2C"/>
    <w:rsid w:val="00854580"/>
    <w:rsid w:val="008560D4"/>
    <w:rsid w:val="008614B5"/>
    <w:rsid w:val="0086227E"/>
    <w:rsid w:val="00865B16"/>
    <w:rsid w:val="00867B33"/>
    <w:rsid w:val="00873A1B"/>
    <w:rsid w:val="0087462D"/>
    <w:rsid w:val="008777CB"/>
    <w:rsid w:val="008826B2"/>
    <w:rsid w:val="00882A8E"/>
    <w:rsid w:val="0088707C"/>
    <w:rsid w:val="008918D6"/>
    <w:rsid w:val="008922C9"/>
    <w:rsid w:val="0089258A"/>
    <w:rsid w:val="00895968"/>
    <w:rsid w:val="00895A3D"/>
    <w:rsid w:val="00896AEB"/>
    <w:rsid w:val="008A0473"/>
    <w:rsid w:val="008A2292"/>
    <w:rsid w:val="008A2C71"/>
    <w:rsid w:val="008B2637"/>
    <w:rsid w:val="008C04A7"/>
    <w:rsid w:val="008C1982"/>
    <w:rsid w:val="008C1C65"/>
    <w:rsid w:val="008D5EA4"/>
    <w:rsid w:val="008D690D"/>
    <w:rsid w:val="008E32D9"/>
    <w:rsid w:val="008E3BCB"/>
    <w:rsid w:val="008E4C38"/>
    <w:rsid w:val="008E74E4"/>
    <w:rsid w:val="008E7B5B"/>
    <w:rsid w:val="008F258C"/>
    <w:rsid w:val="008F3EE1"/>
    <w:rsid w:val="008F40E0"/>
    <w:rsid w:val="008F7DF2"/>
    <w:rsid w:val="00901F37"/>
    <w:rsid w:val="009034DB"/>
    <w:rsid w:val="009036EF"/>
    <w:rsid w:val="0090396C"/>
    <w:rsid w:val="009050BF"/>
    <w:rsid w:val="00905837"/>
    <w:rsid w:val="00910179"/>
    <w:rsid w:val="0091388C"/>
    <w:rsid w:val="00917D61"/>
    <w:rsid w:val="0092020F"/>
    <w:rsid w:val="00923276"/>
    <w:rsid w:val="00923DCB"/>
    <w:rsid w:val="00926E76"/>
    <w:rsid w:val="0093102E"/>
    <w:rsid w:val="00931FE0"/>
    <w:rsid w:val="009322E8"/>
    <w:rsid w:val="00941D2D"/>
    <w:rsid w:val="0094397C"/>
    <w:rsid w:val="00946549"/>
    <w:rsid w:val="00946FE9"/>
    <w:rsid w:val="00953FCA"/>
    <w:rsid w:val="00955824"/>
    <w:rsid w:val="00955BCB"/>
    <w:rsid w:val="00955D5E"/>
    <w:rsid w:val="00955E85"/>
    <w:rsid w:val="0095777F"/>
    <w:rsid w:val="00960BA6"/>
    <w:rsid w:val="00962965"/>
    <w:rsid w:val="00962F88"/>
    <w:rsid w:val="00964FC1"/>
    <w:rsid w:val="00970F70"/>
    <w:rsid w:val="009846E7"/>
    <w:rsid w:val="0098595E"/>
    <w:rsid w:val="00987B8F"/>
    <w:rsid w:val="0099185D"/>
    <w:rsid w:val="009A0F80"/>
    <w:rsid w:val="009A586A"/>
    <w:rsid w:val="009A6121"/>
    <w:rsid w:val="009A7B26"/>
    <w:rsid w:val="009B1ADF"/>
    <w:rsid w:val="009B2CEB"/>
    <w:rsid w:val="009B6B85"/>
    <w:rsid w:val="009C0BAB"/>
    <w:rsid w:val="009C116F"/>
    <w:rsid w:val="009C1846"/>
    <w:rsid w:val="009C4FCF"/>
    <w:rsid w:val="009C502C"/>
    <w:rsid w:val="009C7086"/>
    <w:rsid w:val="009D0C26"/>
    <w:rsid w:val="009D21EF"/>
    <w:rsid w:val="009D3CF4"/>
    <w:rsid w:val="009D41A6"/>
    <w:rsid w:val="009D6B12"/>
    <w:rsid w:val="009D7C62"/>
    <w:rsid w:val="009E10EF"/>
    <w:rsid w:val="009E3B3D"/>
    <w:rsid w:val="009E46F8"/>
    <w:rsid w:val="009E53E5"/>
    <w:rsid w:val="009E6FCD"/>
    <w:rsid w:val="009F36A2"/>
    <w:rsid w:val="009F372B"/>
    <w:rsid w:val="009F414E"/>
    <w:rsid w:val="009F534A"/>
    <w:rsid w:val="009F54F3"/>
    <w:rsid w:val="00A01AB7"/>
    <w:rsid w:val="00A10100"/>
    <w:rsid w:val="00A17D70"/>
    <w:rsid w:val="00A2012D"/>
    <w:rsid w:val="00A22453"/>
    <w:rsid w:val="00A256CA"/>
    <w:rsid w:val="00A25C2C"/>
    <w:rsid w:val="00A367AE"/>
    <w:rsid w:val="00A4288C"/>
    <w:rsid w:val="00A44807"/>
    <w:rsid w:val="00A45CBC"/>
    <w:rsid w:val="00A47F28"/>
    <w:rsid w:val="00A5080A"/>
    <w:rsid w:val="00A55819"/>
    <w:rsid w:val="00A65820"/>
    <w:rsid w:val="00A65A94"/>
    <w:rsid w:val="00A6609B"/>
    <w:rsid w:val="00A7130A"/>
    <w:rsid w:val="00A718D9"/>
    <w:rsid w:val="00A83FC5"/>
    <w:rsid w:val="00A90917"/>
    <w:rsid w:val="00A90B99"/>
    <w:rsid w:val="00A92A6F"/>
    <w:rsid w:val="00A978AF"/>
    <w:rsid w:val="00AA1907"/>
    <w:rsid w:val="00AA22AF"/>
    <w:rsid w:val="00AB0F85"/>
    <w:rsid w:val="00AB1AA7"/>
    <w:rsid w:val="00AB6DDF"/>
    <w:rsid w:val="00AC3232"/>
    <w:rsid w:val="00AC3B86"/>
    <w:rsid w:val="00AD5704"/>
    <w:rsid w:val="00AD6741"/>
    <w:rsid w:val="00AE0715"/>
    <w:rsid w:val="00AE3C33"/>
    <w:rsid w:val="00AE5249"/>
    <w:rsid w:val="00AE55F7"/>
    <w:rsid w:val="00AF1DCC"/>
    <w:rsid w:val="00AF6CB8"/>
    <w:rsid w:val="00B0116C"/>
    <w:rsid w:val="00B12E1A"/>
    <w:rsid w:val="00B2143F"/>
    <w:rsid w:val="00B22F4A"/>
    <w:rsid w:val="00B27ECA"/>
    <w:rsid w:val="00B30909"/>
    <w:rsid w:val="00B30F7D"/>
    <w:rsid w:val="00B31B3D"/>
    <w:rsid w:val="00B32BC7"/>
    <w:rsid w:val="00B37780"/>
    <w:rsid w:val="00B41260"/>
    <w:rsid w:val="00B4727F"/>
    <w:rsid w:val="00B53DAB"/>
    <w:rsid w:val="00B55568"/>
    <w:rsid w:val="00B563C0"/>
    <w:rsid w:val="00B568D2"/>
    <w:rsid w:val="00B56D08"/>
    <w:rsid w:val="00B70D25"/>
    <w:rsid w:val="00B71F1E"/>
    <w:rsid w:val="00B77767"/>
    <w:rsid w:val="00B84BDC"/>
    <w:rsid w:val="00B93085"/>
    <w:rsid w:val="00BA584F"/>
    <w:rsid w:val="00BA5E7B"/>
    <w:rsid w:val="00BB2A81"/>
    <w:rsid w:val="00BB2F37"/>
    <w:rsid w:val="00BB7347"/>
    <w:rsid w:val="00BC5230"/>
    <w:rsid w:val="00BC58FD"/>
    <w:rsid w:val="00BC5C66"/>
    <w:rsid w:val="00BD7EC9"/>
    <w:rsid w:val="00BE0E0C"/>
    <w:rsid w:val="00BE1CD6"/>
    <w:rsid w:val="00BE2DF4"/>
    <w:rsid w:val="00BE73C5"/>
    <w:rsid w:val="00BE7534"/>
    <w:rsid w:val="00BF07B8"/>
    <w:rsid w:val="00BF30BC"/>
    <w:rsid w:val="00BF506D"/>
    <w:rsid w:val="00BF5105"/>
    <w:rsid w:val="00C00745"/>
    <w:rsid w:val="00C00823"/>
    <w:rsid w:val="00C0093B"/>
    <w:rsid w:val="00C105EC"/>
    <w:rsid w:val="00C1657D"/>
    <w:rsid w:val="00C22525"/>
    <w:rsid w:val="00C23DE8"/>
    <w:rsid w:val="00C24179"/>
    <w:rsid w:val="00C265CF"/>
    <w:rsid w:val="00C274A9"/>
    <w:rsid w:val="00C27E12"/>
    <w:rsid w:val="00C30DD1"/>
    <w:rsid w:val="00C43340"/>
    <w:rsid w:val="00C44D3E"/>
    <w:rsid w:val="00C46AC5"/>
    <w:rsid w:val="00C47117"/>
    <w:rsid w:val="00C50CA3"/>
    <w:rsid w:val="00C52337"/>
    <w:rsid w:val="00C62646"/>
    <w:rsid w:val="00C63331"/>
    <w:rsid w:val="00C6637A"/>
    <w:rsid w:val="00C668F3"/>
    <w:rsid w:val="00C669EC"/>
    <w:rsid w:val="00C73C6D"/>
    <w:rsid w:val="00C8393D"/>
    <w:rsid w:val="00C8404D"/>
    <w:rsid w:val="00C90B0B"/>
    <w:rsid w:val="00C92590"/>
    <w:rsid w:val="00CA03C3"/>
    <w:rsid w:val="00CA0D3C"/>
    <w:rsid w:val="00CA4C5D"/>
    <w:rsid w:val="00CA6AF8"/>
    <w:rsid w:val="00CB2BC8"/>
    <w:rsid w:val="00CB3219"/>
    <w:rsid w:val="00CB5B2B"/>
    <w:rsid w:val="00CB6937"/>
    <w:rsid w:val="00CC1607"/>
    <w:rsid w:val="00CC61EA"/>
    <w:rsid w:val="00CC62EB"/>
    <w:rsid w:val="00CD6707"/>
    <w:rsid w:val="00CE3238"/>
    <w:rsid w:val="00CE6F6D"/>
    <w:rsid w:val="00CF1DCE"/>
    <w:rsid w:val="00CF2CCE"/>
    <w:rsid w:val="00CF3019"/>
    <w:rsid w:val="00CF479F"/>
    <w:rsid w:val="00CF5E44"/>
    <w:rsid w:val="00CF6651"/>
    <w:rsid w:val="00D03BF9"/>
    <w:rsid w:val="00D03E6D"/>
    <w:rsid w:val="00D072C6"/>
    <w:rsid w:val="00D078DF"/>
    <w:rsid w:val="00D1036E"/>
    <w:rsid w:val="00D103DA"/>
    <w:rsid w:val="00D11110"/>
    <w:rsid w:val="00D162D1"/>
    <w:rsid w:val="00D229A9"/>
    <w:rsid w:val="00D22DA6"/>
    <w:rsid w:val="00D24F50"/>
    <w:rsid w:val="00D250B7"/>
    <w:rsid w:val="00D25D1D"/>
    <w:rsid w:val="00D27385"/>
    <w:rsid w:val="00D27FF4"/>
    <w:rsid w:val="00D30654"/>
    <w:rsid w:val="00D3521D"/>
    <w:rsid w:val="00D46C4A"/>
    <w:rsid w:val="00D51804"/>
    <w:rsid w:val="00D52134"/>
    <w:rsid w:val="00D54671"/>
    <w:rsid w:val="00D563AC"/>
    <w:rsid w:val="00D60505"/>
    <w:rsid w:val="00D60D65"/>
    <w:rsid w:val="00D63975"/>
    <w:rsid w:val="00D667CD"/>
    <w:rsid w:val="00D707AB"/>
    <w:rsid w:val="00D72CE5"/>
    <w:rsid w:val="00D75276"/>
    <w:rsid w:val="00D75BCB"/>
    <w:rsid w:val="00D82135"/>
    <w:rsid w:val="00D82938"/>
    <w:rsid w:val="00D84C99"/>
    <w:rsid w:val="00D861F1"/>
    <w:rsid w:val="00D9563D"/>
    <w:rsid w:val="00D9716E"/>
    <w:rsid w:val="00D97C76"/>
    <w:rsid w:val="00DA0C25"/>
    <w:rsid w:val="00DA58FD"/>
    <w:rsid w:val="00DA67C6"/>
    <w:rsid w:val="00DB0203"/>
    <w:rsid w:val="00DB1306"/>
    <w:rsid w:val="00DB2D99"/>
    <w:rsid w:val="00DB6AF1"/>
    <w:rsid w:val="00DC4A98"/>
    <w:rsid w:val="00DC4FC8"/>
    <w:rsid w:val="00DC51E5"/>
    <w:rsid w:val="00DD189F"/>
    <w:rsid w:val="00DD32CD"/>
    <w:rsid w:val="00DD358A"/>
    <w:rsid w:val="00DD4667"/>
    <w:rsid w:val="00DD7D67"/>
    <w:rsid w:val="00DE0F7D"/>
    <w:rsid w:val="00DE406C"/>
    <w:rsid w:val="00DE63A0"/>
    <w:rsid w:val="00DF030A"/>
    <w:rsid w:val="00DF0A56"/>
    <w:rsid w:val="00DF1125"/>
    <w:rsid w:val="00DF475B"/>
    <w:rsid w:val="00DF624B"/>
    <w:rsid w:val="00E0046E"/>
    <w:rsid w:val="00E0378C"/>
    <w:rsid w:val="00E0393C"/>
    <w:rsid w:val="00E0548C"/>
    <w:rsid w:val="00E14BBE"/>
    <w:rsid w:val="00E15348"/>
    <w:rsid w:val="00E1546D"/>
    <w:rsid w:val="00E15CE1"/>
    <w:rsid w:val="00E21C05"/>
    <w:rsid w:val="00E24003"/>
    <w:rsid w:val="00E30138"/>
    <w:rsid w:val="00E34A10"/>
    <w:rsid w:val="00E378EE"/>
    <w:rsid w:val="00E440CA"/>
    <w:rsid w:val="00E46412"/>
    <w:rsid w:val="00E47787"/>
    <w:rsid w:val="00E51AFA"/>
    <w:rsid w:val="00E52C71"/>
    <w:rsid w:val="00E547F3"/>
    <w:rsid w:val="00E54D2F"/>
    <w:rsid w:val="00E553A8"/>
    <w:rsid w:val="00E55E1D"/>
    <w:rsid w:val="00E672F4"/>
    <w:rsid w:val="00E6747E"/>
    <w:rsid w:val="00E80467"/>
    <w:rsid w:val="00E84165"/>
    <w:rsid w:val="00E90FE2"/>
    <w:rsid w:val="00E91C81"/>
    <w:rsid w:val="00E9620E"/>
    <w:rsid w:val="00EA249D"/>
    <w:rsid w:val="00EA3011"/>
    <w:rsid w:val="00EA3D13"/>
    <w:rsid w:val="00EA4915"/>
    <w:rsid w:val="00EA5F45"/>
    <w:rsid w:val="00EB0BEF"/>
    <w:rsid w:val="00EB55CD"/>
    <w:rsid w:val="00EC0B4F"/>
    <w:rsid w:val="00EC15C4"/>
    <w:rsid w:val="00EC4995"/>
    <w:rsid w:val="00EC7118"/>
    <w:rsid w:val="00ED3EDD"/>
    <w:rsid w:val="00ED500C"/>
    <w:rsid w:val="00ED78DC"/>
    <w:rsid w:val="00EE1C36"/>
    <w:rsid w:val="00EE755D"/>
    <w:rsid w:val="00EF1FAC"/>
    <w:rsid w:val="00EF21CA"/>
    <w:rsid w:val="00EF394C"/>
    <w:rsid w:val="00EF3F2B"/>
    <w:rsid w:val="00EF5BF5"/>
    <w:rsid w:val="00F00F7A"/>
    <w:rsid w:val="00F041CB"/>
    <w:rsid w:val="00F04565"/>
    <w:rsid w:val="00F0659E"/>
    <w:rsid w:val="00F13AD7"/>
    <w:rsid w:val="00F14912"/>
    <w:rsid w:val="00F153DA"/>
    <w:rsid w:val="00F165D9"/>
    <w:rsid w:val="00F21336"/>
    <w:rsid w:val="00F31215"/>
    <w:rsid w:val="00F33EE1"/>
    <w:rsid w:val="00F3486C"/>
    <w:rsid w:val="00F37B1B"/>
    <w:rsid w:val="00F41914"/>
    <w:rsid w:val="00F420A6"/>
    <w:rsid w:val="00F43447"/>
    <w:rsid w:val="00F44B4E"/>
    <w:rsid w:val="00F457E0"/>
    <w:rsid w:val="00F51946"/>
    <w:rsid w:val="00F53247"/>
    <w:rsid w:val="00F65862"/>
    <w:rsid w:val="00F71AE5"/>
    <w:rsid w:val="00F752E5"/>
    <w:rsid w:val="00F76CF7"/>
    <w:rsid w:val="00F81399"/>
    <w:rsid w:val="00F82DAB"/>
    <w:rsid w:val="00F8322E"/>
    <w:rsid w:val="00F863C6"/>
    <w:rsid w:val="00F86813"/>
    <w:rsid w:val="00F875DD"/>
    <w:rsid w:val="00F90B20"/>
    <w:rsid w:val="00F9215D"/>
    <w:rsid w:val="00F922B7"/>
    <w:rsid w:val="00FA090D"/>
    <w:rsid w:val="00FA1C0A"/>
    <w:rsid w:val="00FA7123"/>
    <w:rsid w:val="00FB15C4"/>
    <w:rsid w:val="00FB1D9A"/>
    <w:rsid w:val="00FC3B47"/>
    <w:rsid w:val="00FC54AC"/>
    <w:rsid w:val="00FC6633"/>
    <w:rsid w:val="00FD14E4"/>
    <w:rsid w:val="00FD2E02"/>
    <w:rsid w:val="00FD46A0"/>
    <w:rsid w:val="00FE157D"/>
    <w:rsid w:val="00FE2826"/>
    <w:rsid w:val="00FE6173"/>
    <w:rsid w:val="00FF320E"/>
    <w:rsid w:val="00FF5EE1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4925B3"/>
    <w:pPr>
      <w:keepNext/>
      <w:numPr>
        <w:numId w:val="9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4925B3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BE17A-2962-4E3A-8850-65EFD1562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박해욱/책임연구원/미래기술센터 C&amp;M표준(연)5G무선통신표준Task(haewook.park@lge.com)</cp:lastModifiedBy>
  <cp:revision>3</cp:revision>
  <cp:lastPrinted>2019-08-16T03:53:00Z</cp:lastPrinted>
  <dcterms:created xsi:type="dcterms:W3CDTF">2021-01-18T04:58:00Z</dcterms:created>
  <dcterms:modified xsi:type="dcterms:W3CDTF">2021-01-18T09:06:00Z</dcterms:modified>
</cp:coreProperties>
</file>