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749A199D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>3GPP TSG RAN WG1 #10</w:t>
      </w:r>
      <w:r w:rsidR="00895F04">
        <w:rPr>
          <w:b/>
          <w:bCs/>
          <w:sz w:val="28"/>
        </w:rPr>
        <w:t>4</w:t>
      </w:r>
      <w:r w:rsidRPr="00695123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R1-2</w:t>
      </w:r>
      <w:r w:rsidR="00895F04">
        <w:rPr>
          <w:b/>
          <w:bCs/>
          <w:sz w:val="28"/>
        </w:rPr>
        <w:t>1</w:t>
      </w:r>
      <w:r w:rsidR="00894C8F">
        <w:rPr>
          <w:b/>
          <w:bCs/>
          <w:sz w:val="28"/>
        </w:rPr>
        <w:t>0</w:t>
      </w:r>
      <w:r w:rsidR="00895F04">
        <w:rPr>
          <w:b/>
          <w:bCs/>
          <w:sz w:val="28"/>
        </w:rPr>
        <w:t>0608</w:t>
      </w:r>
    </w:p>
    <w:p w14:paraId="468022D7" w14:textId="20FE0B6B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895F04">
        <w:rPr>
          <w:rFonts w:eastAsia="MS Mincho"/>
          <w:b/>
          <w:bCs/>
          <w:sz w:val="28"/>
          <w:lang w:eastAsia="ja-JP"/>
        </w:rPr>
        <w:t>January</w:t>
      </w:r>
      <w:r w:rsidRPr="00695123">
        <w:rPr>
          <w:rFonts w:eastAsia="MS Mincho"/>
          <w:b/>
          <w:bCs/>
          <w:sz w:val="28"/>
          <w:lang w:eastAsia="ja-JP"/>
        </w:rPr>
        <w:t xml:space="preserve"> 2</w:t>
      </w:r>
      <w:r w:rsidR="00895F04">
        <w:rPr>
          <w:rFonts w:eastAsia="MS Mincho"/>
          <w:b/>
          <w:bCs/>
          <w:sz w:val="28"/>
          <w:lang w:eastAsia="ja-JP"/>
        </w:rPr>
        <w:t>5</w:t>
      </w:r>
      <w:r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695123">
        <w:rPr>
          <w:rFonts w:eastAsia="MS Mincho"/>
          <w:b/>
          <w:bCs/>
          <w:sz w:val="28"/>
          <w:lang w:eastAsia="ja-JP"/>
        </w:rPr>
        <w:t xml:space="preserve"> – </w:t>
      </w:r>
      <w:r w:rsidR="00895F04">
        <w:rPr>
          <w:rFonts w:eastAsia="MS Mincho"/>
          <w:b/>
          <w:bCs/>
          <w:sz w:val="28"/>
          <w:lang w:eastAsia="ja-JP"/>
        </w:rPr>
        <w:t>February</w:t>
      </w:r>
      <w:r w:rsidRPr="00695123">
        <w:rPr>
          <w:rFonts w:eastAsia="MS Mincho"/>
          <w:b/>
          <w:bCs/>
          <w:sz w:val="28"/>
          <w:lang w:eastAsia="ja-JP"/>
        </w:rPr>
        <w:t xml:space="preserve"> </w:t>
      </w:r>
      <w:r w:rsidR="00895F04">
        <w:rPr>
          <w:rFonts w:eastAsia="MS Mincho"/>
          <w:b/>
          <w:bCs/>
          <w:sz w:val="28"/>
          <w:lang w:eastAsia="ja-JP"/>
        </w:rPr>
        <w:t>5</w:t>
      </w:r>
      <w:r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695123">
        <w:rPr>
          <w:rFonts w:eastAsia="MS Mincho"/>
          <w:b/>
          <w:bCs/>
          <w:sz w:val="28"/>
          <w:lang w:eastAsia="ja-JP"/>
        </w:rPr>
        <w:t>, 202</w:t>
      </w:r>
      <w:r w:rsidR="00895F04">
        <w:rPr>
          <w:rFonts w:eastAsia="MS Mincho"/>
          <w:b/>
          <w:bCs/>
          <w:sz w:val="28"/>
          <w:lang w:eastAsia="ja-JP"/>
        </w:rPr>
        <w:t>1</w:t>
      </w:r>
    </w:p>
    <w:p w14:paraId="301899BC" w14:textId="632A9573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895F04">
        <w:rPr>
          <w:b/>
          <w:sz w:val="28"/>
          <w:szCs w:val="28"/>
        </w:rPr>
        <w:t>2</w:t>
      </w:r>
    </w:p>
    <w:p w14:paraId="3ACE8376" w14:textId="492643A2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895F04" w:rsidRPr="00895F04">
        <w:rPr>
          <w:b/>
          <w:sz w:val="28"/>
          <w:szCs w:val="28"/>
        </w:rPr>
        <w:t>PDCCH monitoring enhancement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AC3E18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41C78B64" w:rsidR="004E01EA" w:rsidRPr="0052558F" w:rsidRDefault="008640D4" w:rsidP="008640D4">
      <w:pPr>
        <w:rPr>
          <w:szCs w:val="22"/>
        </w:rPr>
      </w:pPr>
      <w:r>
        <w:t xml:space="preserve">It has been identified during the SI phase </w:t>
      </w:r>
      <w:r w:rsidR="007E3EFF">
        <w:t>[</w:t>
      </w:r>
      <w:r w:rsidR="00241ABA">
        <w:t>1</w:t>
      </w:r>
      <w:r w:rsidR="007E3EFF">
        <w:t xml:space="preserve">] </w:t>
      </w:r>
      <w:r>
        <w:t xml:space="preserve">that per slot monitoring under high SCSs, i.e., 480 kHz and 960 kHz, might not be a desirable configuration for UE due to the PDCCH monitoring power consumption from relatively short slot duration. Furthermore, under the assumption of per slot monitoring, the associated BD/CCE limit per slot for SCSs higher than 120 kHz might be limited to a small number to accommodate UE capability, e.g., CCE limit per slot less than 16, </w:t>
      </w:r>
      <w:r w:rsidR="00831D4E">
        <w:t>which leads to degraded</w:t>
      </w:r>
      <w:r>
        <w:t xml:space="preserve"> scheduling efficiency. To address these two PDCCH monitoring issues, it has been agreed in RAN #90e </w:t>
      </w:r>
      <w:r w:rsidR="007E3EFF">
        <w:t>[</w:t>
      </w:r>
      <w:r w:rsidR="00241ABA">
        <w:t>2</w:t>
      </w:r>
      <w:r w:rsidR="007E3EFF">
        <w:t>]</w:t>
      </w:r>
      <w:r w:rsidR="00241ABA">
        <w:t xml:space="preserve"> </w:t>
      </w:r>
      <w:r>
        <w:t>that UE PDCCH monitoring complexity is considered as one of the enhancements for operation in 52.6GHz to 71GHz with the following aspects for further discussion:</w:t>
      </w:r>
      <w:r w:rsidRPr="00B41743">
        <w:t xml:space="preserve"> blind detection/CCE budget, multi-slot span monitoring, potential limitation to UE PDCCH configuration and capability related to PDCCH monitoring</w:t>
      </w:r>
      <w:r>
        <w:t xml:space="preserve">. Our views on those aspects are as follows.   </w:t>
      </w:r>
    </w:p>
    <w:p w14:paraId="479BFEA9" w14:textId="165C02DE" w:rsidR="00494DC2" w:rsidRPr="007D4109" w:rsidRDefault="00AC3E18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4DA10C97" w:rsidR="000D5DFA" w:rsidRDefault="000D5DFA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 w:rsidRPr="000D5DFA">
        <w:rPr>
          <w:b/>
          <w:sz w:val="28"/>
        </w:rPr>
        <w:t>PDCCH</w:t>
      </w:r>
      <w:r w:rsidR="00831D4E">
        <w:rPr>
          <w:b/>
          <w:sz w:val="28"/>
        </w:rPr>
        <w:t xml:space="preserve"> monitoring enhancement</w:t>
      </w:r>
    </w:p>
    <w:p w14:paraId="7FABCFA9" w14:textId="08BA266A" w:rsidR="00E00E89" w:rsidRDefault="00C32F15" w:rsidP="00E239E3">
      <w:r>
        <w:t xml:space="preserve">First of all, it is beneficial to </w:t>
      </w:r>
      <w:r w:rsidR="00E00E89">
        <w:t>apply</w:t>
      </w:r>
      <w:r>
        <w:t xml:space="preserve"> existing FR2 design as much as possible </w:t>
      </w:r>
      <w:r w:rsidR="00E00E89">
        <w:t xml:space="preserve">for operation </w:t>
      </w:r>
      <w:r>
        <w:t xml:space="preserve">in the spectrum of 52.6GHz to 71 GHz </w:t>
      </w:r>
      <w:r w:rsidR="0071713B">
        <w:t xml:space="preserve">in order </w:t>
      </w:r>
      <w:r>
        <w:t xml:space="preserve">to reduce spec impact and implementation burden. </w:t>
      </w:r>
      <w:r w:rsidR="00E00E89">
        <w:t xml:space="preserve">In our understanding, </w:t>
      </w:r>
      <w:r w:rsidR="00115BEE">
        <w:t xml:space="preserve">no issue </w:t>
      </w:r>
      <w:r w:rsidR="00877A8E">
        <w:t>has</w:t>
      </w:r>
      <w:r w:rsidR="00115BEE">
        <w:t xml:space="preserve"> been</w:t>
      </w:r>
      <w:r w:rsidR="00E00E89">
        <w:t xml:space="preserve"> identified for PDCCH monitoring under SCS=120 kHz </w:t>
      </w:r>
      <w:r w:rsidR="00115BEE">
        <w:t xml:space="preserve">in SI phase </w:t>
      </w:r>
      <w:r w:rsidR="00E00E89">
        <w:t>and, t</w:t>
      </w:r>
      <w:r>
        <w:t>herefor</w:t>
      </w:r>
      <w:r w:rsidR="00E00E89">
        <w:t xml:space="preserve">e, it is desirable to reuse existing </w:t>
      </w:r>
      <w:r w:rsidR="00831D4E">
        <w:t xml:space="preserve">PDCCH monitoring </w:t>
      </w:r>
      <w:r w:rsidR="00E00E89">
        <w:t>design</w:t>
      </w:r>
      <w:r w:rsidR="00831D4E">
        <w:t xml:space="preserve"> and UE </w:t>
      </w:r>
      <w:r w:rsidR="00E00E89">
        <w:t>capability for configuration of 120 kHz SCS in the targeted spectrum.</w:t>
      </w:r>
    </w:p>
    <w:p w14:paraId="30148227" w14:textId="77777777" w:rsidR="00E00E89" w:rsidRDefault="00E00E89" w:rsidP="00E239E3"/>
    <w:p w14:paraId="426D5A43" w14:textId="629688B4" w:rsidR="00C32F15" w:rsidRDefault="00D7685B" w:rsidP="00831D4E">
      <w:pPr>
        <w:pStyle w:val="Caption"/>
      </w:pPr>
      <w:bookmarkStart w:id="1" w:name="_Ref61377008"/>
      <w:r>
        <w:t xml:space="preserve">Proposal </w:t>
      </w:r>
      <w:r w:rsidR="00AC3E18">
        <w:fldChar w:fldCharType="begin"/>
      </w:r>
      <w:r w:rsidR="00AC3E18">
        <w:instrText xml:space="preserve"> SEQ Proposal \* ARABIC </w:instrText>
      </w:r>
      <w:r w:rsidR="00AC3E18">
        <w:fldChar w:fldCharType="separate"/>
      </w:r>
      <w:r w:rsidR="0019491B">
        <w:rPr>
          <w:noProof/>
        </w:rPr>
        <w:t>1</w:t>
      </w:r>
      <w:r w:rsidR="00AC3E18">
        <w:rPr>
          <w:noProof/>
        </w:rPr>
        <w:fldChar w:fldCharType="end"/>
      </w:r>
      <w:r>
        <w:t>:</w:t>
      </w:r>
      <w:r w:rsidR="003A272B">
        <w:t xml:space="preserve"> </w:t>
      </w:r>
      <w:r w:rsidR="00E00E89">
        <w:t>For 120 kHz SCS, no PDCCH monitoring enhancement is needed</w:t>
      </w:r>
      <w:r w:rsidR="00831D4E">
        <w:t>.</w:t>
      </w:r>
      <w:r w:rsidR="00E00E89">
        <w:t xml:space="preserve"> </w:t>
      </w:r>
      <w:r w:rsidR="00831D4E">
        <w:t>T</w:t>
      </w:r>
      <w:r w:rsidR="00E00E89">
        <w:t xml:space="preserve">he existing FR2 designs and capabilities </w:t>
      </w:r>
      <w:r w:rsidR="00115BEE">
        <w:t xml:space="preserve">for PDCCH monitoring </w:t>
      </w:r>
      <w:r w:rsidR="006573AC">
        <w:t>of</w:t>
      </w:r>
      <w:r w:rsidR="00831D4E">
        <w:t xml:space="preserve"> 120 kHz SCS </w:t>
      </w:r>
      <w:r w:rsidR="00E00E89">
        <w:t>are reused.</w:t>
      </w:r>
      <w:bookmarkEnd w:id="1"/>
    </w:p>
    <w:p w14:paraId="0CCED445" w14:textId="77777777" w:rsidR="00C32F15" w:rsidRDefault="00C32F15" w:rsidP="00E239E3"/>
    <w:p w14:paraId="7AF03C9E" w14:textId="7BAEF6B8" w:rsidR="00683927" w:rsidRDefault="00115BEE" w:rsidP="00E239E3">
      <w:r>
        <w:t>F</w:t>
      </w:r>
      <w:r w:rsidR="00303028">
        <w:t xml:space="preserve">or large SCSs (480 kHz and 960kHz), </w:t>
      </w:r>
      <w:r>
        <w:t xml:space="preserve">in SI phase, </w:t>
      </w:r>
      <w:r w:rsidR="00F564BC">
        <w:t>many companies [</w:t>
      </w:r>
      <w:r w:rsidR="00241ABA">
        <w:t>3</w:t>
      </w:r>
      <w:r w:rsidR="00F564BC">
        <w:t>][</w:t>
      </w:r>
      <w:r w:rsidR="00241ABA">
        <w:t>4</w:t>
      </w:r>
      <w:r w:rsidR="00F564BC">
        <w:t>][</w:t>
      </w:r>
      <w:r w:rsidR="00241ABA">
        <w:t>5</w:t>
      </w:r>
      <w:r w:rsidR="00F564BC">
        <w:t>]</w:t>
      </w:r>
      <w:r w:rsidR="003B03A1">
        <w:t>[</w:t>
      </w:r>
      <w:r w:rsidR="00241ABA">
        <w:t>6</w:t>
      </w:r>
      <w:r w:rsidR="003B03A1">
        <w:t>]</w:t>
      </w:r>
      <w:r w:rsidR="00F564BC">
        <w:t xml:space="preserve"> proposed new time unit</w:t>
      </w:r>
      <w:r w:rsidR="0071713B">
        <w:t>s</w:t>
      </w:r>
      <w:r w:rsidR="00F564BC">
        <w:t xml:space="preserve"> other than </w:t>
      </w:r>
      <w:r w:rsidR="00605CFD">
        <w:t xml:space="preserve">per </w:t>
      </w:r>
      <w:r w:rsidR="00F564BC">
        <w:t xml:space="preserve">slot or </w:t>
      </w:r>
      <w:r w:rsidR="00605CFD">
        <w:t xml:space="preserve">per </w:t>
      </w:r>
      <w:r w:rsidR="00F564BC">
        <w:t>span</w:t>
      </w:r>
      <w:r w:rsidR="00087331">
        <w:t xml:space="preserve"> for </w:t>
      </w:r>
      <w:r w:rsidR="001531AA">
        <w:t>BD/CCE limit</w:t>
      </w:r>
      <w:r w:rsidR="00F564BC">
        <w:t xml:space="preserve">, e.g., </w:t>
      </w:r>
      <w:r w:rsidR="001531AA">
        <w:t xml:space="preserve">BD/CCE limits </w:t>
      </w:r>
      <w:r w:rsidR="00605CFD">
        <w:t xml:space="preserve">per </w:t>
      </w:r>
      <w:r w:rsidR="00F564BC">
        <w:t>multi-slot, to a</w:t>
      </w:r>
      <w:r w:rsidR="00087331">
        <w:t xml:space="preserve">ddress the scaled down </w:t>
      </w:r>
      <w:r w:rsidR="001531AA">
        <w:t xml:space="preserve">per slot </w:t>
      </w:r>
      <w:r w:rsidR="00087331">
        <w:t xml:space="preserve">BD/CCE limit from </w:t>
      </w:r>
      <w:r w:rsidR="00303028">
        <w:t xml:space="preserve">shorter slot duration </w:t>
      </w:r>
      <w:r w:rsidR="00683927">
        <w:t>of large SCS</w:t>
      </w:r>
      <w:r w:rsidR="00087331">
        <w:t xml:space="preserve"> </w:t>
      </w:r>
      <w:r w:rsidR="001531AA">
        <w:t xml:space="preserve">configuration </w:t>
      </w:r>
      <w:r w:rsidR="00087331">
        <w:t xml:space="preserve">and </w:t>
      </w:r>
      <w:r w:rsidR="0071713B">
        <w:t xml:space="preserve">to </w:t>
      </w:r>
      <w:r w:rsidR="00087331">
        <w:t xml:space="preserve">achieve practical </w:t>
      </w:r>
      <w:r w:rsidR="00F564BC">
        <w:t xml:space="preserve">scheduling flexibility </w:t>
      </w:r>
      <w:r w:rsidR="00084E70">
        <w:t xml:space="preserve">with the </w:t>
      </w:r>
      <w:r w:rsidR="00583EB3">
        <w:t>consideration of</w:t>
      </w:r>
      <w:r w:rsidR="00F564BC">
        <w:t xml:space="preserve"> Rel-15/16 UE capability.</w:t>
      </w:r>
      <w:r w:rsidR="00087331">
        <w:t xml:space="preserve"> </w:t>
      </w:r>
      <w:r w:rsidR="00605CFD">
        <w:t xml:space="preserve">However, </w:t>
      </w:r>
      <w:r w:rsidR="001531AA">
        <w:t xml:space="preserve">BD/CCE limit per </w:t>
      </w:r>
      <w:r w:rsidR="00605CFD">
        <w:t xml:space="preserve">new monitoring time unit doesn’t </w:t>
      </w:r>
      <w:r w:rsidR="00B9589B" w:rsidRPr="00B9589B">
        <w:t xml:space="preserve">completely </w:t>
      </w:r>
      <w:r w:rsidR="00605CFD">
        <w:t xml:space="preserve">address </w:t>
      </w:r>
      <w:r w:rsidR="00683927">
        <w:t xml:space="preserve">the two </w:t>
      </w:r>
      <w:r w:rsidR="00605CFD">
        <w:t xml:space="preserve">UE monitoring complexity </w:t>
      </w:r>
      <w:r w:rsidR="00683927">
        <w:t xml:space="preserve">issues </w:t>
      </w:r>
      <w:r w:rsidR="00B9589B">
        <w:t xml:space="preserve">stated previously </w:t>
      </w:r>
      <w:r w:rsidR="001531AA">
        <w:t xml:space="preserve">without specifying </w:t>
      </w:r>
      <w:r w:rsidR="00A16FE9">
        <w:t xml:space="preserve">the </w:t>
      </w:r>
      <w:r w:rsidR="00B9589B">
        <w:t xml:space="preserve">associated </w:t>
      </w:r>
      <w:r w:rsidR="00A16FE9">
        <w:t xml:space="preserve">monitoring </w:t>
      </w:r>
      <w:r w:rsidR="00B9589B">
        <w:t>behavior</w:t>
      </w:r>
      <w:r w:rsidR="00A16FE9">
        <w:t xml:space="preserve"> applied for such BD/CCE limit.</w:t>
      </w:r>
      <w:r w:rsidR="00683927">
        <w:t xml:space="preserve"> For example, </w:t>
      </w:r>
      <w:r w:rsidR="00877A8E">
        <w:t xml:space="preserve">without any further configuration restriction, </w:t>
      </w:r>
      <w:r w:rsidR="00683927">
        <w:t xml:space="preserve">UE can still be configured to monitoring PDCCH in every slots under the capability of BD/CCE limit per multi-slot, which defies the purpose of such enhancement. </w:t>
      </w:r>
      <w:r w:rsidR="0071713B">
        <w:t>Moreover, without specifying the PDCCH monitoring configuration</w:t>
      </w:r>
      <w:r w:rsidR="00CA097A" w:rsidRPr="00CA097A">
        <w:t xml:space="preserve"> </w:t>
      </w:r>
      <w:r w:rsidR="00CA097A">
        <w:t>applicable for BD/CCE limit of new monitoring time unit</w:t>
      </w:r>
      <w:r w:rsidR="0071713B">
        <w:t>, the</w:t>
      </w:r>
      <w:r w:rsidR="00656559">
        <w:t xml:space="preserve"> BD/CCE limit needs to serve for all the possible configuration</w:t>
      </w:r>
      <w:r w:rsidR="001846D0">
        <w:t xml:space="preserve"> within the new monitoring time unit</w:t>
      </w:r>
      <w:r w:rsidR="00656559">
        <w:t>, which will complicate the discussion.</w:t>
      </w:r>
      <w:r w:rsidR="0071713B">
        <w:t xml:space="preserve"> </w:t>
      </w:r>
      <w:r w:rsidR="00683927">
        <w:t xml:space="preserve">Therefore, </w:t>
      </w:r>
      <w:r w:rsidR="00692FCE">
        <w:t xml:space="preserve">it is necessary </w:t>
      </w:r>
      <w:r w:rsidR="00683927">
        <w:t xml:space="preserve">to first specify the PDCCH monitoring </w:t>
      </w:r>
      <w:r w:rsidR="00C32F15">
        <w:t>configuration</w:t>
      </w:r>
      <w:r w:rsidR="0071713B">
        <w:t>s</w:t>
      </w:r>
      <w:r w:rsidR="00E8623F">
        <w:t xml:space="preserve"> applied</w:t>
      </w:r>
      <w:r w:rsidR="00692FCE">
        <w:t xml:space="preserve"> </w:t>
      </w:r>
      <w:r w:rsidR="00C32F15">
        <w:t>for</w:t>
      </w:r>
      <w:r w:rsidR="00692FCE">
        <w:t xml:space="preserve"> </w:t>
      </w:r>
      <w:r w:rsidR="00E8623F">
        <w:t xml:space="preserve">the </w:t>
      </w:r>
      <w:r w:rsidR="00692FCE">
        <w:t xml:space="preserve">new </w:t>
      </w:r>
      <w:r w:rsidR="00656559">
        <w:t xml:space="preserve">monitoring </w:t>
      </w:r>
      <w:r w:rsidR="00692FCE">
        <w:t>time unit. With this regard, we propose to limit</w:t>
      </w:r>
      <w:r w:rsidR="00656559">
        <w:t xml:space="preserve"> or at least prioritize the</w:t>
      </w:r>
      <w:r w:rsidR="00692FCE">
        <w:t xml:space="preserve"> </w:t>
      </w:r>
      <w:r w:rsidR="002A3DB9">
        <w:t xml:space="preserve">discussion of </w:t>
      </w:r>
      <w:r w:rsidR="00877A8E">
        <w:t>multi-slot monitoring</w:t>
      </w:r>
      <w:r w:rsidR="002A3DB9">
        <w:t xml:space="preserve"> to </w:t>
      </w:r>
      <w:r w:rsidR="002C3C7E">
        <w:t xml:space="preserve">the configuration of </w:t>
      </w:r>
      <w:r w:rsidR="0071713B">
        <w:t xml:space="preserve">monitoring </w:t>
      </w:r>
      <w:r w:rsidR="002A3DB9">
        <w:t xml:space="preserve">PDDCH in </w:t>
      </w:r>
      <w:r w:rsidR="0071713B">
        <w:t>the first</w:t>
      </w:r>
      <w:r w:rsidR="0071713B" w:rsidRPr="0071713B">
        <w:t xml:space="preserve"> </w:t>
      </w:r>
      <m:oMath>
        <m:r>
          <w:rPr>
            <w:rFonts w:ascii="Cambria Math" w:hAnsi="Cambria Math"/>
          </w:rPr>
          <m:t>n</m:t>
        </m:r>
      </m:oMath>
      <w:r w:rsidR="0071713B" w:rsidRPr="0071713B">
        <w:t xml:space="preserve"> slots </w:t>
      </w:r>
      <w:r w:rsidR="002A3DB9">
        <w:t>of</w:t>
      </w:r>
      <w:r w:rsidR="0071713B" w:rsidRPr="0071713B">
        <w:t xml:space="preserve"> every </w:t>
      </w:r>
      <m:oMath>
        <m:r>
          <w:rPr>
            <w:rFonts w:ascii="Cambria Math" w:hAnsi="Cambria Math"/>
          </w:rPr>
          <m:t>m</m:t>
        </m:r>
      </m:oMath>
      <w:r w:rsidR="0071713B" w:rsidRPr="0071713B">
        <w:t xml:space="preserve"> slots</w:t>
      </w:r>
      <w:r w:rsidR="0071713B">
        <w:t xml:space="preserve"> </w:t>
      </w:r>
      <w:r w:rsidR="002A3DB9">
        <w:t xml:space="preserve">and design </w:t>
      </w:r>
      <w:r w:rsidR="0071713B">
        <w:t xml:space="preserve">the </w:t>
      </w:r>
      <w:r w:rsidR="002A3DB9">
        <w:t xml:space="preserve">associated </w:t>
      </w:r>
      <w:r w:rsidR="0071713B">
        <w:t xml:space="preserve">new BD/CCE limit </w:t>
      </w:r>
      <w:r w:rsidR="002A3DB9">
        <w:t>accordingly</w:t>
      </w:r>
      <w:r w:rsidR="0071713B" w:rsidRPr="0071713B">
        <w:t>.</w:t>
      </w:r>
      <w:r w:rsidR="00692FCE">
        <w:t xml:space="preserve"> </w:t>
      </w:r>
      <w:r w:rsidR="00683927">
        <w:t xml:space="preserve"> </w:t>
      </w:r>
      <w:r w:rsidR="00656559">
        <w:t>An example of (</w:t>
      </w:r>
      <m:oMath>
        <m:r>
          <w:rPr>
            <w:rFonts w:ascii="Cambria Math" w:hAnsi="Cambria Math"/>
          </w:rPr>
          <m:t>m=4,n=1</m:t>
        </m:r>
      </m:oMath>
      <w:r w:rsidR="00656559">
        <w:t xml:space="preserve">) is shown in </w:t>
      </w:r>
      <w:r w:rsidR="003B03A1">
        <w:fldChar w:fldCharType="begin"/>
      </w:r>
      <w:r w:rsidR="003B03A1">
        <w:instrText xml:space="preserve"> REF _Ref61525739 \h </w:instrText>
      </w:r>
      <w:r w:rsidR="003B03A1">
        <w:fldChar w:fldCharType="separate"/>
      </w:r>
      <w:r w:rsidR="0019491B">
        <w:t xml:space="preserve">Figure </w:t>
      </w:r>
      <w:r w:rsidR="0019491B">
        <w:rPr>
          <w:noProof/>
        </w:rPr>
        <w:t>1</w:t>
      </w:r>
      <w:r w:rsidR="003B03A1">
        <w:fldChar w:fldCharType="end"/>
      </w:r>
      <w:r w:rsidR="003B03A1">
        <w:t>.</w:t>
      </w:r>
    </w:p>
    <w:p w14:paraId="3630B521" w14:textId="6AEC4E8B" w:rsidR="00656559" w:rsidRDefault="00656559" w:rsidP="00656559">
      <w:pPr>
        <w:pStyle w:val="ListParagraph"/>
        <w:spacing w:beforeLines="50" w:before="120" w:afterLines="50" w:after="120"/>
        <w:ind w:left="0"/>
        <w:contextualSpacing w:val="0"/>
        <w:jc w:val="center"/>
        <w:outlineLvl w:val="0"/>
      </w:pPr>
      <w:r>
        <w:rPr>
          <w:noProof/>
          <w:lang w:eastAsia="zh-TW"/>
        </w:rPr>
        <w:lastRenderedPageBreak/>
        <w:drawing>
          <wp:inline distT="0" distB="0" distL="0" distR="0" wp14:anchorId="6D8626C3" wp14:editId="60540CBE">
            <wp:extent cx="3898920" cy="1283833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521" cy="1293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17FCB" w14:textId="3A47BDBF" w:rsidR="00656559" w:rsidRDefault="00656559" w:rsidP="00656559">
      <w:pPr>
        <w:pStyle w:val="Caption"/>
        <w:jc w:val="center"/>
      </w:pPr>
      <w:bookmarkStart w:id="2" w:name="_Ref6152573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9491B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</w:t>
      </w:r>
      <w:r w:rsidR="00CA097A">
        <w:t>Proposed multi-slot monitoring framework example of (</w:t>
      </w:r>
      <m:oMath>
        <m:r>
          <m:rPr>
            <m:sty m:val="bi"/>
          </m:rPr>
          <w:rPr>
            <w:rFonts w:ascii="Cambria Math" w:hAnsi="Cambria Math"/>
          </w:rPr>
          <m:t>m=4,n=1</m:t>
        </m:r>
      </m:oMath>
      <w:r w:rsidR="00CA097A">
        <w:t>)</w:t>
      </w:r>
    </w:p>
    <w:p w14:paraId="3A039325" w14:textId="77777777" w:rsidR="00656559" w:rsidRDefault="00656559" w:rsidP="00E239E3"/>
    <w:p w14:paraId="1AD5E8BC" w14:textId="6D527C25" w:rsidR="001531AA" w:rsidRDefault="00683927" w:rsidP="00E239E3">
      <w:r>
        <w:t xml:space="preserve"> </w:t>
      </w:r>
      <w:r w:rsidR="00A16FE9">
        <w:t xml:space="preserve"> </w:t>
      </w:r>
    </w:p>
    <w:p w14:paraId="2D10278A" w14:textId="77777777" w:rsidR="002A3DB9" w:rsidRDefault="002A3DB9" w:rsidP="00E239E3"/>
    <w:p w14:paraId="3C4A3499" w14:textId="7A079137" w:rsidR="00F564BC" w:rsidRDefault="002A3DB9" w:rsidP="00E239E3">
      <w:r>
        <w:t>Under this framework</w:t>
      </w:r>
      <w:r w:rsidR="003733CE">
        <w:t>, UE should signal gNB the supported combination of (</w:t>
      </w:r>
      <m:oMath>
        <m:r>
          <w:rPr>
            <w:rFonts w:ascii="Cambria Math" w:hAnsi="Cambria Math"/>
          </w:rPr>
          <m:t>m,n</m:t>
        </m:r>
      </m:oMath>
      <w:r w:rsidR="003733CE">
        <w:t>) as capabilities and the BD/CCE limits for each (</w:t>
      </w:r>
      <m:oMath>
        <m:r>
          <w:rPr>
            <w:rFonts w:ascii="Cambria Math" w:hAnsi="Cambria Math"/>
          </w:rPr>
          <m:t>m,n</m:t>
        </m:r>
      </m:oMath>
      <w:r w:rsidR="003733CE">
        <w:t xml:space="preserve">) combination should be determined. </w:t>
      </w:r>
    </w:p>
    <w:p w14:paraId="05D0B098" w14:textId="77777777" w:rsidR="00F564BC" w:rsidRDefault="00F564BC" w:rsidP="00E239E3"/>
    <w:p w14:paraId="2E660448" w14:textId="56AB4F1D" w:rsidR="00656559" w:rsidRDefault="003B03A1" w:rsidP="003B03A1">
      <w:pPr>
        <w:pStyle w:val="Caption"/>
      </w:pPr>
      <w:bookmarkStart w:id="3" w:name="_Ref61526051"/>
      <w:r>
        <w:t xml:space="preserve">Proposal </w:t>
      </w:r>
      <w:r w:rsidR="00AC3E18">
        <w:fldChar w:fldCharType="begin"/>
      </w:r>
      <w:r w:rsidR="00AC3E18">
        <w:instrText xml:space="preserve"> SEQ Proposal \* ARABIC </w:instrText>
      </w:r>
      <w:r w:rsidR="00AC3E18">
        <w:fldChar w:fldCharType="separate"/>
      </w:r>
      <w:r w:rsidR="0019491B">
        <w:rPr>
          <w:noProof/>
        </w:rPr>
        <w:t>2</w:t>
      </w:r>
      <w:r w:rsidR="00AC3E18">
        <w:rPr>
          <w:noProof/>
        </w:rPr>
        <w:fldChar w:fldCharType="end"/>
      </w:r>
      <w:r w:rsidR="00656559">
        <w:t>: For 480 and 960 kHz SCS</w:t>
      </w:r>
      <w:r w:rsidR="00ED4F29">
        <w:t>s</w:t>
      </w:r>
      <w:r w:rsidR="00656559">
        <w:t xml:space="preserve">, </w:t>
      </w:r>
      <w:r w:rsidR="00ED4F29">
        <w:t xml:space="preserve">multi-slot </w:t>
      </w:r>
      <w:r w:rsidR="003D39BE">
        <w:t xml:space="preserve">PDDCH monitoring enhancement should </w:t>
      </w:r>
      <w:r w:rsidR="00ED4F29">
        <w:t xml:space="preserve">limit the discussion to the </w:t>
      </w:r>
      <w:r w:rsidR="003D39BE">
        <w:t xml:space="preserve">configuration of </w:t>
      </w:r>
      <w:r w:rsidR="00656559">
        <w:t xml:space="preserve">monitoring </w:t>
      </w:r>
      <w:r w:rsidR="00656559" w:rsidRPr="0071713B">
        <w:t xml:space="preserve">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656559" w:rsidRPr="0071713B">
        <w:t xml:space="preserve"> slots in every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 w:rsidR="00656559" w:rsidRPr="0071713B">
        <w:t xml:space="preserve"> slots</w:t>
      </w:r>
      <w:r w:rsidR="001846D0">
        <w:t>.</w:t>
      </w:r>
      <w:r w:rsidR="00656559">
        <w:t xml:space="preserve"> </w:t>
      </w:r>
      <w:r w:rsidR="001846D0">
        <w:t>T</w:t>
      </w:r>
      <w:r w:rsidR="003D39BE">
        <w:t xml:space="preserve">he associated </w:t>
      </w:r>
      <w:r w:rsidR="001846D0">
        <w:t xml:space="preserve">UE capabilities and </w:t>
      </w:r>
      <w:r w:rsidR="003D39BE">
        <w:t>BD/CCE limit</w:t>
      </w:r>
      <w:r w:rsidR="005A4C13">
        <w:t>s</w:t>
      </w:r>
      <w:r w:rsidR="003D39BE">
        <w:t xml:space="preserve"> </w:t>
      </w:r>
      <w:r w:rsidR="001846D0">
        <w:t xml:space="preserve">should be defined </w:t>
      </w:r>
      <w:r w:rsidR="003D39BE">
        <w:t>accordingly</w:t>
      </w:r>
      <w:r w:rsidR="00656559">
        <w:t>.</w:t>
      </w:r>
      <w:bookmarkEnd w:id="3"/>
      <w:r w:rsidR="00C22A63">
        <w:t xml:space="preserve"> </w:t>
      </w:r>
    </w:p>
    <w:p w14:paraId="6C7DE800" w14:textId="77777777" w:rsidR="000C4244" w:rsidRDefault="000C4244" w:rsidP="000C4244"/>
    <w:p w14:paraId="353A2DC1" w14:textId="68487693" w:rsidR="000C4244" w:rsidRDefault="000C4244" w:rsidP="000C4244">
      <w:r>
        <w:t xml:space="preserve">It is worth mentioning the connection between FG 3-5b and the proposed monitoring framework. In Rel-16, a span notion is introduced and defined as a </w:t>
      </w:r>
      <w:r w:rsidR="002526F7">
        <w:t xml:space="preserve">number of consecutive monitoring occasions within a slot where </w:t>
      </w:r>
      <w:r w:rsidR="00D73993">
        <w:t>a</w:t>
      </w:r>
      <w:r w:rsidR="002526F7">
        <w:t xml:space="preserve"> UE is configured to monitor PDCCH. FG 3-5b describes the possible combination of (</w:t>
      </w:r>
      <m:oMath>
        <m:r>
          <w:rPr>
            <w:rFonts w:ascii="Cambria Math" w:hAnsi="Cambria Math"/>
          </w:rPr>
          <m:t>X,Y</m:t>
        </m:r>
      </m:oMath>
      <w:r w:rsidR="002526F7">
        <w:t xml:space="preserve">) UE can signal as capabilities, where </w:t>
      </w:r>
      <m:oMath>
        <m:r>
          <w:rPr>
            <w:rFonts w:ascii="Cambria Math" w:hAnsi="Cambria Math"/>
          </w:rPr>
          <m:t>X</m:t>
        </m:r>
      </m:oMath>
      <w:r w:rsidR="002526F7">
        <w:t xml:space="preserve"> specifies the </w:t>
      </w:r>
      <w:r w:rsidR="002C3C7E">
        <w:t xml:space="preserve">minimum </w:t>
      </w:r>
      <w:r w:rsidR="00D10BE1">
        <w:t xml:space="preserve">symbol </w:t>
      </w:r>
      <w:r w:rsidR="002526F7">
        <w:t xml:space="preserve">gap between the start </w:t>
      </w:r>
      <w:r w:rsidR="00ED4F29">
        <w:t xml:space="preserve">symbols </w:t>
      </w:r>
      <w:r w:rsidR="002526F7">
        <w:t xml:space="preserve">of every pair of spans and </w:t>
      </w:r>
      <m:oMath>
        <m:r>
          <w:rPr>
            <w:rFonts w:ascii="Cambria Math" w:hAnsi="Cambria Math"/>
          </w:rPr>
          <m:t>Y</m:t>
        </m:r>
      </m:oMath>
      <w:r w:rsidR="002526F7">
        <w:t xml:space="preserve"> specifies the maximum </w:t>
      </w:r>
      <w:r w:rsidR="00ED4F29">
        <w:t>number of symbols</w:t>
      </w:r>
      <w:r w:rsidR="002526F7">
        <w:t xml:space="preserve"> </w:t>
      </w:r>
      <w:r w:rsidR="00ED4F29">
        <w:t>within</w:t>
      </w:r>
      <w:r w:rsidR="002526F7">
        <w:t xml:space="preserve"> each span.</w:t>
      </w:r>
      <w:r w:rsidR="00D73993">
        <w:t xml:space="preserve"> It can be clearly seen that the proposed framework and (</w:t>
      </w:r>
      <m:oMath>
        <m:r>
          <w:rPr>
            <w:rFonts w:ascii="Cambria Math" w:hAnsi="Cambria Math"/>
          </w:rPr>
          <m:t>m,n</m:t>
        </m:r>
      </m:oMath>
      <w:r w:rsidR="00D73993">
        <w:t xml:space="preserve">) </w:t>
      </w:r>
      <w:r w:rsidR="004B168A">
        <w:t xml:space="preserve">definition </w:t>
      </w:r>
      <w:r w:rsidR="00D73993">
        <w:t xml:space="preserve">follows the same </w:t>
      </w:r>
      <w:r w:rsidR="00ED4F29">
        <w:t>spirit</w:t>
      </w:r>
      <w:r w:rsidR="00D73993">
        <w:t xml:space="preserve"> of span and (</w:t>
      </w:r>
      <m:oMath>
        <m:r>
          <w:rPr>
            <w:rFonts w:ascii="Cambria Math" w:hAnsi="Cambria Math"/>
          </w:rPr>
          <m:t>X,Y</m:t>
        </m:r>
      </m:oMath>
      <w:r w:rsidR="00D73993">
        <w:t xml:space="preserve">) </w:t>
      </w:r>
      <w:r w:rsidR="00D10BE1">
        <w:t>by</w:t>
      </w:r>
      <w:r w:rsidR="00D73993">
        <w:t xml:space="preserve"> </w:t>
      </w:r>
      <w:r w:rsidR="00D10BE1">
        <w:t xml:space="preserve">modifying the span definition </w:t>
      </w:r>
      <w:r w:rsidR="002C3C7E">
        <w:t xml:space="preserve">of consecutive symbols </w:t>
      </w:r>
      <w:r w:rsidR="00D10BE1">
        <w:t>to consecutive slot</w:t>
      </w:r>
      <w:r w:rsidR="001846D0">
        <w:t>s</w:t>
      </w:r>
      <w:r w:rsidR="00D10BE1">
        <w:t xml:space="preserve"> for PDCCH monitoring and </w:t>
      </w:r>
      <w:r w:rsidR="001846D0">
        <w:t xml:space="preserve">modifying </w:t>
      </w:r>
      <w:r w:rsidR="00D10BE1">
        <w:t xml:space="preserve">the symbol gap </w:t>
      </w:r>
      <m:oMath>
        <m:r>
          <w:rPr>
            <w:rFonts w:ascii="Cambria Math" w:hAnsi="Cambria Math"/>
          </w:rPr>
          <m:t>X</m:t>
        </m:r>
      </m:oMath>
      <w:r w:rsidR="00D10BE1">
        <w:t xml:space="preserve"> to slot gap </w:t>
      </w:r>
      <m:oMath>
        <m:r>
          <w:rPr>
            <w:rFonts w:ascii="Cambria Math" w:hAnsi="Cambria Math"/>
          </w:rPr>
          <m:t>m</m:t>
        </m:r>
      </m:oMath>
      <w:r w:rsidR="00D10BE1">
        <w:t>.</w:t>
      </w:r>
      <w:r w:rsidR="00C22A63">
        <w:t xml:space="preserve"> Therefore, similar to FG 3-5b, </w:t>
      </w:r>
      <w:r w:rsidR="00ED4F29">
        <w:t>supported (</w:t>
      </w:r>
      <m:oMath>
        <m:r>
          <w:rPr>
            <w:rFonts w:ascii="Cambria Math" w:hAnsi="Cambria Math"/>
          </w:rPr>
          <m:t>m,n</m:t>
        </m:r>
      </m:oMath>
      <w:r w:rsidR="00ED4F29">
        <w:t xml:space="preserve">) should be </w:t>
      </w:r>
      <w:r w:rsidR="003B03A1">
        <w:t>specified</w:t>
      </w:r>
      <w:r w:rsidR="00ED4F29">
        <w:t xml:space="preserve"> as </w:t>
      </w:r>
      <w:r w:rsidR="00C22A63">
        <w:t xml:space="preserve">UE PDCCH monitoring capabilities.  </w:t>
      </w:r>
    </w:p>
    <w:p w14:paraId="662058BE" w14:textId="77777777" w:rsidR="00401EDB" w:rsidRDefault="00401EDB" w:rsidP="000C4244"/>
    <w:p w14:paraId="01F95129" w14:textId="788269BF" w:rsidR="00401EDB" w:rsidRDefault="00401EDB" w:rsidP="000C4244">
      <w:r>
        <w:t>To design the BD/CCE limit for the combination of (</w:t>
      </w:r>
      <m:oMath>
        <m:r>
          <w:rPr>
            <w:rFonts w:ascii="Cambria Math" w:hAnsi="Cambria Math"/>
          </w:rPr>
          <m:t>m,n</m:t>
        </m:r>
      </m:oMath>
      <w:r>
        <w:t>), the legacy per slot monitoring should be discussed</w:t>
      </w:r>
      <w:r w:rsidR="002C3C7E">
        <w:t xml:space="preserve"> first</w:t>
      </w:r>
      <w:r>
        <w:t>, i.e., (</w:t>
      </w:r>
      <m:oMath>
        <m:r>
          <w:rPr>
            <w:rFonts w:ascii="Cambria Math" w:hAnsi="Cambria Math"/>
          </w:rPr>
          <m:t>m=1,n=1</m:t>
        </m:r>
      </m:oMath>
      <w:r>
        <w:t>). Although per slot monitoring may not be a desirable monitoring mode, it is still useful in some scenario</w:t>
      </w:r>
      <w:r w:rsidR="001846D0">
        <w:t>s</w:t>
      </w:r>
      <w:r>
        <w:t xml:space="preserve">, e.g., fall-back mode. Moreover, </w:t>
      </w:r>
      <w:r w:rsidR="00EE72F2">
        <w:t>per slot BD/CCE monitoring limit can provide a reference to benefit the discussion of the BD/CCE limit of new time unit.</w:t>
      </w:r>
      <w:r w:rsidR="002C3C7E">
        <w:t xml:space="preserve"> </w:t>
      </w:r>
    </w:p>
    <w:p w14:paraId="7F93894E" w14:textId="77777777" w:rsidR="00C22A63" w:rsidRDefault="00C22A63" w:rsidP="00C22A63">
      <w:pPr>
        <w:pStyle w:val="Caption"/>
        <w:ind w:firstLine="240"/>
      </w:pPr>
    </w:p>
    <w:p w14:paraId="3B63D29C" w14:textId="76CE67F7" w:rsidR="00C22A63" w:rsidRDefault="00094A5D" w:rsidP="00094A5D">
      <w:pPr>
        <w:pStyle w:val="Caption"/>
      </w:pPr>
      <w:bookmarkStart w:id="4" w:name="_Ref61526076"/>
      <w:r>
        <w:t xml:space="preserve">Proposal </w:t>
      </w:r>
      <w:r w:rsidR="00AC3E18">
        <w:fldChar w:fldCharType="begin"/>
      </w:r>
      <w:r w:rsidR="00AC3E18">
        <w:instrText xml:space="preserve"> SEQ Proposal \* ARABIC </w:instrText>
      </w:r>
      <w:r w:rsidR="00AC3E18">
        <w:fldChar w:fldCharType="separate"/>
      </w:r>
      <w:r w:rsidR="0019491B">
        <w:rPr>
          <w:noProof/>
        </w:rPr>
        <w:t>3</w:t>
      </w:r>
      <w:r w:rsidR="00AC3E18">
        <w:rPr>
          <w:noProof/>
        </w:rPr>
        <w:fldChar w:fldCharType="end"/>
      </w:r>
      <w:r w:rsidR="00C22A63">
        <w:t xml:space="preserve">: For 480 and 960 kHz SCS, </w:t>
      </w:r>
      <w:r w:rsidR="00EE72F2">
        <w:t xml:space="preserve">legacy per slot monitoring </w:t>
      </w:r>
      <w:r w:rsidR="00C22A63">
        <w:t xml:space="preserve">should </w:t>
      </w:r>
      <w:r w:rsidR="00EE72F2">
        <w:t xml:space="preserve">be supported </w:t>
      </w:r>
      <w:r w:rsidR="00851664">
        <w:t xml:space="preserve">and </w:t>
      </w:r>
      <w:r w:rsidR="00C22A63">
        <w:t xml:space="preserve">the associated BD/CCE limit </w:t>
      </w:r>
      <w:r w:rsidR="00EE72F2">
        <w:t xml:space="preserve">should be defined </w:t>
      </w:r>
      <w:r w:rsidR="00C22A63">
        <w:t>accordingly.</w:t>
      </w:r>
      <w:bookmarkEnd w:id="4"/>
    </w:p>
    <w:p w14:paraId="26649D77" w14:textId="77777777" w:rsidR="00C22A63" w:rsidRDefault="00C22A63" w:rsidP="000C4244"/>
    <w:p w14:paraId="7CF9AAA7" w14:textId="1D0500E8" w:rsidR="00C22A63" w:rsidRDefault="008913BD" w:rsidP="000C4244">
      <w:r>
        <w:t xml:space="preserve">As a consequence of PDCCH monitoring enhancement, another discussed DL enhancement is PDSCH scheduling. </w:t>
      </w:r>
      <w:r w:rsidR="00147826">
        <w:t xml:space="preserve">In particular, the enhancement of multi-PDSCH scheduled by one DCI has been included in WI to improve data rate </w:t>
      </w:r>
      <w:r w:rsidR="006E0AB8">
        <w:t>under</w:t>
      </w:r>
      <w:r w:rsidR="00147826">
        <w:t xml:space="preserve"> the reduced UE PDCCH monitoring frequency</w:t>
      </w:r>
      <w:r w:rsidR="006E0AB8">
        <w:t xml:space="preserve"> with the help of cross</w:t>
      </w:r>
      <w:r w:rsidR="00FC4920">
        <w:t xml:space="preserve"> </w:t>
      </w:r>
      <w:bookmarkStart w:id="5" w:name="_GoBack"/>
      <w:bookmarkEnd w:id="5"/>
      <w:r w:rsidR="006E0AB8">
        <w:t>slot scheduling</w:t>
      </w:r>
      <w:r>
        <w:t xml:space="preserve">. </w:t>
      </w:r>
      <w:r w:rsidR="003D04AB">
        <w:t xml:space="preserve">On the other hand, when the legacy per slot monitoring is configured, same slot scheduling is preferred to </w:t>
      </w:r>
      <w:r w:rsidR="000E2279">
        <w:t>maximize the throughput.</w:t>
      </w:r>
      <w:r w:rsidR="0072205D">
        <w:t xml:space="preserve"> </w:t>
      </w:r>
      <w:r w:rsidR="00AD7E85">
        <w:t>W</w:t>
      </w:r>
      <w:r w:rsidR="0072205D">
        <w:t xml:space="preserve">ith </w:t>
      </w:r>
      <w:r w:rsidR="000E2279">
        <w:t>the short slot duration</w:t>
      </w:r>
      <w:r w:rsidR="0072205D">
        <w:t xml:space="preserve"> of 480 kHz and 960 kHz</w:t>
      </w:r>
      <w:r w:rsidR="000E2279">
        <w:t xml:space="preserve">, it is essential to </w:t>
      </w:r>
      <w:r>
        <w:t xml:space="preserve">design a feasible UE behavior of PDCCH monitoring </w:t>
      </w:r>
      <w:r w:rsidR="008F06D9">
        <w:t>within a slot</w:t>
      </w:r>
      <w:r w:rsidR="00AD7E85">
        <w:t xml:space="preserve"> to realize the same slot scheduling</w:t>
      </w:r>
      <w:r w:rsidR="008F06D9">
        <w:t xml:space="preserve">. Therefore, we propose to confine PDCCH monitoring within the first 3 symbols of a slot when per slot monitoring is configured with 480 kHz and 960 kHz SCSs.  </w:t>
      </w:r>
      <w:r>
        <w:t xml:space="preserve">  </w:t>
      </w:r>
    </w:p>
    <w:p w14:paraId="33E0DC82" w14:textId="77777777" w:rsidR="00357492" w:rsidRDefault="00357492" w:rsidP="000C4244"/>
    <w:p w14:paraId="105DB9CD" w14:textId="680FA5B9" w:rsidR="00FD044C" w:rsidRDefault="00FD044C" w:rsidP="00FD044C">
      <w:pPr>
        <w:pStyle w:val="Caption"/>
      </w:pPr>
      <w:bookmarkStart w:id="6" w:name="_Ref61861152"/>
      <w:r>
        <w:t xml:space="preserve">Proposal </w:t>
      </w:r>
      <w:r w:rsidR="00AC3E18">
        <w:fldChar w:fldCharType="begin"/>
      </w:r>
      <w:r w:rsidR="00AC3E18">
        <w:instrText xml:space="preserve"> SEQ Proposal \* ARABIC </w:instrText>
      </w:r>
      <w:r w:rsidR="00AC3E18">
        <w:fldChar w:fldCharType="separate"/>
      </w:r>
      <w:r w:rsidR="0019491B">
        <w:rPr>
          <w:noProof/>
        </w:rPr>
        <w:t>4</w:t>
      </w:r>
      <w:r w:rsidR="00AC3E18">
        <w:rPr>
          <w:noProof/>
        </w:rPr>
        <w:fldChar w:fldCharType="end"/>
      </w:r>
      <w:r>
        <w:t>: For 480 and 960 kHz SCS, PDCCH monitoring is confined to be within the first 3 symbols of a slot when per slot monitoring is configured.</w:t>
      </w:r>
      <w:bookmarkEnd w:id="6"/>
    </w:p>
    <w:p w14:paraId="78CC7119" w14:textId="77777777" w:rsidR="00AD7E85" w:rsidRPr="00AD7E85" w:rsidRDefault="00AD7E85" w:rsidP="00AD7E85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lastRenderedPageBreak/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5FB14642" w14:textId="0FBC49E9" w:rsidR="00D7685B" w:rsidRPr="00094A5D" w:rsidRDefault="00D7685B" w:rsidP="00E03053">
      <w:pPr>
        <w:spacing w:afterLines="50" w:after="120"/>
        <w:rPr>
          <w:b/>
          <w:iCs/>
        </w:rPr>
      </w:pPr>
      <w:r w:rsidRPr="00094A5D">
        <w:rPr>
          <w:b/>
          <w:iCs/>
        </w:rPr>
        <w:fldChar w:fldCharType="begin"/>
      </w:r>
      <w:r w:rsidRPr="00094A5D">
        <w:rPr>
          <w:b/>
          <w:iCs/>
        </w:rPr>
        <w:instrText xml:space="preserve"> REF _Ref61377008 \h </w:instrText>
      </w:r>
      <w:r w:rsidR="00094A5D" w:rsidRPr="00094A5D">
        <w:rPr>
          <w:b/>
          <w:iCs/>
        </w:rPr>
        <w:instrText xml:space="preserve"> \* MERGEFORMAT </w:instrText>
      </w:r>
      <w:r w:rsidRPr="00094A5D">
        <w:rPr>
          <w:b/>
          <w:iCs/>
        </w:rPr>
      </w:r>
      <w:r w:rsidRPr="00094A5D">
        <w:rPr>
          <w:b/>
          <w:iCs/>
        </w:rPr>
        <w:fldChar w:fldCharType="separate"/>
      </w:r>
      <w:r w:rsidR="0019491B" w:rsidRPr="0019491B">
        <w:rPr>
          <w:b/>
        </w:rPr>
        <w:t xml:space="preserve">Proposal </w:t>
      </w:r>
      <w:r w:rsidR="0019491B" w:rsidRPr="0019491B">
        <w:rPr>
          <w:b/>
          <w:noProof/>
        </w:rPr>
        <w:t>1</w:t>
      </w:r>
      <w:r w:rsidR="0019491B" w:rsidRPr="0019491B">
        <w:rPr>
          <w:b/>
        </w:rPr>
        <w:t>: For 120 kHz SCS, no PDCCH monitoring enhancement is needed. The existing FR2 designs and capabilities for PDCCH monitoring of 120 kHz SCS are reused.</w:t>
      </w:r>
      <w:r w:rsidRPr="00094A5D">
        <w:rPr>
          <w:b/>
          <w:iCs/>
        </w:rPr>
        <w:fldChar w:fldCharType="end"/>
      </w:r>
    </w:p>
    <w:p w14:paraId="2973A52E" w14:textId="0B274E43" w:rsidR="00B60F19" w:rsidRPr="00094A5D" w:rsidRDefault="00094A5D" w:rsidP="00E03053">
      <w:pPr>
        <w:spacing w:afterLines="50" w:after="120"/>
        <w:rPr>
          <w:b/>
          <w:iCs/>
        </w:rPr>
      </w:pPr>
      <w:r w:rsidRPr="00094A5D">
        <w:rPr>
          <w:b/>
          <w:iCs/>
        </w:rPr>
        <w:fldChar w:fldCharType="begin"/>
      </w:r>
      <w:r w:rsidRPr="00094A5D">
        <w:rPr>
          <w:b/>
          <w:iCs/>
        </w:rPr>
        <w:instrText xml:space="preserve"> REF _Ref61526051 \h  \* MERGEFORMAT </w:instrText>
      </w:r>
      <w:r w:rsidRPr="00094A5D">
        <w:rPr>
          <w:b/>
          <w:iCs/>
        </w:rPr>
      </w:r>
      <w:r w:rsidRPr="00094A5D">
        <w:rPr>
          <w:b/>
          <w:iCs/>
        </w:rPr>
        <w:fldChar w:fldCharType="separate"/>
      </w:r>
      <w:r w:rsidR="0019491B" w:rsidRPr="0019491B">
        <w:rPr>
          <w:b/>
        </w:rPr>
        <w:t xml:space="preserve">Proposal </w:t>
      </w:r>
      <w:r w:rsidR="0019491B" w:rsidRPr="0019491B">
        <w:rPr>
          <w:b/>
          <w:noProof/>
        </w:rPr>
        <w:t>2</w:t>
      </w:r>
      <w:r w:rsidR="0019491B" w:rsidRPr="0019491B">
        <w:rPr>
          <w:b/>
        </w:rPr>
        <w:t xml:space="preserve">: For 480 and 960 kHz SCSs, multi-slot PDDCH monitoring enhancement should limit the discussion to the configuration of monitoring the first 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 w:rsidR="0019491B" w:rsidRPr="0019491B">
        <w:rPr>
          <w:b/>
        </w:rPr>
        <w:t xml:space="preserve"> slots in every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 w:rsidR="0019491B" w:rsidRPr="0019491B">
        <w:rPr>
          <w:b/>
        </w:rPr>
        <w:t xml:space="preserve"> slots. The associated UE capabilities and BD/CCE limits should be defined accordingly.</w:t>
      </w:r>
      <w:r w:rsidRPr="00094A5D">
        <w:rPr>
          <w:b/>
          <w:iCs/>
        </w:rPr>
        <w:fldChar w:fldCharType="end"/>
      </w:r>
    </w:p>
    <w:p w14:paraId="42A2553F" w14:textId="601EF2D9" w:rsidR="00094A5D" w:rsidRDefault="00094A5D" w:rsidP="00E03053">
      <w:pPr>
        <w:spacing w:afterLines="50" w:after="120"/>
        <w:rPr>
          <w:b/>
          <w:iCs/>
        </w:rPr>
      </w:pPr>
      <w:r w:rsidRPr="00094A5D">
        <w:rPr>
          <w:b/>
          <w:iCs/>
        </w:rPr>
        <w:fldChar w:fldCharType="begin"/>
      </w:r>
      <w:r w:rsidRPr="00094A5D">
        <w:rPr>
          <w:b/>
          <w:iCs/>
        </w:rPr>
        <w:instrText xml:space="preserve"> REF _Ref61526076 \h  \* MERGEFORMAT </w:instrText>
      </w:r>
      <w:r w:rsidRPr="00094A5D">
        <w:rPr>
          <w:b/>
          <w:iCs/>
        </w:rPr>
      </w:r>
      <w:r w:rsidRPr="00094A5D">
        <w:rPr>
          <w:b/>
          <w:iCs/>
        </w:rPr>
        <w:fldChar w:fldCharType="separate"/>
      </w:r>
      <w:r w:rsidR="0019491B" w:rsidRPr="0019491B">
        <w:rPr>
          <w:b/>
        </w:rPr>
        <w:t xml:space="preserve">Proposal </w:t>
      </w:r>
      <w:r w:rsidR="0019491B" w:rsidRPr="0019491B">
        <w:rPr>
          <w:b/>
          <w:noProof/>
        </w:rPr>
        <w:t>3</w:t>
      </w:r>
      <w:r w:rsidR="0019491B" w:rsidRPr="0019491B">
        <w:rPr>
          <w:b/>
        </w:rPr>
        <w:t>: For 480 and 960 kHz SCS, legacy per slot monitoring should be supported and the associated BD/CCE limit should be defined accordingly.</w:t>
      </w:r>
      <w:r w:rsidRPr="00094A5D">
        <w:rPr>
          <w:b/>
          <w:iCs/>
        </w:rPr>
        <w:fldChar w:fldCharType="end"/>
      </w:r>
    </w:p>
    <w:p w14:paraId="3B558C4A" w14:textId="7F9D3E67" w:rsidR="00FD044C" w:rsidRPr="00FD044C" w:rsidRDefault="00FD044C" w:rsidP="00E03053">
      <w:pPr>
        <w:spacing w:afterLines="50" w:after="120"/>
        <w:rPr>
          <w:b/>
          <w:iCs/>
        </w:rPr>
      </w:pPr>
      <w:r w:rsidRPr="00FD044C">
        <w:rPr>
          <w:b/>
          <w:iCs/>
        </w:rPr>
        <w:fldChar w:fldCharType="begin"/>
      </w:r>
      <w:r w:rsidRPr="00FD044C">
        <w:rPr>
          <w:b/>
          <w:iCs/>
        </w:rPr>
        <w:instrText xml:space="preserve"> REF _Ref61861152 \h  \* MERGEFORMAT </w:instrText>
      </w:r>
      <w:r w:rsidRPr="00FD044C">
        <w:rPr>
          <w:b/>
          <w:iCs/>
        </w:rPr>
      </w:r>
      <w:r w:rsidRPr="00FD044C">
        <w:rPr>
          <w:b/>
          <w:iCs/>
        </w:rPr>
        <w:fldChar w:fldCharType="separate"/>
      </w:r>
      <w:r w:rsidR="0019491B" w:rsidRPr="0019491B">
        <w:rPr>
          <w:b/>
        </w:rPr>
        <w:t xml:space="preserve">Proposal </w:t>
      </w:r>
      <w:r w:rsidR="0019491B" w:rsidRPr="0019491B">
        <w:rPr>
          <w:b/>
          <w:noProof/>
        </w:rPr>
        <w:t>4</w:t>
      </w:r>
      <w:r w:rsidR="0019491B" w:rsidRPr="0019491B">
        <w:rPr>
          <w:b/>
        </w:rPr>
        <w:t>: For 480 and 960 kHz SCS, PDCCH monitoring is confined to be within the first 3 symbols of a slot when per slot monitoring is configured.</w:t>
      </w:r>
      <w:r w:rsidRPr="00FD044C">
        <w:rPr>
          <w:b/>
          <w:iCs/>
        </w:rPr>
        <w:fldChar w:fldCharType="end"/>
      </w:r>
    </w:p>
    <w:p w14:paraId="798A870D" w14:textId="7777777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71F2992C" w14:textId="45671FB6" w:rsidR="000C39EA" w:rsidRDefault="00AD69D0" w:rsidP="000C39EA">
      <w:pPr>
        <w:numPr>
          <w:ilvl w:val="0"/>
          <w:numId w:val="6"/>
        </w:numPr>
        <w:spacing w:afterLines="50" w:after="120"/>
      </w:pPr>
      <w:bookmarkStart w:id="7" w:name="_Ref40359806"/>
      <w:bookmarkStart w:id="8" w:name="_Ref528680018"/>
      <w:bookmarkStart w:id="9" w:name="_Ref481596356"/>
      <w:bookmarkStart w:id="10" w:name="_Ref481781528"/>
      <w:bookmarkStart w:id="11" w:name="_Ref481782557"/>
      <w:r>
        <w:t xml:space="preserve">3GPP </w:t>
      </w:r>
      <w:r w:rsidR="007E3EFF">
        <w:t>TR 38.808</w:t>
      </w:r>
      <w:r w:rsidR="000C39EA">
        <w:t>, “</w:t>
      </w:r>
      <w:r w:rsidR="007E3EFF" w:rsidRPr="009476C7">
        <w:t>Study on supporting NR from 52.6 GHz to 71 GHz</w:t>
      </w:r>
      <w:r w:rsidR="000C39EA">
        <w:t xml:space="preserve">”,  </w:t>
      </w:r>
      <w:r w:rsidR="007E3EFF">
        <w:t>November</w:t>
      </w:r>
      <w:r w:rsidR="000C39EA" w:rsidRPr="000C39EA">
        <w:t>, 20</w:t>
      </w:r>
      <w:bookmarkEnd w:id="7"/>
      <w:r w:rsidR="007E3EFF">
        <w:t>20</w:t>
      </w:r>
    </w:p>
    <w:p w14:paraId="1A37EDAE" w14:textId="09369390" w:rsidR="001243FA" w:rsidRDefault="00AD69D0" w:rsidP="00AD69D0">
      <w:pPr>
        <w:numPr>
          <w:ilvl w:val="0"/>
          <w:numId w:val="6"/>
        </w:numPr>
        <w:spacing w:afterLines="50" w:after="120"/>
      </w:pPr>
      <w:bookmarkStart w:id="12" w:name="_Ref40449526"/>
      <w:r>
        <w:t>RP-202925</w:t>
      </w:r>
      <w:r w:rsidR="003E577B">
        <w:t>, “</w:t>
      </w:r>
      <w:r w:rsidRPr="00AD69D0">
        <w:t>Revised WID:  Extending current NR operation to 71 GHz</w:t>
      </w:r>
      <w:r w:rsidR="003E577B">
        <w:t xml:space="preserve">”, </w:t>
      </w:r>
      <w:r>
        <w:t>December</w:t>
      </w:r>
      <w:r w:rsidR="003E577B">
        <w:t>, 2020</w:t>
      </w:r>
      <w:bookmarkEnd w:id="12"/>
    </w:p>
    <w:p w14:paraId="0377ADCF" w14:textId="426EE0DD" w:rsidR="00BA1B76" w:rsidRDefault="00E04988" w:rsidP="00E04988">
      <w:pPr>
        <w:numPr>
          <w:ilvl w:val="0"/>
          <w:numId w:val="6"/>
        </w:numPr>
        <w:spacing w:afterLines="50" w:after="120"/>
      </w:pPr>
      <w:bookmarkStart w:id="13" w:name="_Ref40449572"/>
      <w:r>
        <w:t>R1-2007926</w:t>
      </w:r>
      <w:r w:rsidR="00746FF0">
        <w:t>, “</w:t>
      </w:r>
      <w:r w:rsidRPr="00E04988">
        <w:t>Required changes to NR using existing DL/UL NR waveform</w:t>
      </w:r>
      <w:r w:rsidR="00746FF0">
        <w:t xml:space="preserve">”, </w:t>
      </w:r>
      <w:r>
        <w:t>November</w:t>
      </w:r>
      <w:r w:rsidR="00746FF0">
        <w:t>, 2020</w:t>
      </w:r>
      <w:bookmarkEnd w:id="13"/>
    </w:p>
    <w:p w14:paraId="3E821129" w14:textId="4E564859" w:rsidR="00E04988" w:rsidRDefault="00E04988" w:rsidP="00E04988">
      <w:pPr>
        <w:numPr>
          <w:ilvl w:val="0"/>
          <w:numId w:val="6"/>
        </w:numPr>
        <w:spacing w:afterLines="50" w:after="120"/>
      </w:pPr>
      <w:bookmarkStart w:id="14" w:name="_Ref47698919"/>
      <w:r>
        <w:t>R1-20079</w:t>
      </w:r>
      <w:r w:rsidR="00535F46">
        <w:t>82</w:t>
      </w:r>
      <w:r>
        <w:t>, “</w:t>
      </w:r>
      <w:r w:rsidR="00535F46">
        <w:rPr>
          <w:lang w:eastAsia="x-none"/>
        </w:rPr>
        <w:t>On NR operations in 52.6 to 71 GHz</w:t>
      </w:r>
      <w:r>
        <w:t>”, November, 2020</w:t>
      </w:r>
    </w:p>
    <w:p w14:paraId="1ED93387" w14:textId="52400AC4" w:rsidR="00E04988" w:rsidRDefault="00E04988" w:rsidP="00E04988">
      <w:pPr>
        <w:numPr>
          <w:ilvl w:val="0"/>
          <w:numId w:val="6"/>
        </w:numPr>
        <w:spacing w:afterLines="50" w:after="120"/>
      </w:pPr>
      <w:bookmarkStart w:id="15" w:name="_Ref47698976"/>
      <w:bookmarkEnd w:id="14"/>
      <w:r>
        <w:t>R1-200</w:t>
      </w:r>
      <w:r w:rsidR="00535F46">
        <w:t>8872</w:t>
      </w:r>
      <w:r>
        <w:t>, “</w:t>
      </w:r>
      <w:r w:rsidR="00535F46">
        <w:rPr>
          <w:lang w:eastAsia="x-none"/>
        </w:rPr>
        <w:t>Design aspects for extending NR to up to 71 GHz</w:t>
      </w:r>
      <w:r>
        <w:t>”, November, 2020</w:t>
      </w:r>
    </w:p>
    <w:p w14:paraId="0D9A8F86" w14:textId="77271FC6" w:rsidR="00E04988" w:rsidRDefault="00E04988" w:rsidP="00E04988">
      <w:pPr>
        <w:numPr>
          <w:ilvl w:val="0"/>
          <w:numId w:val="6"/>
        </w:numPr>
        <w:spacing w:afterLines="50" w:after="120"/>
      </w:pPr>
      <w:bookmarkStart w:id="16" w:name="_Ref47699091"/>
      <w:bookmarkEnd w:id="15"/>
      <w:r>
        <w:t>R1-200</w:t>
      </w:r>
      <w:r w:rsidR="00535F46">
        <w:t>8651</w:t>
      </w:r>
      <w:r>
        <w:t>, “</w:t>
      </w:r>
      <w:r w:rsidR="00535F46">
        <w:rPr>
          <w:lang w:eastAsia="x-none"/>
        </w:rPr>
        <w:t>NR using existing DL-UL NR waveform to support operation between 52p6 GHz and 71 GHz</w:t>
      </w:r>
      <w:r>
        <w:t>”, November, 2020</w:t>
      </w:r>
      <w:bookmarkEnd w:id="0"/>
      <w:bookmarkEnd w:id="8"/>
      <w:bookmarkEnd w:id="9"/>
      <w:bookmarkEnd w:id="10"/>
      <w:bookmarkEnd w:id="11"/>
      <w:bookmarkEnd w:id="16"/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08A18" w14:textId="77777777" w:rsidR="00AC3E18" w:rsidRDefault="00AC3E18">
      <w:r>
        <w:separator/>
      </w:r>
    </w:p>
  </w:endnote>
  <w:endnote w:type="continuationSeparator" w:id="0">
    <w:p w14:paraId="71ACCD9F" w14:textId="77777777" w:rsidR="00AC3E18" w:rsidRDefault="00AC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E1FB4" w14:textId="77777777" w:rsidR="00AC3E18" w:rsidRDefault="00AC3E18">
      <w:r>
        <w:separator/>
      </w:r>
    </w:p>
  </w:footnote>
  <w:footnote w:type="continuationSeparator" w:id="0">
    <w:p w14:paraId="01764E05" w14:textId="77777777" w:rsidR="00AC3E18" w:rsidRDefault="00AC3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2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5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9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7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24"/>
  </w:num>
  <w:num w:numId="4">
    <w:abstractNumId w:val="6"/>
  </w:num>
  <w:num w:numId="5">
    <w:abstractNumId w:val="11"/>
  </w:num>
  <w:num w:numId="6">
    <w:abstractNumId w:val="12"/>
  </w:num>
  <w:num w:numId="7">
    <w:abstractNumId w:val="7"/>
  </w:num>
  <w:num w:numId="8">
    <w:abstractNumId w:val="23"/>
  </w:num>
  <w:num w:numId="9">
    <w:abstractNumId w:val="1"/>
  </w:num>
  <w:num w:numId="10">
    <w:abstractNumId w:val="10"/>
  </w:num>
  <w:num w:numId="11">
    <w:abstractNumId w:val="33"/>
  </w:num>
  <w:num w:numId="12">
    <w:abstractNumId w:val="0"/>
  </w:num>
  <w:num w:numId="13">
    <w:abstractNumId w:val="3"/>
  </w:num>
  <w:num w:numId="14">
    <w:abstractNumId w:val="42"/>
  </w:num>
  <w:num w:numId="15">
    <w:abstractNumId w:val="44"/>
  </w:num>
  <w:num w:numId="16">
    <w:abstractNumId w:val="9"/>
  </w:num>
  <w:num w:numId="17">
    <w:abstractNumId w:val="22"/>
  </w:num>
  <w:num w:numId="18">
    <w:abstractNumId w:val="36"/>
  </w:num>
  <w:num w:numId="19">
    <w:abstractNumId w:val="28"/>
  </w:num>
  <w:num w:numId="20">
    <w:abstractNumId w:val="16"/>
  </w:num>
  <w:num w:numId="21">
    <w:abstractNumId w:val="46"/>
  </w:num>
  <w:num w:numId="22">
    <w:abstractNumId w:val="41"/>
  </w:num>
  <w:num w:numId="23">
    <w:abstractNumId w:val="4"/>
  </w:num>
  <w:num w:numId="24">
    <w:abstractNumId w:val="8"/>
  </w:num>
  <w:num w:numId="25">
    <w:abstractNumId w:val="15"/>
  </w:num>
  <w:num w:numId="26">
    <w:abstractNumId w:val="45"/>
  </w:num>
  <w:num w:numId="27">
    <w:abstractNumId w:val="13"/>
  </w:num>
  <w:num w:numId="28">
    <w:abstractNumId w:val="37"/>
  </w:num>
  <w:num w:numId="29">
    <w:abstractNumId w:val="40"/>
  </w:num>
  <w:num w:numId="30">
    <w:abstractNumId w:val="34"/>
  </w:num>
  <w:num w:numId="31">
    <w:abstractNumId w:val="39"/>
  </w:num>
  <w:num w:numId="32">
    <w:abstractNumId w:val="26"/>
  </w:num>
  <w:num w:numId="33">
    <w:abstractNumId w:val="2"/>
  </w:num>
  <w:num w:numId="34">
    <w:abstractNumId w:val="31"/>
  </w:num>
  <w:num w:numId="35">
    <w:abstractNumId w:val="19"/>
  </w:num>
  <w:num w:numId="36">
    <w:abstractNumId w:val="27"/>
  </w:num>
  <w:num w:numId="37">
    <w:abstractNumId w:val="14"/>
  </w:num>
  <w:num w:numId="38">
    <w:abstractNumId w:val="25"/>
  </w:num>
  <w:num w:numId="39">
    <w:abstractNumId w:val="5"/>
  </w:num>
  <w:num w:numId="40">
    <w:abstractNumId w:val="17"/>
  </w:num>
  <w:num w:numId="41">
    <w:abstractNumId w:val="18"/>
  </w:num>
  <w:num w:numId="42">
    <w:abstractNumId w:val="43"/>
  </w:num>
  <w:num w:numId="43">
    <w:abstractNumId w:val="32"/>
  </w:num>
  <w:num w:numId="44">
    <w:abstractNumId w:val="21"/>
  </w:num>
  <w:num w:numId="45">
    <w:abstractNumId w:val="38"/>
  </w:num>
  <w:num w:numId="46">
    <w:abstractNumId w:val="20"/>
  </w:num>
  <w:num w:numId="47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58B4"/>
    <w:rsid w:val="00016194"/>
    <w:rsid w:val="00017715"/>
    <w:rsid w:val="00020508"/>
    <w:rsid w:val="00020FD3"/>
    <w:rsid w:val="00021CC2"/>
    <w:rsid w:val="00021EE8"/>
    <w:rsid w:val="00021FE9"/>
    <w:rsid w:val="00025A48"/>
    <w:rsid w:val="00027BA6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E13E3"/>
    <w:rsid w:val="000E2279"/>
    <w:rsid w:val="000E3102"/>
    <w:rsid w:val="000E4BBD"/>
    <w:rsid w:val="000E4BCD"/>
    <w:rsid w:val="000E639C"/>
    <w:rsid w:val="000F0538"/>
    <w:rsid w:val="000F1E63"/>
    <w:rsid w:val="000F4B50"/>
    <w:rsid w:val="000F4C3D"/>
    <w:rsid w:val="000F5FE4"/>
    <w:rsid w:val="000F757F"/>
    <w:rsid w:val="00100ACC"/>
    <w:rsid w:val="001020DB"/>
    <w:rsid w:val="001031E2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2DB4"/>
    <w:rsid w:val="00153063"/>
    <w:rsid w:val="001531AA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7084"/>
    <w:rsid w:val="00171C1F"/>
    <w:rsid w:val="001720CF"/>
    <w:rsid w:val="00173652"/>
    <w:rsid w:val="00173DFD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3D7B"/>
    <w:rsid w:val="001E0B66"/>
    <w:rsid w:val="001E3EE1"/>
    <w:rsid w:val="001E6370"/>
    <w:rsid w:val="001F0231"/>
    <w:rsid w:val="001F1DE9"/>
    <w:rsid w:val="001F24B6"/>
    <w:rsid w:val="001F3EBE"/>
    <w:rsid w:val="001F4E0E"/>
    <w:rsid w:val="001F4EC9"/>
    <w:rsid w:val="001F6982"/>
    <w:rsid w:val="001F703D"/>
    <w:rsid w:val="00200E87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14BF"/>
    <w:rsid w:val="00221A15"/>
    <w:rsid w:val="00221AE6"/>
    <w:rsid w:val="00223789"/>
    <w:rsid w:val="00223F2E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2CE2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46A4"/>
    <w:rsid w:val="002952E1"/>
    <w:rsid w:val="00296E15"/>
    <w:rsid w:val="00297B83"/>
    <w:rsid w:val="002A0AD7"/>
    <w:rsid w:val="002A3DB9"/>
    <w:rsid w:val="002A6AD4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14DD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53D9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FB"/>
    <w:rsid w:val="00392F53"/>
    <w:rsid w:val="00393073"/>
    <w:rsid w:val="0039451F"/>
    <w:rsid w:val="00395F40"/>
    <w:rsid w:val="003961CF"/>
    <w:rsid w:val="00396DB1"/>
    <w:rsid w:val="0039712C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665E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51BD"/>
    <w:rsid w:val="003D7971"/>
    <w:rsid w:val="003D7BD4"/>
    <w:rsid w:val="003E2F37"/>
    <w:rsid w:val="003E30AE"/>
    <w:rsid w:val="003E4EF1"/>
    <w:rsid w:val="003E577B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5104"/>
    <w:rsid w:val="004063B2"/>
    <w:rsid w:val="004064E9"/>
    <w:rsid w:val="004120B8"/>
    <w:rsid w:val="004141EB"/>
    <w:rsid w:val="00414ACF"/>
    <w:rsid w:val="0041604B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56D8"/>
    <w:rsid w:val="004E01EA"/>
    <w:rsid w:val="004E2D81"/>
    <w:rsid w:val="004E2EA2"/>
    <w:rsid w:val="004E2FB9"/>
    <w:rsid w:val="004E59E5"/>
    <w:rsid w:val="004E5A17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73BD"/>
    <w:rsid w:val="005306FF"/>
    <w:rsid w:val="00535C64"/>
    <w:rsid w:val="00535F46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615"/>
    <w:rsid w:val="00590F80"/>
    <w:rsid w:val="0059141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233F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4E6E"/>
    <w:rsid w:val="0065586D"/>
    <w:rsid w:val="00655B65"/>
    <w:rsid w:val="00656559"/>
    <w:rsid w:val="006573AC"/>
    <w:rsid w:val="0066201D"/>
    <w:rsid w:val="00662C6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5DFA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C32"/>
    <w:rsid w:val="006D51F8"/>
    <w:rsid w:val="006D6280"/>
    <w:rsid w:val="006E0AB8"/>
    <w:rsid w:val="006E143C"/>
    <w:rsid w:val="006E1FBE"/>
    <w:rsid w:val="006E26DD"/>
    <w:rsid w:val="006E31ED"/>
    <w:rsid w:val="006E4BA2"/>
    <w:rsid w:val="006E6392"/>
    <w:rsid w:val="006E7A57"/>
    <w:rsid w:val="006F36CB"/>
    <w:rsid w:val="006F3968"/>
    <w:rsid w:val="006F54EA"/>
    <w:rsid w:val="006F614A"/>
    <w:rsid w:val="006F7B83"/>
    <w:rsid w:val="00701078"/>
    <w:rsid w:val="00702C58"/>
    <w:rsid w:val="00703BAC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705B1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E1"/>
    <w:rsid w:val="00781432"/>
    <w:rsid w:val="007815A3"/>
    <w:rsid w:val="00783E63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5506"/>
    <w:rsid w:val="00815850"/>
    <w:rsid w:val="00816D90"/>
    <w:rsid w:val="00821311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7B0E"/>
    <w:rsid w:val="00863EFD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537B"/>
    <w:rsid w:val="00877A8E"/>
    <w:rsid w:val="00881C58"/>
    <w:rsid w:val="00881DDA"/>
    <w:rsid w:val="00882846"/>
    <w:rsid w:val="00883380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6EA"/>
    <w:rsid w:val="008A74E8"/>
    <w:rsid w:val="008B08BB"/>
    <w:rsid w:val="008B3735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318C"/>
    <w:rsid w:val="008D52F9"/>
    <w:rsid w:val="008D539A"/>
    <w:rsid w:val="008D61F1"/>
    <w:rsid w:val="008D6930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727"/>
    <w:rsid w:val="008F5767"/>
    <w:rsid w:val="008F57BA"/>
    <w:rsid w:val="008F5E05"/>
    <w:rsid w:val="008F7A9D"/>
    <w:rsid w:val="00900B4D"/>
    <w:rsid w:val="0090194F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532AD"/>
    <w:rsid w:val="0095542F"/>
    <w:rsid w:val="0095565F"/>
    <w:rsid w:val="009613D3"/>
    <w:rsid w:val="009656D2"/>
    <w:rsid w:val="009657AF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1FB1"/>
    <w:rsid w:val="00982A90"/>
    <w:rsid w:val="00984CF2"/>
    <w:rsid w:val="00986608"/>
    <w:rsid w:val="00986F47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478"/>
    <w:rsid w:val="009A3F89"/>
    <w:rsid w:val="009A4445"/>
    <w:rsid w:val="009A47BD"/>
    <w:rsid w:val="009A4A76"/>
    <w:rsid w:val="009A56DC"/>
    <w:rsid w:val="009A6428"/>
    <w:rsid w:val="009A7308"/>
    <w:rsid w:val="009A7497"/>
    <w:rsid w:val="009B06B4"/>
    <w:rsid w:val="009B09F4"/>
    <w:rsid w:val="009B1BD9"/>
    <w:rsid w:val="009B4AB8"/>
    <w:rsid w:val="009B67BA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D0BC0"/>
    <w:rsid w:val="009D2519"/>
    <w:rsid w:val="009D348B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4056E"/>
    <w:rsid w:val="00A40F6D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739D"/>
    <w:rsid w:val="00AA253F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79B8"/>
    <w:rsid w:val="00B17EA9"/>
    <w:rsid w:val="00B17F9C"/>
    <w:rsid w:val="00B20B4A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A2A"/>
    <w:rsid w:val="00B332C0"/>
    <w:rsid w:val="00B3393D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42C8"/>
    <w:rsid w:val="00B458E5"/>
    <w:rsid w:val="00B461F1"/>
    <w:rsid w:val="00B475D1"/>
    <w:rsid w:val="00B47ACC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4B33"/>
    <w:rsid w:val="00B9514F"/>
    <w:rsid w:val="00B9589B"/>
    <w:rsid w:val="00B95FEE"/>
    <w:rsid w:val="00B96C62"/>
    <w:rsid w:val="00B97256"/>
    <w:rsid w:val="00BA10A3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31E5"/>
    <w:rsid w:val="00BB39AE"/>
    <w:rsid w:val="00BB4078"/>
    <w:rsid w:val="00BB51C3"/>
    <w:rsid w:val="00BB5767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753B"/>
    <w:rsid w:val="00BD7BBB"/>
    <w:rsid w:val="00BE05CB"/>
    <w:rsid w:val="00BE0AB3"/>
    <w:rsid w:val="00BE2681"/>
    <w:rsid w:val="00BE2BE3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5766"/>
    <w:rsid w:val="00BF5A89"/>
    <w:rsid w:val="00C003B8"/>
    <w:rsid w:val="00C007A7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2068"/>
    <w:rsid w:val="00C42C45"/>
    <w:rsid w:val="00C43381"/>
    <w:rsid w:val="00C44742"/>
    <w:rsid w:val="00C46206"/>
    <w:rsid w:val="00C46570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4390"/>
    <w:rsid w:val="00C84A21"/>
    <w:rsid w:val="00C87F13"/>
    <w:rsid w:val="00C87FEB"/>
    <w:rsid w:val="00C91077"/>
    <w:rsid w:val="00C915BC"/>
    <w:rsid w:val="00C920BE"/>
    <w:rsid w:val="00C92937"/>
    <w:rsid w:val="00C93576"/>
    <w:rsid w:val="00C94D69"/>
    <w:rsid w:val="00CA0854"/>
    <w:rsid w:val="00CA097A"/>
    <w:rsid w:val="00CA0B3A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2A7D"/>
    <w:rsid w:val="00CE510B"/>
    <w:rsid w:val="00CE67D7"/>
    <w:rsid w:val="00CE7774"/>
    <w:rsid w:val="00CE7DBA"/>
    <w:rsid w:val="00CF1DFC"/>
    <w:rsid w:val="00CF3DF8"/>
    <w:rsid w:val="00CF443F"/>
    <w:rsid w:val="00CF4571"/>
    <w:rsid w:val="00CF65DA"/>
    <w:rsid w:val="00CF6EF5"/>
    <w:rsid w:val="00D0229D"/>
    <w:rsid w:val="00D03376"/>
    <w:rsid w:val="00D03619"/>
    <w:rsid w:val="00D0637B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A14"/>
    <w:rsid w:val="00D33E32"/>
    <w:rsid w:val="00D35868"/>
    <w:rsid w:val="00D373A6"/>
    <w:rsid w:val="00D4075D"/>
    <w:rsid w:val="00D4192D"/>
    <w:rsid w:val="00D43E7F"/>
    <w:rsid w:val="00D44351"/>
    <w:rsid w:val="00D44911"/>
    <w:rsid w:val="00D46A8B"/>
    <w:rsid w:val="00D4734E"/>
    <w:rsid w:val="00D50E5B"/>
    <w:rsid w:val="00D512E0"/>
    <w:rsid w:val="00D51C82"/>
    <w:rsid w:val="00D52B35"/>
    <w:rsid w:val="00D5403D"/>
    <w:rsid w:val="00D54B45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6CCD"/>
    <w:rsid w:val="00DB750E"/>
    <w:rsid w:val="00DC20BE"/>
    <w:rsid w:val="00DC2D6B"/>
    <w:rsid w:val="00DC37A0"/>
    <w:rsid w:val="00DC384E"/>
    <w:rsid w:val="00DC393B"/>
    <w:rsid w:val="00DC3A8B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52DB"/>
    <w:rsid w:val="00DE5B4A"/>
    <w:rsid w:val="00DE6FAC"/>
    <w:rsid w:val="00DE7751"/>
    <w:rsid w:val="00DF0656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62048"/>
    <w:rsid w:val="00E65951"/>
    <w:rsid w:val="00E6785A"/>
    <w:rsid w:val="00E67880"/>
    <w:rsid w:val="00E7111A"/>
    <w:rsid w:val="00E71D9A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5D5E"/>
    <w:rsid w:val="00E860BD"/>
    <w:rsid w:val="00E8623F"/>
    <w:rsid w:val="00E8646A"/>
    <w:rsid w:val="00E86F2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67B6"/>
    <w:rsid w:val="00F268AC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28FE"/>
    <w:rsid w:val="00F63176"/>
    <w:rsid w:val="00F701B7"/>
    <w:rsid w:val="00F71084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10C7"/>
    <w:rsid w:val="00F920E0"/>
    <w:rsid w:val="00F92466"/>
    <w:rsid w:val="00F92C62"/>
    <w:rsid w:val="00F944C7"/>
    <w:rsid w:val="00F94C30"/>
    <w:rsid w:val="00F95DA0"/>
    <w:rsid w:val="00F960CA"/>
    <w:rsid w:val="00F960E7"/>
    <w:rsid w:val="00F96B1A"/>
    <w:rsid w:val="00FA16E6"/>
    <w:rsid w:val="00FA29F6"/>
    <w:rsid w:val="00FA2A19"/>
    <w:rsid w:val="00FA2FD6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C054B"/>
    <w:rsid w:val="00FC25CF"/>
    <w:rsid w:val="00FC4920"/>
    <w:rsid w:val="00FC590E"/>
    <w:rsid w:val="00FC5B86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4E2CD-6EDA-4D04-83D2-73D18E372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19</cp:revision>
  <cp:lastPrinted>2018-01-12T00:47:00Z</cp:lastPrinted>
  <dcterms:created xsi:type="dcterms:W3CDTF">2021-01-14T22:26:00Z</dcterms:created>
  <dcterms:modified xsi:type="dcterms:W3CDTF">2021-01-18T19:35:00Z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