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E535C" w14:textId="39FC3B40" w:rsidR="001B3AA0" w:rsidRPr="00DE5B89" w:rsidRDefault="001B3AA0" w:rsidP="001B3AA0">
      <w:pPr>
        <w:pStyle w:val="Header"/>
        <w:tabs>
          <w:tab w:val="left" w:pos="8222"/>
        </w:tabs>
        <w:rPr>
          <w:bCs/>
          <w:sz w:val="24"/>
        </w:rPr>
      </w:pPr>
      <w:bookmarkStart w:id="0" w:name="_Hlk772559"/>
      <w:bookmarkStart w:id="1" w:name="OLE_LINK5"/>
      <w:bookmarkStart w:id="2" w:name="OLE_LINK6"/>
      <w:bookmarkStart w:id="3" w:name="_Hlk4135959"/>
      <w:r w:rsidRPr="00DE5B89">
        <w:rPr>
          <w:bCs/>
          <w:sz w:val="24"/>
        </w:rPr>
        <w:t>3GPP TSG RAN WG1 Meeting #</w:t>
      </w:r>
      <w:r>
        <w:rPr>
          <w:bCs/>
          <w:sz w:val="24"/>
        </w:rPr>
        <w:t>10</w:t>
      </w:r>
      <w:r w:rsidR="00554442">
        <w:rPr>
          <w:bCs/>
          <w:sz w:val="24"/>
        </w:rPr>
        <w:t>4</w:t>
      </w:r>
      <w:r>
        <w:rPr>
          <w:bCs/>
          <w:sz w:val="24"/>
        </w:rPr>
        <w:t>-e</w:t>
      </w:r>
      <w:r w:rsidRPr="00DE5B89">
        <w:rPr>
          <w:bCs/>
          <w:sz w:val="24"/>
        </w:rPr>
        <w:tab/>
      </w:r>
      <w:r w:rsidRPr="00657AE4">
        <w:rPr>
          <w:bCs/>
          <w:sz w:val="24"/>
        </w:rPr>
        <w:t>R1-2</w:t>
      </w:r>
      <w:r w:rsidR="00554442">
        <w:rPr>
          <w:bCs/>
          <w:sz w:val="24"/>
        </w:rPr>
        <w:t>1</w:t>
      </w:r>
      <w:r w:rsidR="00495619">
        <w:rPr>
          <w:bCs/>
          <w:sz w:val="24"/>
        </w:rPr>
        <w:t>00499</w:t>
      </w:r>
    </w:p>
    <w:bookmarkEnd w:id="0"/>
    <w:p w14:paraId="5470A9BE" w14:textId="4B340E02" w:rsidR="001B3AA0" w:rsidRPr="00DE5B89" w:rsidRDefault="001B3AA0" w:rsidP="001B3AA0">
      <w:pPr>
        <w:pStyle w:val="Header"/>
        <w:rPr>
          <w:bCs/>
          <w:sz w:val="24"/>
        </w:rPr>
      </w:pPr>
      <w:r w:rsidRPr="00A31EF1">
        <w:rPr>
          <w:bCs/>
          <w:sz w:val="24"/>
        </w:rPr>
        <w:t xml:space="preserve">e-Meeting, </w:t>
      </w:r>
      <w:r w:rsidR="00554442">
        <w:rPr>
          <w:bCs/>
          <w:sz w:val="24"/>
        </w:rPr>
        <w:t>January</w:t>
      </w:r>
      <w:r w:rsidRPr="00621D04">
        <w:rPr>
          <w:bCs/>
          <w:sz w:val="24"/>
        </w:rPr>
        <w:t xml:space="preserve"> 2</w:t>
      </w:r>
      <w:r w:rsidR="00554442">
        <w:rPr>
          <w:bCs/>
          <w:sz w:val="24"/>
        </w:rPr>
        <w:t>5</w:t>
      </w:r>
      <w:r w:rsidRPr="00621D04">
        <w:rPr>
          <w:bCs/>
          <w:sz w:val="24"/>
          <w:vertAlign w:val="superscript"/>
        </w:rPr>
        <w:t>th</w:t>
      </w:r>
      <w:r w:rsidRPr="00621D04">
        <w:rPr>
          <w:bCs/>
          <w:sz w:val="24"/>
        </w:rPr>
        <w:t xml:space="preserve"> – </w:t>
      </w:r>
      <w:r w:rsidR="008714EF" w:rsidRPr="008714EF">
        <w:rPr>
          <w:bCs/>
          <w:sz w:val="24"/>
        </w:rPr>
        <w:t>February 5</w:t>
      </w:r>
      <w:bookmarkStart w:id="4" w:name="_GoBack"/>
      <w:r w:rsidR="008714EF" w:rsidRPr="008714EF">
        <w:rPr>
          <w:bCs/>
          <w:sz w:val="24"/>
          <w:vertAlign w:val="superscript"/>
        </w:rPr>
        <w:t>th</w:t>
      </w:r>
      <w:bookmarkEnd w:id="4"/>
      <w:r w:rsidRPr="00621D04">
        <w:rPr>
          <w:bCs/>
          <w:sz w:val="24"/>
        </w:rPr>
        <w:t>, 202</w:t>
      </w:r>
      <w:r w:rsidR="00554442">
        <w:rPr>
          <w:bCs/>
          <w:sz w:val="24"/>
        </w:rPr>
        <w:t>1</w:t>
      </w:r>
    </w:p>
    <w:bookmarkEnd w:id="1"/>
    <w:bookmarkEnd w:id="2"/>
    <w:p w14:paraId="012CB625" w14:textId="77777777" w:rsidR="00C7199C" w:rsidRPr="00DE5B89" w:rsidRDefault="00C7199C" w:rsidP="00C7199C">
      <w:pPr>
        <w:pStyle w:val="Header"/>
        <w:rPr>
          <w:bCs/>
          <w:noProof w:val="0"/>
          <w:sz w:val="24"/>
          <w:lang w:eastAsia="ja-JP"/>
        </w:rPr>
      </w:pPr>
    </w:p>
    <w:p w14:paraId="2B544DEF" w14:textId="0345C610"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Pr>
          <w:rFonts w:cs="Arial"/>
          <w:b/>
          <w:bCs/>
          <w:sz w:val="24"/>
          <w:lang w:val="en-US"/>
        </w:rPr>
        <w:t>8.</w:t>
      </w:r>
      <w:r w:rsidR="00407A1D">
        <w:rPr>
          <w:rFonts w:cs="Arial"/>
          <w:b/>
          <w:bCs/>
          <w:sz w:val="24"/>
          <w:lang w:val="en-US"/>
        </w:rPr>
        <w:t>6</w:t>
      </w:r>
      <w:r w:rsidR="00E02820">
        <w:rPr>
          <w:rFonts w:cs="Arial"/>
          <w:b/>
          <w:bCs/>
          <w:sz w:val="24"/>
          <w:lang w:val="en-US"/>
        </w:rPr>
        <w:t>.1</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5" w:name="OLE_LINK1"/>
      <w:bookmarkStart w:id="6" w:name="OLE_LINK2"/>
      <w:r w:rsidR="008F23B9" w:rsidRPr="00DE5B89">
        <w:rPr>
          <w:rFonts w:ascii="Arial" w:hAnsi="Arial" w:cs="Arial"/>
          <w:b/>
          <w:bCs/>
          <w:sz w:val="24"/>
          <w:lang w:val="en-US"/>
        </w:rPr>
        <w:t>Nokia</w:t>
      </w:r>
      <w:bookmarkEnd w:id="5"/>
      <w:bookmarkEnd w:id="6"/>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5EFBC596"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407A1D">
        <w:rPr>
          <w:rFonts w:ascii="Arial" w:hAnsi="Arial" w:cs="Arial"/>
          <w:b/>
          <w:bCs/>
          <w:sz w:val="24"/>
          <w:lang w:val="en-US"/>
        </w:rPr>
        <w:t>UE Complexity Reduction</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53688451" w:rsidR="00626FC7" w:rsidRDefault="00626FC7" w:rsidP="00626FC7">
      <w:pPr>
        <w:pStyle w:val="ListParagraph"/>
        <w:spacing w:before="120" w:after="120"/>
        <w:ind w:left="0"/>
        <w:contextualSpacing w:val="0"/>
        <w:jc w:val="both"/>
        <w:rPr>
          <w:lang w:val="en-US"/>
        </w:rPr>
      </w:pPr>
      <w:bookmarkStart w:id="7"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343309">
        <w:rPr>
          <w:lang w:val="en-US"/>
        </w:rPr>
        <w:t>[1]</w:t>
      </w:r>
      <w:r w:rsidR="007C4DBA">
        <w:rPr>
          <w:lang w:val="en-US"/>
        </w:rPr>
        <w:fldChar w:fldCharType="end"/>
      </w:r>
      <w:r>
        <w:rPr>
          <w:lang w:val="en-US"/>
        </w:rPr>
        <w:t xml:space="preserve">, </w:t>
      </w:r>
      <w:r w:rsidR="00EC4F1E">
        <w:rPr>
          <w:lang w:val="en-US"/>
        </w:rPr>
        <w:t>UE complexity reduction features are to be specified</w:t>
      </w:r>
      <w:r w:rsidR="00200CBF">
        <w:rPr>
          <w:lang w:val="en-US"/>
        </w:rPr>
        <w:t xml:space="preserve"> as </w:t>
      </w:r>
      <w:r w:rsidR="00102840">
        <w:rPr>
          <w:lang w:val="en-US"/>
        </w:rPr>
        <w:t xml:space="preserve">described </w:t>
      </w:r>
      <w:r w:rsidR="00200CBF">
        <w:rPr>
          <w:lang w:val="en-US"/>
        </w:rPr>
        <w:t>below</w:t>
      </w:r>
      <w:r>
        <w:rPr>
          <w:lang w:val="en-US"/>
        </w:rPr>
        <w:t xml:space="preserve"> –</w:t>
      </w:r>
    </w:p>
    <w:p w14:paraId="6E56C302" w14:textId="77777777" w:rsidR="00A53ED0" w:rsidRPr="00A53ED0" w:rsidRDefault="00A53ED0" w:rsidP="00A53ED0">
      <w:pPr>
        <w:numPr>
          <w:ilvl w:val="0"/>
          <w:numId w:val="25"/>
        </w:numPr>
        <w:jc w:val="both"/>
        <w:rPr>
          <w:lang w:val="en-US" w:eastAsia="ja-JP"/>
        </w:rPr>
      </w:pPr>
      <w:r w:rsidRPr="00A53ED0">
        <w:rPr>
          <w:lang w:val="en-US" w:eastAsia="ja-JP"/>
        </w:rPr>
        <w:t>Specify support for the following UE complexity reduction features [RAN1, RAN4]:</w:t>
      </w:r>
    </w:p>
    <w:p w14:paraId="11840CB4" w14:textId="77777777" w:rsidR="00A53ED0" w:rsidRPr="00A53ED0" w:rsidRDefault="00A53ED0" w:rsidP="00A53ED0">
      <w:pPr>
        <w:numPr>
          <w:ilvl w:val="1"/>
          <w:numId w:val="25"/>
        </w:numPr>
        <w:autoSpaceDE/>
        <w:autoSpaceDN/>
        <w:adjustRightInd/>
        <w:spacing w:after="120"/>
        <w:jc w:val="both"/>
        <w:textAlignment w:val="auto"/>
        <w:rPr>
          <w:rFonts w:ascii="Times" w:eastAsia="MS Mincho" w:hAnsi="Times" w:cs="Times"/>
          <w:b/>
          <w:bCs/>
          <w:iCs/>
          <w:szCs w:val="22"/>
          <w:lang w:val="en-US"/>
        </w:rPr>
      </w:pPr>
      <w:r w:rsidRPr="00A53ED0">
        <w:rPr>
          <w:rFonts w:ascii="Times" w:eastAsia="MS Mincho" w:hAnsi="Times" w:cs="Times"/>
          <w:bCs/>
          <w:iCs/>
          <w:szCs w:val="22"/>
          <w:lang w:val="en-US"/>
        </w:rPr>
        <w:t>Reduced maximum UE bandwidth:</w:t>
      </w:r>
    </w:p>
    <w:p w14:paraId="11E81B4D" w14:textId="77777777" w:rsidR="00A53ED0" w:rsidRPr="00A53ED0" w:rsidRDefault="00A53ED0" w:rsidP="00A53ED0">
      <w:pPr>
        <w:numPr>
          <w:ilvl w:val="2"/>
          <w:numId w:val="25"/>
        </w:numPr>
        <w:autoSpaceDE/>
        <w:autoSpaceDN/>
        <w:adjustRightInd/>
        <w:spacing w:after="120"/>
        <w:jc w:val="both"/>
        <w:textAlignment w:val="auto"/>
        <w:rPr>
          <w:rFonts w:ascii="Times" w:eastAsia="MS Mincho" w:hAnsi="Times" w:cs="Times"/>
          <w:b/>
          <w:bCs/>
          <w:iCs/>
          <w:szCs w:val="22"/>
          <w:lang w:val="en-US"/>
        </w:rPr>
      </w:pPr>
      <w:r w:rsidRPr="00A53ED0">
        <w:rPr>
          <w:rFonts w:ascii="Times" w:eastAsia="MS Mincho" w:hAnsi="Times" w:cs="Times"/>
          <w:bCs/>
          <w:iCs/>
          <w:szCs w:val="22"/>
          <w:lang w:val="en-US"/>
        </w:rPr>
        <w:t>Maximum bandwidth of an FR1 RedCap UE during and after initial access of 20 MHz</w:t>
      </w:r>
      <w:r w:rsidRPr="00A53ED0">
        <w:rPr>
          <w:rFonts w:eastAsia="MS Mincho"/>
          <w:i/>
          <w:lang w:val="en-US"/>
        </w:rPr>
        <w:t xml:space="preserve"> </w:t>
      </w:r>
      <w:r w:rsidRPr="00A53ED0">
        <w:rPr>
          <w:rFonts w:ascii="Times" w:eastAsia="MS Mincho" w:hAnsi="Times" w:cs="Times"/>
          <w:bCs/>
          <w:iCs/>
          <w:szCs w:val="22"/>
          <w:lang w:val="en-US"/>
        </w:rPr>
        <w:t>is supported. The possibility of, and any associated conditions for, optional support of a wider bandwidth up to 40MHz after initial access for this case will be further discussed at RAN#91e.</w:t>
      </w:r>
    </w:p>
    <w:p w14:paraId="106C1E82" w14:textId="77777777" w:rsidR="00A53ED0" w:rsidRPr="00A53ED0" w:rsidRDefault="00A53ED0" w:rsidP="00A53ED0">
      <w:pPr>
        <w:numPr>
          <w:ilvl w:val="2"/>
          <w:numId w:val="25"/>
        </w:numPr>
        <w:autoSpaceDE/>
        <w:autoSpaceDN/>
        <w:adjustRightInd/>
        <w:spacing w:after="120"/>
        <w:jc w:val="both"/>
        <w:textAlignment w:val="auto"/>
        <w:rPr>
          <w:rFonts w:ascii="Times" w:eastAsia="MS Mincho" w:hAnsi="Times" w:cs="Times"/>
          <w:b/>
          <w:bCs/>
          <w:iCs/>
          <w:szCs w:val="22"/>
          <w:lang w:val="en-US"/>
        </w:rPr>
      </w:pPr>
      <w:r w:rsidRPr="00A53ED0">
        <w:rPr>
          <w:rFonts w:ascii="Times" w:eastAsia="MS Mincho" w:hAnsi="Times" w:cs="Times"/>
          <w:bCs/>
          <w:iCs/>
          <w:szCs w:val="22"/>
          <w:lang w:val="en-US"/>
        </w:rPr>
        <w:t>Maximum bandwidth of an FR2 RedCap UE during and after initial access is 100 MHz</w:t>
      </w:r>
    </w:p>
    <w:p w14:paraId="1EDB2A49" w14:textId="77777777" w:rsidR="00A53ED0" w:rsidRPr="00A53ED0" w:rsidRDefault="00A53ED0" w:rsidP="00A53ED0">
      <w:pPr>
        <w:numPr>
          <w:ilvl w:val="1"/>
          <w:numId w:val="25"/>
        </w:numPr>
        <w:autoSpaceDE/>
        <w:autoSpaceDN/>
        <w:adjustRightInd/>
        <w:spacing w:after="120"/>
        <w:jc w:val="both"/>
        <w:textAlignment w:val="auto"/>
        <w:rPr>
          <w:rFonts w:eastAsia="MS Mincho"/>
          <w:b/>
          <w:iCs/>
          <w:lang w:val="en-US"/>
        </w:rPr>
      </w:pPr>
      <w:r w:rsidRPr="00A53ED0">
        <w:rPr>
          <w:rFonts w:eastAsia="MS Mincho"/>
          <w:iCs/>
          <w:lang w:val="en-US"/>
        </w:rPr>
        <w:t>Reduced minimum number of Rx branches:</w:t>
      </w:r>
    </w:p>
    <w:p w14:paraId="58F1E9D1" w14:textId="77777777" w:rsidR="00A53ED0" w:rsidRPr="00A53ED0" w:rsidRDefault="00A53ED0" w:rsidP="00A53ED0">
      <w:pPr>
        <w:numPr>
          <w:ilvl w:val="2"/>
          <w:numId w:val="25"/>
        </w:numPr>
        <w:autoSpaceDE/>
        <w:autoSpaceDN/>
        <w:adjustRightInd/>
        <w:spacing w:after="120"/>
        <w:jc w:val="both"/>
        <w:textAlignment w:val="auto"/>
        <w:rPr>
          <w:rFonts w:eastAsia="MS Mincho"/>
          <w:b/>
          <w:iCs/>
          <w:lang w:val="en-US"/>
        </w:rPr>
      </w:pPr>
      <w:r w:rsidRPr="00A53ED0">
        <w:rPr>
          <w:rFonts w:eastAsia="MS Mincho"/>
          <w:iCs/>
          <w:lang w:val="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53A3D2B6" w14:textId="77777777" w:rsidR="00A53ED0" w:rsidRPr="00A53ED0" w:rsidRDefault="00A53ED0" w:rsidP="00A53ED0">
      <w:pPr>
        <w:numPr>
          <w:ilvl w:val="2"/>
          <w:numId w:val="25"/>
        </w:numPr>
        <w:autoSpaceDE/>
        <w:autoSpaceDN/>
        <w:adjustRightInd/>
        <w:spacing w:after="120"/>
        <w:jc w:val="both"/>
        <w:textAlignment w:val="auto"/>
        <w:rPr>
          <w:rFonts w:eastAsia="MS Mincho"/>
          <w:b/>
          <w:iCs/>
          <w:lang w:val="en-US"/>
        </w:rPr>
      </w:pPr>
      <w:bookmarkStart w:id="8" w:name="_Hlk58502022"/>
      <w:r w:rsidRPr="00A53ED0">
        <w:rPr>
          <w:rFonts w:eastAsia="MS Mincho"/>
          <w:iCs/>
          <w:lang w:val="en-US"/>
        </w:rPr>
        <w:t xml:space="preserve">For frequency bands where a legacy NR UE (other than 2-Rx vehicular UE) is required to be equipped with a minimum of 4 Rx </w:t>
      </w:r>
      <w:bookmarkEnd w:id="8"/>
      <w:r w:rsidRPr="00A53ED0">
        <w:rPr>
          <w:rFonts w:eastAsia="MS Mincho"/>
          <w:iCs/>
          <w:lang w:val="en-US"/>
        </w:rPr>
        <w:t xml:space="preserve">antenna ports, the minimum number of Rx </w:t>
      </w:r>
      <w:bookmarkStart w:id="9" w:name="_Hlk58574559"/>
      <w:r w:rsidRPr="00A53ED0">
        <w:rPr>
          <w:rFonts w:eastAsia="MS Mincho"/>
          <w:iCs/>
          <w:lang w:val="en-US"/>
        </w:rPr>
        <w:t xml:space="preserve">branches </w:t>
      </w:r>
      <w:bookmarkEnd w:id="9"/>
      <w:r w:rsidRPr="00A53ED0">
        <w:rPr>
          <w:rFonts w:eastAsia="MS Mincho"/>
          <w:iCs/>
          <w:lang w:val="en-US"/>
        </w:rPr>
        <w:t>supported by specification for a RedCap UE will be decided at RAN#91e; hence no specific work for these frequency bands will be done before RAN#91e.</w:t>
      </w:r>
    </w:p>
    <w:p w14:paraId="4ED77D83" w14:textId="77777777" w:rsidR="00A53ED0" w:rsidRPr="00A53ED0" w:rsidRDefault="00A53ED0" w:rsidP="00A53ED0">
      <w:pPr>
        <w:numPr>
          <w:ilvl w:val="1"/>
          <w:numId w:val="25"/>
        </w:numPr>
        <w:autoSpaceDE/>
        <w:autoSpaceDN/>
        <w:adjustRightInd/>
        <w:spacing w:after="120"/>
        <w:jc w:val="both"/>
        <w:textAlignment w:val="auto"/>
        <w:rPr>
          <w:rFonts w:eastAsia="MS Mincho"/>
          <w:b/>
          <w:bCs/>
          <w:iCs/>
          <w:lang w:val="en-US"/>
        </w:rPr>
      </w:pPr>
      <w:r w:rsidRPr="00A53ED0">
        <w:rPr>
          <w:rFonts w:eastAsia="MS Mincho"/>
          <w:bCs/>
          <w:iCs/>
          <w:lang w:val="en-US"/>
        </w:rPr>
        <w:t>Maximum number of DL MIMO layers:</w:t>
      </w:r>
    </w:p>
    <w:p w14:paraId="3BF6EBEC" w14:textId="77777777" w:rsidR="00A53ED0" w:rsidRPr="00A53ED0" w:rsidRDefault="00A53ED0" w:rsidP="00A53ED0">
      <w:pPr>
        <w:numPr>
          <w:ilvl w:val="2"/>
          <w:numId w:val="25"/>
        </w:numPr>
        <w:autoSpaceDE/>
        <w:autoSpaceDN/>
        <w:adjustRightInd/>
        <w:spacing w:after="120"/>
        <w:jc w:val="both"/>
        <w:textAlignment w:val="auto"/>
        <w:rPr>
          <w:rFonts w:eastAsia="MS Mincho"/>
          <w:b/>
          <w:bCs/>
          <w:iCs/>
          <w:lang w:val="en-US"/>
        </w:rPr>
      </w:pPr>
      <w:r w:rsidRPr="00A53ED0">
        <w:rPr>
          <w:rFonts w:eastAsia="MS Mincho"/>
          <w:bCs/>
          <w:iCs/>
          <w:lang w:val="en-US"/>
        </w:rPr>
        <w:t xml:space="preserve">For a RedCap UE with 1 Rx </w:t>
      </w:r>
      <w:r w:rsidRPr="00A53ED0">
        <w:rPr>
          <w:rFonts w:eastAsia="MS Mincho"/>
          <w:iCs/>
          <w:lang w:val="en-US"/>
        </w:rPr>
        <w:t>branch</w:t>
      </w:r>
      <w:r w:rsidRPr="00A53ED0">
        <w:rPr>
          <w:rFonts w:eastAsia="MS Mincho"/>
          <w:bCs/>
          <w:iCs/>
          <w:lang w:val="en-US"/>
        </w:rPr>
        <w:t>, 1 DL MIMO layer is supported.</w:t>
      </w:r>
    </w:p>
    <w:p w14:paraId="0AC594B4" w14:textId="77777777" w:rsidR="00A53ED0" w:rsidRPr="00A53ED0" w:rsidRDefault="00A53ED0" w:rsidP="00A53ED0">
      <w:pPr>
        <w:numPr>
          <w:ilvl w:val="2"/>
          <w:numId w:val="25"/>
        </w:numPr>
        <w:autoSpaceDE/>
        <w:autoSpaceDN/>
        <w:adjustRightInd/>
        <w:spacing w:after="120"/>
        <w:jc w:val="both"/>
        <w:textAlignment w:val="auto"/>
        <w:rPr>
          <w:rFonts w:eastAsia="MS Mincho"/>
          <w:b/>
          <w:bCs/>
          <w:iCs/>
          <w:lang w:val="en-US"/>
        </w:rPr>
      </w:pPr>
      <w:r w:rsidRPr="00A53ED0">
        <w:rPr>
          <w:rFonts w:eastAsia="MS Mincho"/>
          <w:bCs/>
          <w:iCs/>
          <w:lang w:val="en-US"/>
        </w:rPr>
        <w:t xml:space="preserve">For a RedCap UE with 2 Rx </w:t>
      </w:r>
      <w:r w:rsidRPr="00A53ED0">
        <w:rPr>
          <w:rFonts w:eastAsia="MS Mincho"/>
          <w:iCs/>
          <w:lang w:val="en-US"/>
        </w:rPr>
        <w:t>branches</w:t>
      </w:r>
      <w:r w:rsidRPr="00A53ED0">
        <w:rPr>
          <w:rFonts w:eastAsia="MS Mincho"/>
          <w:bCs/>
          <w:iCs/>
          <w:lang w:val="en-US"/>
        </w:rPr>
        <w:t>, 2 DL MIMO layers are supported.</w:t>
      </w:r>
    </w:p>
    <w:p w14:paraId="58E67A4E" w14:textId="77777777" w:rsidR="00A53ED0" w:rsidRPr="00A53ED0" w:rsidRDefault="00A53ED0" w:rsidP="00A53ED0">
      <w:pPr>
        <w:numPr>
          <w:ilvl w:val="1"/>
          <w:numId w:val="25"/>
        </w:numPr>
        <w:autoSpaceDE/>
        <w:autoSpaceDN/>
        <w:adjustRightInd/>
        <w:spacing w:after="120"/>
        <w:jc w:val="both"/>
        <w:textAlignment w:val="auto"/>
        <w:rPr>
          <w:rFonts w:eastAsia="MS Mincho"/>
          <w:b/>
          <w:bCs/>
          <w:iCs/>
          <w:lang w:val="en-US"/>
        </w:rPr>
      </w:pPr>
      <w:r w:rsidRPr="00A53ED0">
        <w:rPr>
          <w:rFonts w:eastAsia="MS Mincho"/>
          <w:bCs/>
          <w:iCs/>
          <w:lang w:val="en-US"/>
        </w:rPr>
        <w:t>Relaxed maximum modulation order:</w:t>
      </w:r>
    </w:p>
    <w:p w14:paraId="1CEEF607" w14:textId="77777777" w:rsidR="00A53ED0" w:rsidRPr="00A53ED0" w:rsidRDefault="00A53ED0" w:rsidP="00A53ED0">
      <w:pPr>
        <w:numPr>
          <w:ilvl w:val="2"/>
          <w:numId w:val="25"/>
        </w:numPr>
        <w:autoSpaceDE/>
        <w:autoSpaceDN/>
        <w:adjustRightInd/>
        <w:spacing w:after="120"/>
        <w:jc w:val="both"/>
        <w:textAlignment w:val="auto"/>
        <w:rPr>
          <w:rFonts w:eastAsia="MS Mincho"/>
          <w:b/>
          <w:bCs/>
          <w:iCs/>
          <w:lang w:val="en-US"/>
        </w:rPr>
      </w:pPr>
      <w:r w:rsidRPr="00A53ED0">
        <w:rPr>
          <w:rFonts w:eastAsia="MS Mincho"/>
          <w:bCs/>
          <w:iCs/>
          <w:lang w:val="en-US"/>
        </w:rPr>
        <w:t>Support of 256QAM in DL is optional (instead of mandatory) for an FR1 RedCap UE.</w:t>
      </w:r>
    </w:p>
    <w:p w14:paraId="16612F68" w14:textId="77777777" w:rsidR="00A53ED0" w:rsidRPr="00A53ED0" w:rsidRDefault="00A53ED0" w:rsidP="00A53ED0">
      <w:pPr>
        <w:numPr>
          <w:ilvl w:val="2"/>
          <w:numId w:val="25"/>
        </w:numPr>
        <w:autoSpaceDE/>
        <w:autoSpaceDN/>
        <w:adjustRightInd/>
        <w:spacing w:after="120"/>
        <w:jc w:val="both"/>
        <w:textAlignment w:val="auto"/>
        <w:rPr>
          <w:rFonts w:eastAsia="MS Mincho"/>
          <w:bCs/>
          <w:iCs/>
          <w:lang w:val="en-US"/>
        </w:rPr>
      </w:pPr>
      <w:r w:rsidRPr="00A53ED0">
        <w:rPr>
          <w:rFonts w:eastAsia="MS Mincho"/>
          <w:bCs/>
          <w:iCs/>
          <w:lang w:val="en-US"/>
        </w:rPr>
        <w:t>No other relaxations of maximum modulation order are specified for a RedCap UE.</w:t>
      </w:r>
    </w:p>
    <w:p w14:paraId="2964597D" w14:textId="77777777" w:rsidR="00A53ED0" w:rsidRPr="00A53ED0" w:rsidRDefault="00A53ED0" w:rsidP="00A53ED0">
      <w:pPr>
        <w:numPr>
          <w:ilvl w:val="1"/>
          <w:numId w:val="25"/>
        </w:numPr>
        <w:autoSpaceDE/>
        <w:autoSpaceDN/>
        <w:adjustRightInd/>
        <w:spacing w:after="120"/>
        <w:jc w:val="both"/>
        <w:textAlignment w:val="auto"/>
        <w:rPr>
          <w:rFonts w:eastAsia="MS Mincho"/>
          <w:bCs/>
          <w:iCs/>
          <w:lang w:val="en-US"/>
        </w:rPr>
      </w:pPr>
      <w:r w:rsidRPr="00A53ED0">
        <w:rPr>
          <w:rFonts w:eastAsia="MS Mincho"/>
          <w:bCs/>
          <w:iCs/>
          <w:lang w:val="en-US"/>
        </w:rPr>
        <w:t>Duplex operation:</w:t>
      </w:r>
    </w:p>
    <w:p w14:paraId="70C09335" w14:textId="09C9C670" w:rsidR="00A53ED0" w:rsidRPr="00A53ED0" w:rsidRDefault="00A53ED0" w:rsidP="00A53ED0">
      <w:pPr>
        <w:numPr>
          <w:ilvl w:val="2"/>
          <w:numId w:val="25"/>
        </w:numPr>
        <w:autoSpaceDE/>
        <w:autoSpaceDN/>
        <w:adjustRightInd/>
        <w:spacing w:after="120"/>
        <w:jc w:val="both"/>
        <w:textAlignment w:val="auto"/>
        <w:rPr>
          <w:rFonts w:eastAsia="MS Mincho"/>
          <w:bCs/>
          <w:iCs/>
          <w:lang w:val="en-US"/>
        </w:rPr>
      </w:pPr>
      <w:r w:rsidRPr="00A53ED0">
        <w:rPr>
          <w:rFonts w:eastAsia="MS Mincho"/>
          <w:bCs/>
          <w:iCs/>
          <w:lang w:val="en-US"/>
        </w:rPr>
        <w:t>HD-FDD type A with the minimum specification impact (Note that FD-FDD and TDD are also supported.)</w:t>
      </w:r>
    </w:p>
    <w:p w14:paraId="1C0F199E" w14:textId="5BE09691" w:rsidR="004772C9" w:rsidRPr="00DE5B89" w:rsidRDefault="00CA7198" w:rsidP="00783BCB">
      <w:pPr>
        <w:pStyle w:val="ListParagraph"/>
        <w:spacing w:before="240" w:after="120"/>
        <w:ind w:left="0"/>
        <w:contextualSpacing w:val="0"/>
        <w:jc w:val="both"/>
        <w:rPr>
          <w:rFonts w:ascii="Times" w:eastAsia="MS Mincho" w:hAnsi="Times" w:cs="Times"/>
          <w:lang w:val="en-US"/>
        </w:rPr>
      </w:pPr>
      <w:r w:rsidRPr="00DE5B89">
        <w:rPr>
          <w:lang w:val="en-US"/>
        </w:rPr>
        <w:t xml:space="preserve">In this contribution, we </w:t>
      </w:r>
      <w:r w:rsidR="00A53ED0">
        <w:rPr>
          <w:rFonts w:ascii="Times" w:eastAsia="MS Mincho" w:hAnsi="Times" w:cs="Times"/>
          <w:lang w:val="en-US"/>
        </w:rPr>
        <w:t xml:space="preserve">consider </w:t>
      </w:r>
      <w:r w:rsidR="005A4D66">
        <w:rPr>
          <w:rFonts w:ascii="Times" w:eastAsia="MS Mincho" w:hAnsi="Times" w:cs="Times"/>
          <w:lang w:val="en-US"/>
        </w:rPr>
        <w:t xml:space="preserve">RAN1 specification impact of </w:t>
      </w:r>
      <w:r w:rsidR="00A53ED0">
        <w:rPr>
          <w:rFonts w:ascii="Times" w:eastAsia="MS Mincho" w:hAnsi="Times" w:cs="Times"/>
          <w:lang w:val="en-US"/>
        </w:rPr>
        <w:t>UE complexity reduction features</w:t>
      </w:r>
      <w:r w:rsidR="005A4D66">
        <w:rPr>
          <w:rFonts w:ascii="Times" w:eastAsia="MS Mincho" w:hAnsi="Times" w:cs="Times"/>
          <w:lang w:val="en-US"/>
        </w:rPr>
        <w:t>, taking into consideration the need to minimize L1 changes</w:t>
      </w:r>
      <w:r w:rsidRPr="00DE5B89">
        <w:rPr>
          <w:rFonts w:ascii="Times" w:eastAsia="MS Mincho" w:hAnsi="Times" w:cs="Times"/>
          <w:lang w:val="en-US"/>
        </w:rPr>
        <w:t>.</w:t>
      </w:r>
      <w:bookmarkEnd w:id="7"/>
    </w:p>
    <w:p w14:paraId="0A5670C8" w14:textId="4E676087" w:rsidR="005B058D" w:rsidRPr="00DE5B89" w:rsidRDefault="000667E7" w:rsidP="005B058D">
      <w:pPr>
        <w:pStyle w:val="Heading1"/>
        <w:tabs>
          <w:tab w:val="clear" w:pos="1134"/>
          <w:tab w:val="num" w:pos="709"/>
        </w:tabs>
        <w:ind w:left="709" w:hanging="709"/>
        <w:rPr>
          <w:lang w:val="en-US"/>
        </w:rPr>
      </w:pPr>
      <w:bookmarkStart w:id="10" w:name="_Hlk525462634"/>
      <w:bookmarkStart w:id="11" w:name="_Hlk4137067"/>
      <w:bookmarkStart w:id="12" w:name="_Hlk520894743"/>
      <w:bookmarkStart w:id="13" w:name="_Hlk7596973"/>
      <w:r>
        <w:rPr>
          <w:lang w:val="en-US"/>
        </w:rPr>
        <w:t>Reduced maximum UE bandwidth</w:t>
      </w:r>
    </w:p>
    <w:bookmarkEnd w:id="10"/>
    <w:p w14:paraId="4AF4A869" w14:textId="4F7D314E" w:rsidR="00FA29A7" w:rsidRDefault="00C1091C" w:rsidP="00A2232A">
      <w:pPr>
        <w:jc w:val="both"/>
        <w:rPr>
          <w:bCs/>
          <w:noProof/>
          <w:lang w:val="en-US" w:eastAsia="en-GB"/>
        </w:rPr>
      </w:pPr>
      <w:r>
        <w:rPr>
          <w:bCs/>
          <w:noProof/>
          <w:lang w:val="en-US" w:eastAsia="en-GB"/>
        </w:rPr>
        <w:t xml:space="preserve">In </w:t>
      </w:r>
      <w:r w:rsidR="00FA29A7">
        <w:rPr>
          <w:bCs/>
          <w:noProof/>
          <w:lang w:val="en-US" w:eastAsia="en-GB"/>
        </w:rPr>
        <w:fldChar w:fldCharType="begin"/>
      </w:r>
      <w:r w:rsidR="00FA29A7">
        <w:rPr>
          <w:bCs/>
          <w:noProof/>
          <w:lang w:val="en-US" w:eastAsia="en-GB"/>
        </w:rPr>
        <w:instrText xml:space="preserve"> REF _Ref3999986 \r \h </w:instrText>
      </w:r>
      <w:r w:rsidR="00FA29A7">
        <w:rPr>
          <w:bCs/>
          <w:noProof/>
          <w:lang w:val="en-US" w:eastAsia="en-GB"/>
        </w:rPr>
      </w:r>
      <w:r w:rsidR="00FA29A7">
        <w:rPr>
          <w:bCs/>
          <w:noProof/>
          <w:lang w:val="en-US" w:eastAsia="en-GB"/>
        </w:rPr>
        <w:fldChar w:fldCharType="separate"/>
      </w:r>
      <w:r w:rsidR="00343309">
        <w:rPr>
          <w:bCs/>
          <w:noProof/>
          <w:lang w:val="en-US" w:eastAsia="en-GB"/>
        </w:rPr>
        <w:t>[1]</w:t>
      </w:r>
      <w:r w:rsidR="00FA29A7">
        <w:rPr>
          <w:bCs/>
          <w:noProof/>
          <w:lang w:val="en-US" w:eastAsia="en-GB"/>
        </w:rPr>
        <w:fldChar w:fldCharType="end"/>
      </w:r>
      <w:r w:rsidR="00FA29A7">
        <w:rPr>
          <w:bCs/>
          <w:noProof/>
          <w:lang w:val="en-US" w:eastAsia="en-GB"/>
        </w:rPr>
        <w:t xml:space="preserve">, it was agreed that the maximum bandwidth for FR1 and FR2 RedCap UEs during and after initial access would be 20 and 100 MHz, respectively. In </w:t>
      </w:r>
      <w:r>
        <w:rPr>
          <w:bCs/>
          <w:noProof/>
          <w:lang w:val="en-US" w:eastAsia="en-GB"/>
        </w:rPr>
        <w:t xml:space="preserve">addition, </w:t>
      </w:r>
      <w:r w:rsidR="00FA29A7">
        <w:rPr>
          <w:bCs/>
          <w:noProof/>
          <w:lang w:val="en-US" w:eastAsia="en-GB"/>
        </w:rPr>
        <w:t>optional support of a wider bandwidth in FR1 up to 40 MHz after initial access will be discussed at RAN#91e.</w:t>
      </w:r>
      <w:r w:rsidR="00D15C7E">
        <w:rPr>
          <w:bCs/>
          <w:noProof/>
          <w:lang w:val="en-US" w:eastAsia="en-GB"/>
        </w:rPr>
        <w:t xml:space="preserve"> Furthermore, the WID states that </w:t>
      </w:r>
      <w:r w:rsidR="00D15C7E" w:rsidRPr="00D15C7E">
        <w:rPr>
          <w:bCs/>
          <w:noProof/>
          <w:lang w:val="en-US" w:eastAsia="en-GB"/>
        </w:rPr>
        <w:t>Rel-15 SSB bandwidth is reused and L1 changes minimized</w:t>
      </w:r>
      <w:r w:rsidR="00D15C7E">
        <w:rPr>
          <w:bCs/>
          <w:noProof/>
          <w:lang w:val="en-US" w:eastAsia="en-GB"/>
        </w:rPr>
        <w:t>.</w:t>
      </w:r>
    </w:p>
    <w:p w14:paraId="5ABA019A" w14:textId="7F48101E" w:rsidR="00EA0781" w:rsidRDefault="00245E48" w:rsidP="00A2232A">
      <w:pPr>
        <w:jc w:val="both"/>
        <w:rPr>
          <w:bCs/>
          <w:noProof/>
          <w:lang w:val="en-US" w:eastAsia="en-GB"/>
        </w:rPr>
      </w:pPr>
      <w:r>
        <w:rPr>
          <w:bCs/>
          <w:noProof/>
          <w:lang w:val="en-US" w:eastAsia="en-GB"/>
        </w:rPr>
        <w:lastRenderedPageBreak/>
        <w:t xml:space="preserve">For initial access, </w:t>
      </w:r>
      <w:r w:rsidR="009D05DF">
        <w:rPr>
          <w:bCs/>
          <w:noProof/>
          <w:lang w:val="en-US" w:eastAsia="en-GB"/>
        </w:rPr>
        <w:t xml:space="preserve">the bandwidth of the SSB, CORESET0, and SIB1 are within the maximum bandwidth for FR1 and FR2 RedCap UEs. Therefore, existing SSB, CORESET0 and SIB1 design can be reused for RedCap UEs. Furthermore, in </w:t>
      </w:r>
      <w:r w:rsidR="009D05DF">
        <w:rPr>
          <w:bCs/>
          <w:noProof/>
          <w:lang w:val="en-US" w:eastAsia="en-GB"/>
        </w:rPr>
        <w:fldChar w:fldCharType="begin"/>
      </w:r>
      <w:r w:rsidR="009D05DF">
        <w:rPr>
          <w:bCs/>
          <w:noProof/>
          <w:lang w:val="en-US" w:eastAsia="en-GB"/>
        </w:rPr>
        <w:instrText xml:space="preserve"> REF _Ref60741089 \r \h </w:instrText>
      </w:r>
      <w:r w:rsidR="009D05DF">
        <w:rPr>
          <w:bCs/>
          <w:noProof/>
          <w:lang w:val="en-US" w:eastAsia="en-GB"/>
        </w:rPr>
      </w:r>
      <w:r w:rsidR="009D05DF">
        <w:rPr>
          <w:bCs/>
          <w:noProof/>
          <w:lang w:val="en-US" w:eastAsia="en-GB"/>
        </w:rPr>
        <w:fldChar w:fldCharType="separate"/>
      </w:r>
      <w:r w:rsidR="00343309">
        <w:rPr>
          <w:bCs/>
          <w:noProof/>
          <w:lang w:val="en-US" w:eastAsia="en-GB"/>
        </w:rPr>
        <w:t>[2]</w:t>
      </w:r>
      <w:r w:rsidR="009D05DF">
        <w:rPr>
          <w:bCs/>
          <w:noProof/>
          <w:lang w:val="en-US" w:eastAsia="en-GB"/>
        </w:rPr>
        <w:fldChar w:fldCharType="end"/>
      </w:r>
      <w:r w:rsidR="009D05DF">
        <w:rPr>
          <w:bCs/>
          <w:noProof/>
          <w:lang w:val="en-US" w:eastAsia="en-GB"/>
        </w:rPr>
        <w:t xml:space="preserve">, it was concluded that there is no coverage issue with SSB, CORESET0 and SIB1 for RedCap UEs except for the case of FR1 TDD with 1Rx and reduced antenna efficiency where a small enhancement for PDCCH CSS (e.g. 1dB) may be needed. </w:t>
      </w:r>
      <w:r w:rsidR="00EA0781">
        <w:rPr>
          <w:bCs/>
          <w:noProof/>
          <w:lang w:val="en-US" w:eastAsia="en-GB"/>
        </w:rPr>
        <w:t xml:space="preserve">It was noted that, for FR2, SSB and CORESET0 may be multiplexed together in the frequency domain. In some cases, the bandwidth exceeds 100 MHz. While this would require the UE to first receive the SSB then retune to receive CORESET0 in a time-multiplexed manner, there is no issue with this configuration. In practice, it means that some multiplexing configurations may require longer acquisition time, but latency is not expected to be an issue for RedCap UEs. Therefore, we propose to reuse existing SSB, CORESET0, and SIB1 design for RedCap UEs. The SSB and CORESET0 design may be reused without any changes. For SIB1, additional parameters related to RedCap may be added. However, this is no difference than adding additional parameters to support other features. </w:t>
      </w:r>
    </w:p>
    <w:p w14:paraId="67EE79C2" w14:textId="765CC70E" w:rsidR="00EA0781" w:rsidRDefault="00EA0781" w:rsidP="00EA0781">
      <w:pPr>
        <w:jc w:val="both"/>
        <w:rPr>
          <w:bCs/>
          <w:noProof/>
          <w:lang w:val="en-US" w:eastAsia="en-GB"/>
        </w:rPr>
      </w:pPr>
      <w:r>
        <w:rPr>
          <w:b/>
          <w:bCs/>
          <w:noProof/>
          <w:lang w:val="en-US" w:eastAsia="en-GB"/>
        </w:rPr>
        <w:t xml:space="preserve">Proposal 1: Reuse </w:t>
      </w:r>
      <w:r w:rsidR="00416C7D">
        <w:rPr>
          <w:b/>
          <w:bCs/>
          <w:noProof/>
          <w:lang w:val="en-US" w:eastAsia="en-GB"/>
        </w:rPr>
        <w:t xml:space="preserve">Rel-15 </w:t>
      </w:r>
      <w:r>
        <w:rPr>
          <w:b/>
          <w:bCs/>
          <w:noProof/>
          <w:lang w:val="en-US" w:eastAsia="en-GB"/>
        </w:rPr>
        <w:t>SSB, CORESET0, and SIB1 design for RedCap UEs.</w:t>
      </w:r>
    </w:p>
    <w:p w14:paraId="32742E73" w14:textId="2F5E7F42" w:rsidR="00D15C7E" w:rsidRDefault="00E4074A" w:rsidP="00A2232A">
      <w:pPr>
        <w:jc w:val="both"/>
        <w:rPr>
          <w:bCs/>
          <w:noProof/>
          <w:lang w:val="en-US" w:eastAsia="en-GB"/>
        </w:rPr>
      </w:pPr>
      <w:r>
        <w:rPr>
          <w:bCs/>
          <w:noProof/>
          <w:lang w:val="en-US" w:eastAsia="en-GB"/>
        </w:rPr>
        <w:t xml:space="preserve">One issue to be addressed is with respect to UE </w:t>
      </w:r>
      <w:r w:rsidRPr="00E4074A">
        <w:rPr>
          <w:bCs/>
          <w:noProof/>
          <w:lang w:val="en-US" w:eastAsia="en-GB"/>
        </w:rPr>
        <w:t xml:space="preserve">transmission or reception beyond its </w:t>
      </w:r>
      <w:r>
        <w:rPr>
          <w:bCs/>
          <w:noProof/>
          <w:lang w:val="en-US" w:eastAsia="en-GB"/>
        </w:rPr>
        <w:t xml:space="preserve">current </w:t>
      </w:r>
      <w:r w:rsidRPr="00E4074A">
        <w:rPr>
          <w:bCs/>
          <w:noProof/>
          <w:lang w:val="en-US" w:eastAsia="en-GB"/>
        </w:rPr>
        <w:t>frequency range</w:t>
      </w:r>
      <w:r>
        <w:rPr>
          <w:bCs/>
          <w:noProof/>
          <w:lang w:val="en-US" w:eastAsia="en-GB"/>
        </w:rPr>
        <w:t>. This can happen in several situations</w:t>
      </w:r>
      <w:r w:rsidR="00013FF2">
        <w:rPr>
          <w:bCs/>
          <w:noProof/>
          <w:lang w:val="en-US" w:eastAsia="en-GB"/>
        </w:rPr>
        <w:t xml:space="preserve"> when the configured BWP is larger than the maximum UE bandwidth</w:t>
      </w:r>
      <w:r>
        <w:rPr>
          <w:bCs/>
          <w:noProof/>
          <w:lang w:val="en-US" w:eastAsia="en-GB"/>
        </w:rPr>
        <w:t>, for example –</w:t>
      </w:r>
    </w:p>
    <w:p w14:paraId="492B92DC" w14:textId="77777777" w:rsidR="00E4074A" w:rsidRDefault="00E4074A" w:rsidP="00E4074A">
      <w:pPr>
        <w:pStyle w:val="ListParagraph"/>
        <w:numPr>
          <w:ilvl w:val="0"/>
          <w:numId w:val="27"/>
        </w:numPr>
        <w:jc w:val="both"/>
        <w:rPr>
          <w:bCs/>
          <w:noProof/>
          <w:lang w:val="en-US" w:eastAsia="en-GB"/>
        </w:rPr>
      </w:pPr>
      <w:r>
        <w:rPr>
          <w:bCs/>
          <w:noProof/>
          <w:lang w:val="en-US" w:eastAsia="en-GB"/>
        </w:rPr>
        <w:t>PRACH occasions that are frequency mutiplexed such that the total frequency range of the PRACH extend beyond the maximum UE bandwidth</w:t>
      </w:r>
    </w:p>
    <w:p w14:paraId="72E338F4" w14:textId="77777777" w:rsidR="00E4074A" w:rsidRDefault="00E4074A" w:rsidP="00E4074A">
      <w:pPr>
        <w:pStyle w:val="ListParagraph"/>
        <w:numPr>
          <w:ilvl w:val="0"/>
          <w:numId w:val="27"/>
        </w:numPr>
        <w:jc w:val="both"/>
        <w:rPr>
          <w:bCs/>
          <w:noProof/>
          <w:lang w:val="en-US" w:eastAsia="en-GB"/>
        </w:rPr>
      </w:pPr>
      <w:r>
        <w:rPr>
          <w:bCs/>
          <w:noProof/>
          <w:lang w:val="en-US" w:eastAsia="en-GB"/>
        </w:rPr>
        <w:t>PUCCH frequency hopping on the BWP edges when the uplink BWP is larger than the maximum UE bandwidth</w:t>
      </w:r>
    </w:p>
    <w:p w14:paraId="7ED608F0" w14:textId="736F47F1" w:rsidR="00E4074A" w:rsidRPr="00E4074A" w:rsidRDefault="00E4074A" w:rsidP="00E4074A">
      <w:pPr>
        <w:pStyle w:val="ListParagraph"/>
        <w:numPr>
          <w:ilvl w:val="0"/>
          <w:numId w:val="27"/>
        </w:numPr>
        <w:jc w:val="both"/>
        <w:rPr>
          <w:bCs/>
          <w:noProof/>
          <w:lang w:val="en-US" w:eastAsia="en-GB"/>
        </w:rPr>
      </w:pPr>
      <w:r>
        <w:rPr>
          <w:bCs/>
          <w:noProof/>
          <w:lang w:val="en-US" w:eastAsia="en-GB"/>
        </w:rPr>
        <w:t xml:space="preserve">PDSCH or PUSCH transmission on the BWP where the BWP is larger than the maximum UE bandwidth (e.g. in FR1, if the BWP is 50 MHz, the UE maybe allocated resources within the BWP that is beyond maximum UE BW the as shown in </w:t>
      </w:r>
      <w:r>
        <w:rPr>
          <w:bCs/>
          <w:noProof/>
          <w:lang w:val="en-US" w:eastAsia="en-GB"/>
        </w:rPr>
        <w:fldChar w:fldCharType="begin"/>
      </w:r>
      <w:r>
        <w:rPr>
          <w:bCs/>
          <w:noProof/>
          <w:lang w:val="en-US" w:eastAsia="en-GB"/>
        </w:rPr>
        <w:instrText xml:space="preserve"> REF _Ref59284686 \h </w:instrText>
      </w:r>
      <w:r>
        <w:rPr>
          <w:bCs/>
          <w:noProof/>
          <w:lang w:val="en-US" w:eastAsia="en-GB"/>
        </w:rPr>
      </w:r>
      <w:r>
        <w:rPr>
          <w:bCs/>
          <w:noProof/>
          <w:lang w:val="en-US" w:eastAsia="en-GB"/>
        </w:rPr>
        <w:fldChar w:fldCharType="separate"/>
      </w:r>
      <w:r w:rsidR="00343309" w:rsidRPr="000F61D7">
        <w:t xml:space="preserve">Figure </w:t>
      </w:r>
      <w:r w:rsidR="00343309">
        <w:rPr>
          <w:noProof/>
        </w:rPr>
        <w:t>1</w:t>
      </w:r>
      <w:r>
        <w:rPr>
          <w:bCs/>
          <w:noProof/>
          <w:lang w:val="en-US" w:eastAsia="en-GB"/>
        </w:rPr>
        <w:fldChar w:fldCharType="end"/>
      </w:r>
      <w:r>
        <w:rPr>
          <w:bCs/>
          <w:noProof/>
          <w:lang w:val="en-US" w:eastAsia="en-GB"/>
        </w:rPr>
        <w:t xml:space="preserve">)   </w:t>
      </w:r>
    </w:p>
    <w:p w14:paraId="6ECEB5D9" w14:textId="07F8C737" w:rsidR="00E4074A" w:rsidRDefault="00CC5C76" w:rsidP="00E4074A">
      <w:pPr>
        <w:keepNext/>
        <w:spacing w:before="120"/>
        <w:ind w:left="357"/>
        <w:jc w:val="center"/>
      </w:pPr>
      <w:r w:rsidRPr="00CC5C76">
        <w:rPr>
          <w:noProof/>
        </w:rPr>
        <w:drawing>
          <wp:inline distT="0" distB="0" distL="0" distR="0" wp14:anchorId="76049A0C" wp14:editId="6DFF36AF">
            <wp:extent cx="4003200" cy="2642400"/>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03200" cy="2642400"/>
                    </a:xfrm>
                    <a:prstGeom prst="rect">
                      <a:avLst/>
                    </a:prstGeom>
                    <a:noFill/>
                    <a:ln>
                      <a:noFill/>
                    </a:ln>
                  </pic:spPr>
                </pic:pic>
              </a:graphicData>
            </a:graphic>
          </wp:inline>
        </w:drawing>
      </w:r>
    </w:p>
    <w:p w14:paraId="0B233F5F" w14:textId="01897C19" w:rsidR="00E4074A" w:rsidRDefault="00E4074A" w:rsidP="00E4074A">
      <w:pPr>
        <w:pStyle w:val="Caption"/>
        <w:jc w:val="center"/>
        <w:rPr>
          <w:i/>
        </w:rPr>
      </w:pPr>
      <w:bookmarkStart w:id="14" w:name="_Ref59284686"/>
      <w:r w:rsidRPr="000F61D7">
        <w:t xml:space="preserve">Figure </w:t>
      </w:r>
      <w:r w:rsidRPr="000F61D7">
        <w:rPr>
          <w:i/>
        </w:rPr>
        <w:fldChar w:fldCharType="begin"/>
      </w:r>
      <w:r w:rsidRPr="000F61D7">
        <w:instrText xml:space="preserve"> SEQ Figure \* ARABIC </w:instrText>
      </w:r>
      <w:r w:rsidRPr="000F61D7">
        <w:rPr>
          <w:i/>
        </w:rPr>
        <w:fldChar w:fldCharType="separate"/>
      </w:r>
      <w:r w:rsidR="00343309">
        <w:rPr>
          <w:noProof/>
        </w:rPr>
        <w:t>1</w:t>
      </w:r>
      <w:r w:rsidRPr="000F61D7">
        <w:rPr>
          <w:i/>
        </w:rPr>
        <w:fldChar w:fldCharType="end"/>
      </w:r>
      <w:bookmarkEnd w:id="14"/>
      <w:r w:rsidRPr="000F61D7">
        <w:t xml:space="preserve">. </w:t>
      </w:r>
      <w:r>
        <w:rPr>
          <w:lang w:val="en-US"/>
        </w:rPr>
        <w:t>RedCap UE operating in wideband BWP</w:t>
      </w:r>
      <w:r w:rsidR="00CC5C76">
        <w:rPr>
          <w:lang w:val="en-US"/>
        </w:rPr>
        <w:t xml:space="preserve"> (FR1)</w:t>
      </w:r>
      <w:r w:rsidRPr="000F61D7">
        <w:t>.</w:t>
      </w:r>
    </w:p>
    <w:p w14:paraId="1A5FF88B" w14:textId="3D88DE29" w:rsidR="00E4074A" w:rsidRDefault="005F1F9D" w:rsidP="00A2232A">
      <w:pPr>
        <w:jc w:val="both"/>
        <w:rPr>
          <w:bCs/>
          <w:noProof/>
          <w:lang w:val="en-US" w:eastAsia="en-GB"/>
        </w:rPr>
      </w:pPr>
      <w:r>
        <w:rPr>
          <w:bCs/>
          <w:noProof/>
          <w:lang w:val="en-US" w:eastAsia="en-GB"/>
        </w:rPr>
        <w:t xml:space="preserve">This RF re-tuning will allow for </w:t>
      </w:r>
      <w:r w:rsidR="00CC5C76">
        <w:rPr>
          <w:bCs/>
          <w:noProof/>
          <w:lang w:val="en-US" w:eastAsia="en-GB"/>
        </w:rPr>
        <w:t xml:space="preserve">efficient operation and seemless coexistence with legacy UE. However, the issues of center frequency and re-tuning time need to be discussed. It may be so that the center frequency can be left up to UE implementation or addressed in RAN4. However, the re-tuning time </w:t>
      </w:r>
      <w:r w:rsidR="00267686">
        <w:rPr>
          <w:bCs/>
          <w:noProof/>
          <w:lang w:val="en-US" w:eastAsia="en-GB"/>
        </w:rPr>
        <w:t>may</w:t>
      </w:r>
      <w:r w:rsidR="00CC5C76">
        <w:rPr>
          <w:bCs/>
          <w:noProof/>
          <w:lang w:val="en-US" w:eastAsia="en-GB"/>
        </w:rPr>
        <w:t xml:space="preserve"> need some discussion in RAN1</w:t>
      </w:r>
      <w:r w:rsidR="006429C5">
        <w:rPr>
          <w:bCs/>
          <w:noProof/>
          <w:lang w:val="en-US" w:eastAsia="en-GB"/>
        </w:rPr>
        <w:t>.</w:t>
      </w:r>
    </w:p>
    <w:p w14:paraId="3AC1BC40" w14:textId="155F0FC9" w:rsidR="00E31330" w:rsidRDefault="006239D1" w:rsidP="00E31330">
      <w:pPr>
        <w:jc w:val="both"/>
        <w:rPr>
          <w:bCs/>
          <w:noProof/>
          <w:lang w:val="en-US" w:eastAsia="en-GB"/>
        </w:rPr>
      </w:pPr>
      <w:r>
        <w:rPr>
          <w:bCs/>
          <w:noProof/>
          <w:lang w:val="en-US" w:eastAsia="en-GB"/>
        </w:rPr>
        <w:t>Furthermore, i</w:t>
      </w:r>
      <w:r w:rsidR="00E31330">
        <w:rPr>
          <w:bCs/>
          <w:noProof/>
          <w:lang w:val="en-US" w:eastAsia="en-GB"/>
        </w:rPr>
        <w:t>n case that gNB allocates bandwidth to RedCap UE that is larger than its maximum bandwidth, this is an error case and it can be discussed whether UE behavior needs to be defined. In general, this error behavior is up to gNB implementation to avoid and UE behavior is not defined.</w:t>
      </w:r>
    </w:p>
    <w:p w14:paraId="3FD74600" w14:textId="5C5A7AF4" w:rsidR="006F520A" w:rsidRDefault="00E31330" w:rsidP="006F520A">
      <w:pPr>
        <w:jc w:val="both"/>
        <w:rPr>
          <w:bCs/>
          <w:noProof/>
          <w:lang w:val="en-US" w:eastAsia="en-GB"/>
        </w:rPr>
      </w:pPr>
      <w:r>
        <w:rPr>
          <w:bCs/>
          <w:noProof/>
          <w:lang w:val="en-US" w:eastAsia="en-GB"/>
        </w:rPr>
        <w:t xml:space="preserve">Alternately, RedCap UE could be restricted to </w:t>
      </w:r>
      <w:r w:rsidR="007A6C7A">
        <w:rPr>
          <w:bCs/>
          <w:noProof/>
          <w:lang w:val="en-US" w:eastAsia="en-GB"/>
        </w:rPr>
        <w:t>only operate</w:t>
      </w:r>
      <w:r>
        <w:rPr>
          <w:bCs/>
          <w:noProof/>
          <w:lang w:val="en-US" w:eastAsia="en-GB"/>
        </w:rPr>
        <w:t xml:space="preserve"> in BWP that is smaller than or equal to the maximum UE bandwidth. In this case, there would be no issue </w:t>
      </w:r>
      <w:r w:rsidR="006239D1">
        <w:rPr>
          <w:bCs/>
          <w:noProof/>
          <w:lang w:val="en-US" w:eastAsia="en-GB"/>
        </w:rPr>
        <w:t xml:space="preserve">with wideband operation </w:t>
      </w:r>
      <w:r>
        <w:rPr>
          <w:bCs/>
          <w:noProof/>
          <w:lang w:val="en-US" w:eastAsia="en-GB"/>
        </w:rPr>
        <w:t xml:space="preserve">as discussed above. </w:t>
      </w:r>
      <w:r w:rsidR="006239D1">
        <w:rPr>
          <w:bCs/>
          <w:noProof/>
          <w:lang w:val="en-US" w:eastAsia="en-GB"/>
        </w:rPr>
        <w:t>However, t</w:t>
      </w:r>
      <w:r w:rsidR="00223CD6">
        <w:rPr>
          <w:bCs/>
          <w:noProof/>
          <w:lang w:val="en-US" w:eastAsia="en-GB"/>
        </w:rPr>
        <w:t xml:space="preserve">his means that there may be some restrictions on the legacy UE as the network would be limited in configuring the initial BWPs such that they are within the maximum UE bandwidth. </w:t>
      </w:r>
      <w:r w:rsidR="001542C7">
        <w:rPr>
          <w:bCs/>
          <w:noProof/>
          <w:lang w:val="en-US" w:eastAsia="en-GB"/>
        </w:rPr>
        <w:t>In our understanding, in NR, the UE is not allowed to access the system if the initial bandwidth part is larger than the supported bandwidth per RRC specification. In 38.331, it states –</w:t>
      </w:r>
    </w:p>
    <w:p w14:paraId="6906A69D" w14:textId="3469DD45" w:rsidR="001542C7" w:rsidRPr="00325D1F" w:rsidRDefault="006F520A" w:rsidP="006F520A">
      <w:pPr>
        <w:pStyle w:val="B2"/>
        <w:spacing w:after="0"/>
      </w:pPr>
      <w:r w:rsidRPr="00325D1F">
        <w:t>2&gt;</w:t>
      </w:r>
      <w:r w:rsidRPr="00325D1F">
        <w:tab/>
      </w:r>
      <w:r w:rsidR="001542C7" w:rsidRPr="00325D1F">
        <w:t>if the UE supports an uplink channel bandwidth with a maximum transmission bandwidth configuration (see TS 38.101-1 [15] and TS 38.101-2 [39]) which</w:t>
      </w:r>
    </w:p>
    <w:p w14:paraId="3F32B911" w14:textId="77777777" w:rsidR="001542C7" w:rsidRPr="00325D1F" w:rsidRDefault="001542C7" w:rsidP="001542C7">
      <w:pPr>
        <w:pStyle w:val="B3"/>
        <w:spacing w:after="0"/>
      </w:pPr>
      <w:r w:rsidRPr="00325D1F">
        <w:t>-</w:t>
      </w:r>
      <w:r w:rsidRPr="00325D1F">
        <w:tab/>
        <w:t xml:space="preserve">is smaller than or equal to the </w:t>
      </w:r>
      <w:proofErr w:type="spellStart"/>
      <w:r w:rsidRPr="00325D1F">
        <w:rPr>
          <w:i/>
        </w:rPr>
        <w:t>carrierBandwidth</w:t>
      </w:r>
      <w:proofErr w:type="spellEnd"/>
      <w:r w:rsidRPr="00325D1F">
        <w:t xml:space="preserve"> (indicated in </w:t>
      </w:r>
      <w:proofErr w:type="spellStart"/>
      <w:r w:rsidRPr="00325D1F">
        <w:rPr>
          <w:i/>
        </w:rPr>
        <w:t>uplinkConfigCommon</w:t>
      </w:r>
      <w:proofErr w:type="spellEnd"/>
      <w:r w:rsidRPr="00325D1F">
        <w:t xml:space="preserve"> for the SCS of the initial uplink BWP), and which</w:t>
      </w:r>
    </w:p>
    <w:p w14:paraId="17F28776" w14:textId="77777777" w:rsidR="001542C7" w:rsidRPr="00325D1F" w:rsidRDefault="001542C7" w:rsidP="001542C7">
      <w:pPr>
        <w:pStyle w:val="B3"/>
      </w:pPr>
      <w:r w:rsidRPr="00325D1F">
        <w:t>-</w:t>
      </w:r>
      <w:r w:rsidRPr="00325D1F">
        <w:tab/>
        <w:t>is wider than or equal to the bandwidth of the initial uplink BWP, and</w:t>
      </w:r>
    </w:p>
    <w:p w14:paraId="4E437BE1" w14:textId="77777777" w:rsidR="001542C7" w:rsidRPr="00325D1F" w:rsidRDefault="001542C7" w:rsidP="001542C7">
      <w:pPr>
        <w:pStyle w:val="B2"/>
        <w:spacing w:after="0"/>
      </w:pPr>
      <w:r w:rsidRPr="00325D1F">
        <w:t>2&gt;</w:t>
      </w:r>
      <w:r w:rsidRPr="00325D1F">
        <w:tab/>
        <w:t>if the UE supports a downlink channel bandwidth with a maximum transmission bandwidth configuration (see TS 38.101-1 [15] and TS 38.101-2 [39]) which</w:t>
      </w:r>
    </w:p>
    <w:p w14:paraId="0DF4418E" w14:textId="77777777" w:rsidR="001542C7" w:rsidRPr="00325D1F" w:rsidRDefault="001542C7" w:rsidP="001542C7">
      <w:pPr>
        <w:pStyle w:val="B3"/>
        <w:spacing w:after="0"/>
      </w:pPr>
      <w:r w:rsidRPr="00325D1F">
        <w:t>-</w:t>
      </w:r>
      <w:r w:rsidRPr="00325D1F">
        <w:tab/>
        <w:t xml:space="preserve">is smaller than or equal to the </w:t>
      </w:r>
      <w:proofErr w:type="spellStart"/>
      <w:r w:rsidRPr="00325D1F">
        <w:rPr>
          <w:i/>
        </w:rPr>
        <w:t>carrierBandwidth</w:t>
      </w:r>
      <w:proofErr w:type="spellEnd"/>
      <w:r w:rsidRPr="00325D1F">
        <w:t xml:space="preserve"> (indicated in </w:t>
      </w:r>
      <w:proofErr w:type="spellStart"/>
      <w:r w:rsidRPr="00325D1F">
        <w:rPr>
          <w:i/>
        </w:rPr>
        <w:t>downlinkConfigCommon</w:t>
      </w:r>
      <w:proofErr w:type="spellEnd"/>
      <w:r w:rsidRPr="00325D1F">
        <w:t xml:space="preserve"> for the SCS of the initial downlink BWP), and which</w:t>
      </w:r>
    </w:p>
    <w:p w14:paraId="6E839DC1" w14:textId="77777777" w:rsidR="001542C7" w:rsidRPr="00325D1F" w:rsidRDefault="001542C7" w:rsidP="006F520A">
      <w:pPr>
        <w:pStyle w:val="B3"/>
        <w:spacing w:after="120"/>
      </w:pPr>
      <w:r w:rsidRPr="00325D1F">
        <w:t>-</w:t>
      </w:r>
      <w:r w:rsidRPr="00325D1F">
        <w:tab/>
        <w:t>is wider than or equal to the bandwidth of the initial downlink BWP:</w:t>
      </w:r>
    </w:p>
    <w:p w14:paraId="3552F591" w14:textId="3899EE65" w:rsidR="001542C7" w:rsidRDefault="001542C7" w:rsidP="00A34384">
      <w:pPr>
        <w:jc w:val="both"/>
        <w:rPr>
          <w:bCs/>
          <w:noProof/>
          <w:lang w:val="en-US" w:eastAsia="en-GB"/>
        </w:rPr>
      </w:pPr>
      <w:r>
        <w:rPr>
          <w:bCs/>
          <w:noProof/>
          <w:lang w:val="en-US" w:eastAsia="en-GB"/>
        </w:rPr>
        <w:t>….</w:t>
      </w:r>
    </w:p>
    <w:p w14:paraId="5232287B" w14:textId="77777777" w:rsidR="001542C7" w:rsidRPr="00325D1F" w:rsidRDefault="001542C7" w:rsidP="001542C7">
      <w:pPr>
        <w:pStyle w:val="B2"/>
      </w:pPr>
      <w:r w:rsidRPr="00325D1F">
        <w:t>2&gt;</w:t>
      </w:r>
      <w:r w:rsidRPr="00325D1F">
        <w:tab/>
        <w:t>else:</w:t>
      </w:r>
    </w:p>
    <w:p w14:paraId="6947D863" w14:textId="77777777" w:rsidR="001542C7" w:rsidRPr="00325D1F" w:rsidRDefault="001542C7" w:rsidP="001542C7">
      <w:pPr>
        <w:pStyle w:val="B3"/>
      </w:pPr>
      <w:r w:rsidRPr="00325D1F">
        <w:t>3&gt;</w:t>
      </w:r>
      <w:r w:rsidRPr="00325D1F">
        <w:tab/>
        <w:t>consider the cell as barred in accordance with TS 38.304 [20]; and</w:t>
      </w:r>
    </w:p>
    <w:p w14:paraId="044548C7" w14:textId="77777777" w:rsidR="001542C7" w:rsidRPr="00325D1F" w:rsidRDefault="001542C7" w:rsidP="001542C7">
      <w:pPr>
        <w:pStyle w:val="B3"/>
      </w:pPr>
      <w:r w:rsidRPr="00325D1F">
        <w:t>3&gt;</w:t>
      </w:r>
      <w:r w:rsidRPr="00325D1F">
        <w:tab/>
        <w:t xml:space="preserve">perform barring as if </w:t>
      </w:r>
      <w:proofErr w:type="spellStart"/>
      <w:r w:rsidRPr="00325D1F">
        <w:rPr>
          <w:i/>
        </w:rPr>
        <w:t>intraFreqReselection</w:t>
      </w:r>
      <w:proofErr w:type="spellEnd"/>
      <w:r w:rsidRPr="00325D1F">
        <w:t xml:space="preserve"> is set to </w:t>
      </w:r>
      <w:proofErr w:type="spellStart"/>
      <w:r w:rsidRPr="00325D1F">
        <w:rPr>
          <w:i/>
        </w:rPr>
        <w:t>notAllowed</w:t>
      </w:r>
      <w:proofErr w:type="spellEnd"/>
      <w:r w:rsidRPr="00325D1F">
        <w:t>;</w:t>
      </w:r>
    </w:p>
    <w:p w14:paraId="34B92B78" w14:textId="26061C97" w:rsidR="00582BE6" w:rsidRDefault="001542C7" w:rsidP="00A34384">
      <w:pPr>
        <w:jc w:val="both"/>
        <w:rPr>
          <w:bCs/>
          <w:noProof/>
          <w:lang w:val="en-US" w:eastAsia="en-GB"/>
        </w:rPr>
      </w:pPr>
      <w:r>
        <w:rPr>
          <w:bCs/>
          <w:noProof/>
          <w:lang w:val="en-US" w:eastAsia="en-GB"/>
        </w:rPr>
        <w:t>Therefore, RedCap UE should also follow this same procedue</w:t>
      </w:r>
      <w:r w:rsidR="00582BE6">
        <w:rPr>
          <w:bCs/>
          <w:noProof/>
          <w:lang w:val="en-US" w:eastAsia="en-GB"/>
        </w:rPr>
        <w:t xml:space="preserve">. </w:t>
      </w:r>
      <w:r w:rsidR="004A1DF6">
        <w:rPr>
          <w:bCs/>
          <w:noProof/>
          <w:lang w:val="en-US" w:eastAsia="en-GB"/>
        </w:rPr>
        <w:t xml:space="preserve">Furthermore, we don’t see a compelling reason to configure larger BWP for RedCap UE. </w:t>
      </w:r>
      <w:r w:rsidR="008F6E1C">
        <w:rPr>
          <w:bCs/>
          <w:noProof/>
          <w:lang w:val="en-US" w:eastAsia="en-GB"/>
        </w:rPr>
        <w:t>It</w:t>
      </w:r>
      <w:r w:rsidR="00582BE6">
        <w:rPr>
          <w:bCs/>
          <w:noProof/>
          <w:lang w:val="en-US" w:eastAsia="en-GB"/>
        </w:rPr>
        <w:t xml:space="preserve"> is </w:t>
      </w:r>
      <w:r w:rsidR="008F6E1C">
        <w:rPr>
          <w:bCs/>
          <w:noProof/>
          <w:lang w:val="en-US" w:eastAsia="en-GB"/>
        </w:rPr>
        <w:t xml:space="preserve">then </w:t>
      </w:r>
      <w:r w:rsidR="00582BE6">
        <w:rPr>
          <w:bCs/>
          <w:noProof/>
          <w:lang w:val="en-US" w:eastAsia="en-GB"/>
        </w:rPr>
        <w:t>proposed that RedCap UE does not support BWP that is wider than the maximum UE bandwidth. This would apply for UE in idle, connected, and inactive states. It would be up to the network to ensure that the system is configured appropriately for RedCap.</w:t>
      </w:r>
      <w:r w:rsidR="00B16879">
        <w:rPr>
          <w:bCs/>
          <w:noProof/>
          <w:lang w:val="en-US" w:eastAsia="en-GB"/>
        </w:rPr>
        <w:t xml:space="preserve"> In our view, while this places some limitations on network configuration and potential legacy UE performance, we believe the liminations are relatively minor.</w:t>
      </w:r>
    </w:p>
    <w:p w14:paraId="6AAF3CAA" w14:textId="33FCED8B" w:rsidR="005E7A9F" w:rsidRPr="00426BFA" w:rsidRDefault="005E7A9F" w:rsidP="005E7A9F">
      <w:pPr>
        <w:jc w:val="both"/>
        <w:rPr>
          <w:b/>
          <w:bCs/>
          <w:lang w:val="en-US"/>
        </w:rPr>
      </w:pPr>
      <w:r>
        <w:rPr>
          <w:b/>
          <w:bCs/>
          <w:lang w:val="en-US"/>
        </w:rPr>
        <w:t xml:space="preserve">Proposal </w:t>
      </w:r>
      <w:r w:rsidR="001542C7">
        <w:rPr>
          <w:b/>
          <w:bCs/>
          <w:lang w:val="en-US"/>
        </w:rPr>
        <w:t>2</w:t>
      </w:r>
      <w:r>
        <w:rPr>
          <w:b/>
          <w:bCs/>
          <w:lang w:val="en-US"/>
        </w:rPr>
        <w:t>:</w:t>
      </w:r>
      <w:r w:rsidRPr="00426BFA">
        <w:rPr>
          <w:b/>
          <w:bCs/>
          <w:lang w:val="en-US"/>
        </w:rPr>
        <w:t xml:space="preserve"> </w:t>
      </w:r>
      <w:r w:rsidR="005577E9">
        <w:rPr>
          <w:b/>
          <w:bCs/>
          <w:lang w:val="en-US"/>
        </w:rPr>
        <w:t>RedCap UE does not support BWP that is wider than the maximum UE bandwidth</w:t>
      </w:r>
      <w:r>
        <w:rPr>
          <w:b/>
          <w:bCs/>
          <w:lang w:val="en-US"/>
        </w:rPr>
        <w:t>.</w:t>
      </w:r>
      <w:r w:rsidRPr="00426BFA">
        <w:rPr>
          <w:b/>
          <w:bCs/>
          <w:lang w:val="en-US"/>
        </w:rPr>
        <w:t xml:space="preserve"> </w:t>
      </w:r>
      <w:r>
        <w:rPr>
          <w:b/>
          <w:bCs/>
          <w:lang w:val="en-US"/>
        </w:rPr>
        <w:t xml:space="preserve"> </w:t>
      </w:r>
    </w:p>
    <w:p w14:paraId="35428473" w14:textId="024E829C" w:rsidR="00EC165F" w:rsidRDefault="009771FF" w:rsidP="006429C5">
      <w:pPr>
        <w:jc w:val="both"/>
        <w:rPr>
          <w:bCs/>
          <w:noProof/>
          <w:lang w:val="en-US" w:eastAsia="en-GB"/>
        </w:rPr>
      </w:pPr>
      <w:r>
        <w:rPr>
          <w:bCs/>
          <w:noProof/>
          <w:lang w:val="en-US" w:eastAsia="en-GB"/>
        </w:rPr>
        <w:t>In a related issue</w:t>
      </w:r>
      <w:r w:rsidR="006429C5">
        <w:rPr>
          <w:bCs/>
          <w:noProof/>
          <w:lang w:val="en-US" w:eastAsia="en-GB"/>
        </w:rPr>
        <w:t xml:space="preserve">, </w:t>
      </w:r>
      <w:r w:rsidR="00BD08BA">
        <w:rPr>
          <w:bCs/>
          <w:noProof/>
          <w:lang w:val="en-US" w:eastAsia="en-GB"/>
        </w:rPr>
        <w:t xml:space="preserve">the </w:t>
      </w:r>
      <w:r w:rsidR="004C5FFA">
        <w:rPr>
          <w:bCs/>
          <w:noProof/>
          <w:lang w:val="en-US" w:eastAsia="en-GB"/>
        </w:rPr>
        <w:t>gNB would need to know of the UE capability</w:t>
      </w:r>
      <w:r>
        <w:rPr>
          <w:bCs/>
          <w:noProof/>
          <w:lang w:val="en-US" w:eastAsia="en-GB"/>
        </w:rPr>
        <w:t xml:space="preserve"> in order to allocate </w:t>
      </w:r>
      <w:r w:rsidR="00287C0F">
        <w:rPr>
          <w:bCs/>
          <w:noProof/>
          <w:lang w:val="en-US" w:eastAsia="en-GB"/>
        </w:rPr>
        <w:t>resources accordingly</w:t>
      </w:r>
      <w:r w:rsidR="006429C5">
        <w:rPr>
          <w:bCs/>
          <w:noProof/>
          <w:lang w:val="en-US" w:eastAsia="en-GB"/>
        </w:rPr>
        <w:t>.</w:t>
      </w:r>
      <w:r w:rsidR="0011601E">
        <w:rPr>
          <w:bCs/>
          <w:noProof/>
          <w:lang w:val="en-US" w:eastAsia="en-GB"/>
        </w:rPr>
        <w:t xml:space="preserve"> Since Msg2 and Msg4 are transmitted within the CORESET0 bandwidth, there is no issue with RedCap UE. However, in case that the initial UL BWP is larger than the maximum UE bandwidth, the gNB would </w:t>
      </w:r>
      <w:r w:rsidR="000813FB">
        <w:rPr>
          <w:bCs/>
          <w:noProof/>
          <w:lang w:val="en-US" w:eastAsia="en-GB"/>
        </w:rPr>
        <w:t xml:space="preserve">either need to identify the UE </w:t>
      </w:r>
      <w:r w:rsidR="0011601E">
        <w:rPr>
          <w:bCs/>
          <w:noProof/>
          <w:lang w:val="en-US" w:eastAsia="en-GB"/>
        </w:rPr>
        <w:t>prior to Msg3</w:t>
      </w:r>
      <w:r w:rsidR="000813FB">
        <w:rPr>
          <w:bCs/>
          <w:noProof/>
          <w:lang w:val="en-US" w:eastAsia="en-GB"/>
        </w:rPr>
        <w:t xml:space="preserve"> or to restrict Msg3</w:t>
      </w:r>
      <w:r w:rsidR="00D37AD5">
        <w:rPr>
          <w:bCs/>
          <w:noProof/>
          <w:lang w:val="en-US" w:eastAsia="en-GB"/>
        </w:rPr>
        <w:t>/Msg5</w:t>
      </w:r>
      <w:r w:rsidR="000813FB">
        <w:rPr>
          <w:bCs/>
          <w:noProof/>
          <w:lang w:val="en-US" w:eastAsia="en-GB"/>
        </w:rPr>
        <w:t xml:space="preserve"> to within the UE bandwidth</w:t>
      </w:r>
      <w:r w:rsidR="0011601E">
        <w:rPr>
          <w:bCs/>
          <w:noProof/>
          <w:lang w:val="en-US" w:eastAsia="en-GB"/>
        </w:rPr>
        <w:t xml:space="preserve">. </w:t>
      </w:r>
      <w:r w:rsidR="00EC165F">
        <w:rPr>
          <w:bCs/>
          <w:noProof/>
          <w:lang w:val="en-US" w:eastAsia="en-GB"/>
        </w:rPr>
        <w:t>Generally</w:t>
      </w:r>
      <w:r w:rsidR="00E72B9C">
        <w:rPr>
          <w:bCs/>
          <w:noProof/>
          <w:lang w:val="en-US" w:eastAsia="en-GB"/>
        </w:rPr>
        <w:t xml:space="preserve"> Msg3 and Msg5 sizes are generally small and therefore do not require large transmission bandwidth</w:t>
      </w:r>
      <w:r w:rsidR="00EC165F">
        <w:rPr>
          <w:bCs/>
          <w:noProof/>
          <w:lang w:val="en-US" w:eastAsia="en-GB"/>
        </w:rPr>
        <w:t>. In the SI evaluation, Msg3 size is 56 bits and uses only 2 PRBs.</w:t>
      </w:r>
      <w:r w:rsidR="00C57019">
        <w:rPr>
          <w:bCs/>
          <w:noProof/>
          <w:lang w:val="en-US" w:eastAsia="en-GB"/>
        </w:rPr>
        <w:t xml:space="preserve"> Even the PUSCH for data transmission requires only 30 PRBs in the SI evaluation.</w:t>
      </w:r>
      <w:r w:rsidR="0052543F">
        <w:rPr>
          <w:bCs/>
          <w:noProof/>
          <w:lang w:val="en-US" w:eastAsia="en-GB"/>
        </w:rPr>
        <w:t xml:space="preserve"> Therefore, even if the initial UL bandwidth part is</w:t>
      </w:r>
      <w:r w:rsidR="00EC2FB5">
        <w:rPr>
          <w:bCs/>
          <w:noProof/>
          <w:lang w:val="en-US" w:eastAsia="en-GB"/>
        </w:rPr>
        <w:t xml:space="preserve"> allowed to be</w:t>
      </w:r>
      <w:r w:rsidR="0052543F">
        <w:rPr>
          <w:bCs/>
          <w:noProof/>
          <w:lang w:val="en-US" w:eastAsia="en-GB"/>
        </w:rPr>
        <w:t xml:space="preserve"> larger than maximum UE bandwidth, it is unlikely that the gNB would schedule the UE for Msg3/Msg5 with larger bandwidth. Therefore, from this perspective, there is no need to identify RedCap UE before Msg3.</w:t>
      </w:r>
    </w:p>
    <w:p w14:paraId="03C80D11" w14:textId="07BA55A4" w:rsidR="006429C5" w:rsidRDefault="0052543F" w:rsidP="006429C5">
      <w:pPr>
        <w:jc w:val="both"/>
        <w:rPr>
          <w:bCs/>
          <w:noProof/>
          <w:lang w:val="en-US" w:eastAsia="en-GB"/>
        </w:rPr>
      </w:pPr>
      <w:r>
        <w:rPr>
          <w:bCs/>
          <w:noProof/>
          <w:lang w:val="en-US" w:eastAsia="en-GB"/>
        </w:rPr>
        <w:t xml:space="preserve">However, </w:t>
      </w:r>
      <w:r w:rsidR="00E72B9C">
        <w:rPr>
          <w:bCs/>
          <w:noProof/>
          <w:lang w:val="en-US" w:eastAsia="en-GB"/>
        </w:rPr>
        <w:t xml:space="preserve">it has been concluded in </w:t>
      </w:r>
      <w:r w:rsidR="00E72B9C">
        <w:rPr>
          <w:bCs/>
          <w:noProof/>
          <w:lang w:val="en-US" w:eastAsia="en-GB"/>
        </w:rPr>
        <w:fldChar w:fldCharType="begin"/>
      </w:r>
      <w:r w:rsidR="00E72B9C">
        <w:rPr>
          <w:bCs/>
          <w:noProof/>
          <w:lang w:val="en-US" w:eastAsia="en-GB"/>
        </w:rPr>
        <w:instrText xml:space="preserve"> REF _Ref60741089 \n \h </w:instrText>
      </w:r>
      <w:r w:rsidR="00E72B9C">
        <w:rPr>
          <w:bCs/>
          <w:noProof/>
          <w:lang w:val="en-US" w:eastAsia="en-GB"/>
        </w:rPr>
      </w:r>
      <w:r w:rsidR="00E72B9C">
        <w:rPr>
          <w:bCs/>
          <w:noProof/>
          <w:lang w:val="en-US" w:eastAsia="en-GB"/>
        </w:rPr>
        <w:fldChar w:fldCharType="separate"/>
      </w:r>
      <w:r w:rsidR="00343309">
        <w:rPr>
          <w:bCs/>
          <w:noProof/>
          <w:lang w:val="en-US" w:eastAsia="en-GB"/>
        </w:rPr>
        <w:t>[2]</w:t>
      </w:r>
      <w:r w:rsidR="00E72B9C">
        <w:rPr>
          <w:bCs/>
          <w:noProof/>
          <w:lang w:val="en-US" w:eastAsia="en-GB"/>
        </w:rPr>
        <w:fldChar w:fldCharType="end"/>
      </w:r>
      <w:r w:rsidR="00E72B9C">
        <w:rPr>
          <w:bCs/>
          <w:noProof/>
          <w:lang w:val="en-US" w:eastAsia="en-GB"/>
        </w:rPr>
        <w:t xml:space="preserve"> that coverage enhancement of up to 3dB may be needed </w:t>
      </w:r>
      <w:r>
        <w:rPr>
          <w:bCs/>
          <w:noProof/>
          <w:lang w:val="en-US" w:eastAsia="en-GB"/>
        </w:rPr>
        <w:t xml:space="preserve">in FR1 </w:t>
      </w:r>
      <w:r w:rsidR="00E72B9C">
        <w:rPr>
          <w:bCs/>
          <w:noProof/>
          <w:lang w:val="en-US" w:eastAsia="en-GB"/>
        </w:rPr>
        <w:t>for Msg3</w:t>
      </w:r>
      <w:r w:rsidR="00164E99">
        <w:rPr>
          <w:bCs/>
          <w:noProof/>
          <w:lang w:val="en-US" w:eastAsia="en-GB"/>
        </w:rPr>
        <w:t xml:space="preserve"> for </w:t>
      </w:r>
      <w:r>
        <w:rPr>
          <w:bCs/>
          <w:noProof/>
          <w:lang w:val="en-US" w:eastAsia="en-GB"/>
        </w:rPr>
        <w:t xml:space="preserve">UE with </w:t>
      </w:r>
      <w:r w:rsidR="00164E99">
        <w:rPr>
          <w:bCs/>
          <w:noProof/>
          <w:lang w:val="en-US" w:eastAsia="en-GB"/>
        </w:rPr>
        <w:t>reduced antenna efficiency</w:t>
      </w:r>
      <w:r w:rsidR="00E72B9C">
        <w:rPr>
          <w:bCs/>
          <w:noProof/>
          <w:lang w:val="en-US" w:eastAsia="en-GB"/>
        </w:rPr>
        <w:t xml:space="preserve">. </w:t>
      </w:r>
      <w:r w:rsidR="004302FA">
        <w:rPr>
          <w:bCs/>
          <w:noProof/>
          <w:lang w:val="en-US" w:eastAsia="en-GB"/>
        </w:rPr>
        <w:t xml:space="preserve">In this case, it may be </w:t>
      </w:r>
      <w:r w:rsidR="0061512E">
        <w:rPr>
          <w:bCs/>
          <w:noProof/>
          <w:lang w:val="en-US" w:eastAsia="en-GB"/>
        </w:rPr>
        <w:t>necessary</w:t>
      </w:r>
      <w:r w:rsidR="004302FA">
        <w:rPr>
          <w:bCs/>
          <w:noProof/>
          <w:lang w:val="en-US" w:eastAsia="en-GB"/>
        </w:rPr>
        <w:t xml:space="preserve"> to identify such a UE prior to Msg3 in order to </w:t>
      </w:r>
      <w:r w:rsidR="00381731">
        <w:rPr>
          <w:bCs/>
          <w:noProof/>
          <w:lang w:val="en-US" w:eastAsia="en-GB"/>
        </w:rPr>
        <w:t>allow for Msg3 coverage enhancement</w:t>
      </w:r>
      <w:r w:rsidR="00F20982">
        <w:rPr>
          <w:bCs/>
          <w:noProof/>
          <w:lang w:val="en-US" w:eastAsia="en-GB"/>
        </w:rPr>
        <w:t xml:space="preserve"> (e.g. modified RAR grant and PUSCH transmission)</w:t>
      </w:r>
      <w:r w:rsidR="004302FA">
        <w:rPr>
          <w:bCs/>
          <w:noProof/>
          <w:lang w:val="en-US" w:eastAsia="en-GB"/>
        </w:rPr>
        <w:t>.</w:t>
      </w:r>
    </w:p>
    <w:p w14:paraId="4F0C999C" w14:textId="54CC718B" w:rsidR="00905AC8" w:rsidRDefault="00905AC8" w:rsidP="00905AC8">
      <w:pPr>
        <w:jc w:val="both"/>
        <w:rPr>
          <w:b/>
          <w:bCs/>
          <w:noProof/>
          <w:lang w:val="en-US" w:eastAsia="en-GB"/>
        </w:rPr>
      </w:pPr>
      <w:r w:rsidRPr="00343309">
        <w:rPr>
          <w:b/>
          <w:bCs/>
          <w:noProof/>
          <w:lang w:val="en-US" w:eastAsia="en-GB"/>
        </w:rPr>
        <w:t xml:space="preserve">Proposal 3: </w:t>
      </w:r>
      <w:r w:rsidR="00AB2E67" w:rsidRPr="00343309">
        <w:rPr>
          <w:b/>
          <w:bCs/>
          <w:noProof/>
          <w:lang w:val="en-US" w:eastAsia="en-GB"/>
        </w:rPr>
        <w:t>In</w:t>
      </w:r>
      <w:r w:rsidR="00D2639C" w:rsidRPr="00343309">
        <w:rPr>
          <w:b/>
          <w:bCs/>
          <w:noProof/>
          <w:lang w:val="en-US" w:eastAsia="en-GB"/>
        </w:rPr>
        <w:t xml:space="preserve"> FR1,</w:t>
      </w:r>
      <w:r w:rsidR="00D2639C">
        <w:rPr>
          <w:b/>
          <w:bCs/>
          <w:noProof/>
          <w:lang w:val="en-US" w:eastAsia="en-GB"/>
        </w:rPr>
        <w:t xml:space="preserve"> i</w:t>
      </w:r>
      <w:r w:rsidR="006A2DFF">
        <w:rPr>
          <w:b/>
          <w:bCs/>
          <w:noProof/>
          <w:lang w:val="en-US" w:eastAsia="en-GB"/>
        </w:rPr>
        <w:t xml:space="preserve">t </w:t>
      </w:r>
      <w:r w:rsidR="007F6A39">
        <w:rPr>
          <w:b/>
          <w:bCs/>
          <w:noProof/>
          <w:lang w:val="en-US" w:eastAsia="en-GB"/>
        </w:rPr>
        <w:t>may be</w:t>
      </w:r>
      <w:r w:rsidR="006A2DFF">
        <w:rPr>
          <w:b/>
          <w:bCs/>
          <w:noProof/>
          <w:lang w:val="en-US" w:eastAsia="en-GB"/>
        </w:rPr>
        <w:t xml:space="preserve"> </w:t>
      </w:r>
      <w:r w:rsidR="0061512E">
        <w:rPr>
          <w:b/>
          <w:bCs/>
          <w:noProof/>
          <w:lang w:val="en-US" w:eastAsia="en-GB"/>
        </w:rPr>
        <w:t>necessary</w:t>
      </w:r>
      <w:r w:rsidR="006A2DFF">
        <w:rPr>
          <w:b/>
          <w:bCs/>
          <w:noProof/>
          <w:lang w:val="en-US" w:eastAsia="en-GB"/>
        </w:rPr>
        <w:t xml:space="preserve"> to identify RedCap UE </w:t>
      </w:r>
      <w:r w:rsidR="00D2639C">
        <w:rPr>
          <w:b/>
          <w:bCs/>
          <w:noProof/>
          <w:lang w:val="en-US" w:eastAsia="en-GB"/>
        </w:rPr>
        <w:t xml:space="preserve">with reduced antenna efficiency </w:t>
      </w:r>
      <w:r w:rsidR="009F6C3E">
        <w:rPr>
          <w:b/>
          <w:bCs/>
          <w:noProof/>
          <w:lang w:val="en-US" w:eastAsia="en-GB"/>
        </w:rPr>
        <w:t>in Msg1</w:t>
      </w:r>
      <w:r w:rsidR="00C9469F">
        <w:rPr>
          <w:b/>
          <w:bCs/>
          <w:noProof/>
          <w:lang w:val="en-US" w:eastAsia="en-GB"/>
        </w:rPr>
        <w:t xml:space="preserve"> </w:t>
      </w:r>
      <w:r w:rsidR="0025413E">
        <w:rPr>
          <w:b/>
          <w:bCs/>
          <w:noProof/>
          <w:lang w:val="en-US" w:eastAsia="en-GB"/>
        </w:rPr>
        <w:t>if Msg3 coverage enhancement is needed</w:t>
      </w:r>
      <w:r>
        <w:rPr>
          <w:b/>
          <w:bCs/>
          <w:noProof/>
          <w:lang w:val="en-US" w:eastAsia="en-GB"/>
        </w:rPr>
        <w:t>.</w:t>
      </w:r>
      <w:r w:rsidR="00D2639C">
        <w:rPr>
          <w:b/>
          <w:bCs/>
          <w:noProof/>
          <w:lang w:val="en-US" w:eastAsia="en-GB"/>
        </w:rPr>
        <w:t xml:space="preserve"> </w:t>
      </w:r>
    </w:p>
    <w:p w14:paraId="193907C1" w14:textId="1C1B3D06" w:rsidR="00871781" w:rsidRDefault="00C0418E" w:rsidP="00A2232A">
      <w:pPr>
        <w:jc w:val="both"/>
        <w:rPr>
          <w:bCs/>
          <w:noProof/>
          <w:lang w:val="en-US" w:eastAsia="en-GB"/>
        </w:rPr>
      </w:pPr>
      <w:r>
        <w:rPr>
          <w:bCs/>
          <w:noProof/>
          <w:lang w:val="en-US" w:eastAsia="en-GB"/>
        </w:rPr>
        <w:t xml:space="preserve">One remaining issue with reduced bandwith is </w:t>
      </w:r>
      <w:r w:rsidRPr="00C0418E">
        <w:rPr>
          <w:bCs/>
          <w:noProof/>
          <w:lang w:val="en-US" w:eastAsia="en-GB"/>
        </w:rPr>
        <w:t>optional support of a wider bandwidth up to 40MHz</w:t>
      </w:r>
      <w:r>
        <w:rPr>
          <w:bCs/>
          <w:noProof/>
          <w:lang w:val="en-US" w:eastAsia="en-GB"/>
        </w:rPr>
        <w:t>. This can be used, e.g. by a RedCap UE with 1 Rx antenna to reach 150 Mbps peak rate in the downlink.</w:t>
      </w:r>
      <w:r w:rsidR="00F0226F">
        <w:rPr>
          <w:bCs/>
          <w:noProof/>
          <w:lang w:val="en-US" w:eastAsia="en-GB"/>
        </w:rPr>
        <w:t xml:space="preserve"> </w:t>
      </w:r>
      <w:r w:rsidR="00871781">
        <w:rPr>
          <w:bCs/>
          <w:noProof/>
          <w:lang w:val="en-US" w:eastAsia="en-GB"/>
        </w:rPr>
        <w:t>Presently, for UE with 1Rx antenna and using optional 256-QAM, downlink peak rate of a little over 10</w:t>
      </w:r>
      <w:r w:rsidR="00296DD7">
        <w:rPr>
          <w:bCs/>
          <w:noProof/>
          <w:lang w:val="en-US" w:eastAsia="en-GB"/>
        </w:rPr>
        <w:t>9</w:t>
      </w:r>
      <w:r w:rsidR="00871781">
        <w:rPr>
          <w:bCs/>
          <w:noProof/>
          <w:lang w:val="en-US" w:eastAsia="en-GB"/>
        </w:rPr>
        <w:t xml:space="preserve"> Mbps can be achieved</w:t>
      </w:r>
      <w:r w:rsidR="00296DD7">
        <w:rPr>
          <w:bCs/>
          <w:noProof/>
          <w:lang w:val="en-US" w:eastAsia="en-GB"/>
        </w:rPr>
        <w:t xml:space="preserve"> (note that for 64-QAM the peak downlink data rate would be around 82 Mbps)</w:t>
      </w:r>
      <w:r w:rsidR="00871781">
        <w:rPr>
          <w:bCs/>
          <w:noProof/>
          <w:lang w:val="en-US" w:eastAsia="en-GB"/>
        </w:rPr>
        <w:t xml:space="preserve">. </w:t>
      </w:r>
      <w:r w:rsidR="00F0226F">
        <w:rPr>
          <w:bCs/>
          <w:noProof/>
          <w:lang w:val="en-US" w:eastAsia="en-GB"/>
        </w:rPr>
        <w:t xml:space="preserve">However, this requires </w:t>
      </w:r>
      <w:r w:rsidR="00193175">
        <w:rPr>
          <w:bCs/>
          <w:noProof/>
          <w:lang w:val="en-US" w:eastAsia="en-GB"/>
        </w:rPr>
        <w:t xml:space="preserve">significant increase in complexity as shown in </w:t>
      </w:r>
      <w:r w:rsidR="00193175">
        <w:rPr>
          <w:bCs/>
          <w:noProof/>
          <w:lang w:val="en-US" w:eastAsia="en-GB"/>
        </w:rPr>
        <w:fldChar w:fldCharType="begin"/>
      </w:r>
      <w:r w:rsidR="00193175">
        <w:rPr>
          <w:bCs/>
          <w:noProof/>
          <w:lang w:val="en-US" w:eastAsia="en-GB"/>
        </w:rPr>
        <w:instrText xml:space="preserve"> REF _Ref46433070 \h </w:instrText>
      </w:r>
      <w:r w:rsidR="00193175">
        <w:rPr>
          <w:bCs/>
          <w:noProof/>
          <w:lang w:val="en-US" w:eastAsia="en-GB"/>
        </w:rPr>
      </w:r>
      <w:r w:rsidR="00193175">
        <w:rPr>
          <w:bCs/>
          <w:noProof/>
          <w:lang w:val="en-US" w:eastAsia="en-GB"/>
        </w:rPr>
        <w:fldChar w:fldCharType="separate"/>
      </w:r>
      <w:r w:rsidR="00343309">
        <w:t xml:space="preserve">Table </w:t>
      </w:r>
      <w:r w:rsidR="00343309">
        <w:rPr>
          <w:noProof/>
        </w:rPr>
        <w:t>1</w:t>
      </w:r>
      <w:r w:rsidR="00193175">
        <w:rPr>
          <w:bCs/>
          <w:noProof/>
          <w:lang w:val="en-US" w:eastAsia="en-GB"/>
        </w:rPr>
        <w:fldChar w:fldCharType="end"/>
      </w:r>
      <w:r w:rsidR="00193175">
        <w:rPr>
          <w:bCs/>
          <w:noProof/>
          <w:lang w:val="en-US" w:eastAsia="en-GB"/>
        </w:rPr>
        <w:t xml:space="preserve">. </w:t>
      </w:r>
      <w:r w:rsidR="00E97405">
        <w:rPr>
          <w:bCs/>
          <w:noProof/>
          <w:lang w:val="en-US" w:eastAsia="en-GB"/>
        </w:rPr>
        <w:t xml:space="preserve">Note that, for a RedCap UE with 2 Rx antenna branches, </w:t>
      </w:r>
      <w:r w:rsidR="00E97405" w:rsidRPr="00E97405">
        <w:rPr>
          <w:bCs/>
          <w:noProof/>
          <w:lang w:val="en-US" w:eastAsia="en-GB"/>
        </w:rPr>
        <w:t>2 DL MIMO layers are supported</w:t>
      </w:r>
      <w:r w:rsidR="00E97405">
        <w:rPr>
          <w:bCs/>
          <w:noProof/>
          <w:lang w:val="en-US" w:eastAsia="en-GB"/>
        </w:rPr>
        <w:t xml:space="preserve"> and therefore the UE can reach 150 Mbps peak rate using 20 MHz bandwidth. </w:t>
      </w:r>
      <w:r w:rsidR="00193175">
        <w:rPr>
          <w:bCs/>
          <w:noProof/>
          <w:lang w:val="en-US" w:eastAsia="en-GB"/>
        </w:rPr>
        <w:t>Furthermore, it may not be necessary to</w:t>
      </w:r>
      <w:r w:rsidR="00E01A76">
        <w:rPr>
          <w:bCs/>
          <w:noProof/>
          <w:lang w:val="en-US" w:eastAsia="en-GB"/>
        </w:rPr>
        <w:t xml:space="preserve"> </w:t>
      </w:r>
      <w:r w:rsidR="00193175">
        <w:rPr>
          <w:bCs/>
          <w:noProof/>
          <w:lang w:val="en-US" w:eastAsia="en-GB"/>
        </w:rPr>
        <w:t>achieve 150 Mbps downlink peak rate for all RedCap configurations.</w:t>
      </w:r>
      <w:r w:rsidR="00D57229">
        <w:rPr>
          <w:bCs/>
          <w:noProof/>
          <w:lang w:val="en-US" w:eastAsia="en-GB"/>
        </w:rPr>
        <w:t xml:space="preserve"> </w:t>
      </w:r>
      <w:r w:rsidR="00202231">
        <w:rPr>
          <w:bCs/>
          <w:noProof/>
          <w:lang w:val="en-US" w:eastAsia="en-GB"/>
        </w:rPr>
        <w:t>Therefore, we don’t see the need to support optional 40 MHz bandwidth after initial access.</w:t>
      </w:r>
    </w:p>
    <w:p w14:paraId="21719490" w14:textId="6E4F2076" w:rsidR="00BE49F9" w:rsidRPr="00E226BE" w:rsidRDefault="00BE49F9" w:rsidP="00BE49F9">
      <w:pPr>
        <w:pStyle w:val="Caption"/>
        <w:keepNext/>
        <w:jc w:val="center"/>
        <w:rPr>
          <w:lang w:val="en-US"/>
        </w:rPr>
      </w:pPr>
      <w:bookmarkStart w:id="15" w:name="_Ref46433070"/>
      <w:r>
        <w:t xml:space="preserve">Table </w:t>
      </w:r>
      <w:r>
        <w:fldChar w:fldCharType="begin"/>
      </w:r>
      <w:r>
        <w:instrText xml:space="preserve"> SEQ Table \* ARABIC </w:instrText>
      </w:r>
      <w:r>
        <w:fldChar w:fldCharType="separate"/>
      </w:r>
      <w:r w:rsidR="00343309">
        <w:rPr>
          <w:noProof/>
        </w:rPr>
        <w:t>1</w:t>
      </w:r>
      <w:r>
        <w:fldChar w:fldCharType="end"/>
      </w:r>
      <w:bookmarkEnd w:id="15"/>
      <w:r>
        <w:rPr>
          <w:lang w:val="en-US"/>
        </w:rPr>
        <w:t xml:space="preserve">. </w:t>
      </w:r>
      <w:r w:rsidRPr="00E62365">
        <w:rPr>
          <w:lang w:val="en-US"/>
        </w:rPr>
        <w:t xml:space="preserve">Relative </w:t>
      </w:r>
      <w:r>
        <w:rPr>
          <w:lang w:val="en-US"/>
        </w:rPr>
        <w:t>complexity reduction</w:t>
      </w:r>
      <w:r w:rsidRPr="00E62365">
        <w:rPr>
          <w:lang w:val="en-US"/>
        </w:rPr>
        <w:t xml:space="preserve"> estimation f</w:t>
      </w:r>
      <w:r>
        <w:rPr>
          <w:lang w:val="en-US"/>
        </w:rPr>
        <w:t>rom reducing the RF bandwidth.</w:t>
      </w:r>
    </w:p>
    <w:tbl>
      <w:tblPr>
        <w:tblW w:w="3176"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13" w:type="dxa"/>
        </w:tblCellMar>
        <w:tblLook w:val="04A0" w:firstRow="1" w:lastRow="0" w:firstColumn="1" w:lastColumn="0" w:noHBand="0" w:noVBand="1"/>
      </w:tblPr>
      <w:tblGrid>
        <w:gridCol w:w="3579"/>
        <w:gridCol w:w="1368"/>
        <w:gridCol w:w="1368"/>
      </w:tblGrid>
      <w:tr w:rsidR="00BE49F9" w:rsidRPr="004E75BE" w14:paraId="0DD107AD" w14:textId="77777777" w:rsidTr="00BE49F9">
        <w:trPr>
          <w:trHeight w:val="480"/>
          <w:jc w:val="center"/>
        </w:trPr>
        <w:tc>
          <w:tcPr>
            <w:tcW w:w="2834" w:type="pct"/>
            <w:vMerge w:val="restart"/>
            <w:shd w:val="clear" w:color="auto" w:fill="DBE5F1"/>
            <w:tcMar>
              <w:left w:w="0" w:type="dxa"/>
              <w:right w:w="0" w:type="dxa"/>
            </w:tcMar>
            <w:vAlign w:val="center"/>
          </w:tcPr>
          <w:p w14:paraId="1D5D2245" w14:textId="77777777" w:rsidR="00BE49F9" w:rsidRPr="00E226BE" w:rsidRDefault="00BE49F9" w:rsidP="00DB6B6A">
            <w:pPr>
              <w:pStyle w:val="TAH"/>
              <w:ind w:left="144"/>
              <w:rPr>
                <w:lang w:eastAsia="zh-CN"/>
              </w:rPr>
            </w:pPr>
            <w:r w:rsidRPr="00E226BE">
              <w:t>Functional block</w:t>
            </w:r>
          </w:p>
        </w:tc>
        <w:tc>
          <w:tcPr>
            <w:tcW w:w="2166" w:type="pct"/>
            <w:gridSpan w:val="2"/>
            <w:shd w:val="clear" w:color="auto" w:fill="DBE5F1"/>
            <w:vAlign w:val="center"/>
          </w:tcPr>
          <w:p w14:paraId="482A81BF" w14:textId="5BBA9C0C" w:rsidR="00BE49F9" w:rsidRDefault="00BE49F9" w:rsidP="00DB6B6A">
            <w:pPr>
              <w:pStyle w:val="TAH"/>
              <w:rPr>
                <w:lang w:val="en-US"/>
              </w:rPr>
            </w:pPr>
            <w:r>
              <w:rPr>
                <w:lang w:val="en-US"/>
              </w:rPr>
              <w:t>Cost breakdown</w:t>
            </w:r>
          </w:p>
        </w:tc>
      </w:tr>
      <w:tr w:rsidR="00BE49F9" w:rsidRPr="004E75BE" w14:paraId="572B30BA" w14:textId="77777777" w:rsidTr="00B264CE">
        <w:trPr>
          <w:trHeight w:val="316"/>
          <w:jc w:val="center"/>
        </w:trPr>
        <w:tc>
          <w:tcPr>
            <w:tcW w:w="2834" w:type="pct"/>
            <w:vMerge/>
            <w:tcBorders>
              <w:bottom w:val="single" w:sz="12" w:space="0" w:color="000000"/>
            </w:tcBorders>
            <w:shd w:val="clear" w:color="auto" w:fill="DBE5F1"/>
            <w:tcMar>
              <w:left w:w="0" w:type="dxa"/>
              <w:right w:w="0" w:type="dxa"/>
            </w:tcMar>
            <w:vAlign w:val="center"/>
          </w:tcPr>
          <w:p w14:paraId="27204361" w14:textId="77777777" w:rsidR="00BE49F9" w:rsidRPr="00E226BE" w:rsidRDefault="00BE49F9" w:rsidP="00BE49F9">
            <w:pPr>
              <w:pStyle w:val="TAH"/>
              <w:ind w:left="144"/>
            </w:pPr>
          </w:p>
        </w:tc>
        <w:tc>
          <w:tcPr>
            <w:tcW w:w="1083" w:type="pct"/>
            <w:tcBorders>
              <w:bottom w:val="single" w:sz="12" w:space="0" w:color="000000"/>
            </w:tcBorders>
            <w:shd w:val="clear" w:color="auto" w:fill="DBE5F1"/>
            <w:tcMar>
              <w:left w:w="0" w:type="dxa"/>
              <w:right w:w="0" w:type="dxa"/>
            </w:tcMar>
          </w:tcPr>
          <w:p w14:paraId="67870CF3" w14:textId="77777777" w:rsidR="00BE49F9" w:rsidRPr="0017703E" w:rsidRDefault="00BE49F9" w:rsidP="00BE49F9">
            <w:pPr>
              <w:pStyle w:val="TAH"/>
              <w:rPr>
                <w:sz w:val="16"/>
                <w:szCs w:val="16"/>
                <w:lang w:val="en-US"/>
              </w:rPr>
            </w:pPr>
            <w:r w:rsidRPr="0017703E">
              <w:rPr>
                <w:sz w:val="16"/>
                <w:szCs w:val="16"/>
                <w:lang w:val="en-US"/>
              </w:rPr>
              <w:t xml:space="preserve">100 </w:t>
            </w:r>
            <w:r w:rsidRPr="0017703E">
              <w:rPr>
                <w:rFonts w:cs="Arial"/>
                <w:sz w:val="16"/>
                <w:szCs w:val="16"/>
                <w:lang w:val="en-US"/>
              </w:rPr>
              <w:t>→</w:t>
            </w:r>
            <w:r w:rsidRPr="0017703E">
              <w:rPr>
                <w:sz w:val="16"/>
                <w:szCs w:val="16"/>
                <w:lang w:val="en-US"/>
              </w:rPr>
              <w:t xml:space="preserve"> 20</w:t>
            </w:r>
            <w:r>
              <w:rPr>
                <w:sz w:val="16"/>
                <w:szCs w:val="16"/>
                <w:lang w:val="en-US"/>
              </w:rPr>
              <w:t xml:space="preserve"> </w:t>
            </w:r>
            <w:r w:rsidRPr="0017703E">
              <w:rPr>
                <w:sz w:val="16"/>
                <w:szCs w:val="16"/>
                <w:lang w:val="en-US"/>
              </w:rPr>
              <w:t>MHz</w:t>
            </w:r>
          </w:p>
          <w:p w14:paraId="064A9EF3" w14:textId="4308A476" w:rsidR="00BE49F9" w:rsidRPr="0017703E" w:rsidRDefault="00BE49F9" w:rsidP="00BE49F9">
            <w:pPr>
              <w:pStyle w:val="TAH"/>
              <w:rPr>
                <w:sz w:val="16"/>
                <w:szCs w:val="16"/>
                <w:lang w:val="en-US"/>
              </w:rPr>
            </w:pPr>
            <w:r w:rsidRPr="0017703E">
              <w:rPr>
                <w:sz w:val="16"/>
                <w:szCs w:val="16"/>
                <w:lang w:val="en-US"/>
              </w:rPr>
              <w:t>(FR1</w:t>
            </w:r>
            <w:r>
              <w:rPr>
                <w:sz w:val="16"/>
                <w:szCs w:val="16"/>
                <w:lang w:val="en-US"/>
              </w:rPr>
              <w:t xml:space="preserve"> TDD</w:t>
            </w:r>
            <w:r w:rsidRPr="0017703E">
              <w:rPr>
                <w:sz w:val="16"/>
                <w:szCs w:val="16"/>
                <w:lang w:val="en-US"/>
              </w:rPr>
              <w:t>)</w:t>
            </w:r>
          </w:p>
        </w:tc>
        <w:tc>
          <w:tcPr>
            <w:tcW w:w="1083" w:type="pct"/>
            <w:tcBorders>
              <w:bottom w:val="single" w:sz="12" w:space="0" w:color="000000"/>
            </w:tcBorders>
            <w:shd w:val="clear" w:color="auto" w:fill="DBE5F1"/>
          </w:tcPr>
          <w:p w14:paraId="77C07D4E" w14:textId="2F30E575" w:rsidR="00BE49F9" w:rsidRPr="0017703E" w:rsidRDefault="00BE49F9" w:rsidP="00BE49F9">
            <w:pPr>
              <w:pStyle w:val="TAH"/>
              <w:rPr>
                <w:sz w:val="16"/>
                <w:szCs w:val="16"/>
                <w:lang w:val="en-US"/>
              </w:rPr>
            </w:pPr>
            <w:r w:rsidRPr="0017703E">
              <w:rPr>
                <w:sz w:val="16"/>
                <w:szCs w:val="16"/>
                <w:lang w:val="en-US"/>
              </w:rPr>
              <w:t xml:space="preserve">100 </w:t>
            </w:r>
            <w:r w:rsidRPr="0017703E">
              <w:rPr>
                <w:rFonts w:cs="Arial"/>
                <w:sz w:val="16"/>
                <w:szCs w:val="16"/>
                <w:lang w:val="en-US"/>
              </w:rPr>
              <w:t>→</w:t>
            </w:r>
            <w:r w:rsidRPr="0017703E">
              <w:rPr>
                <w:sz w:val="16"/>
                <w:szCs w:val="16"/>
                <w:lang w:val="en-US"/>
              </w:rPr>
              <w:t xml:space="preserve"> </w:t>
            </w:r>
            <w:r>
              <w:rPr>
                <w:sz w:val="16"/>
                <w:szCs w:val="16"/>
                <w:lang w:val="en-US"/>
              </w:rPr>
              <w:t>4</w:t>
            </w:r>
            <w:r w:rsidRPr="0017703E">
              <w:rPr>
                <w:sz w:val="16"/>
                <w:szCs w:val="16"/>
                <w:lang w:val="en-US"/>
              </w:rPr>
              <w:t>0</w:t>
            </w:r>
            <w:r>
              <w:rPr>
                <w:sz w:val="16"/>
                <w:szCs w:val="16"/>
                <w:lang w:val="en-US"/>
              </w:rPr>
              <w:t xml:space="preserve"> </w:t>
            </w:r>
            <w:r w:rsidRPr="0017703E">
              <w:rPr>
                <w:sz w:val="16"/>
                <w:szCs w:val="16"/>
                <w:lang w:val="en-US"/>
              </w:rPr>
              <w:t>MHz</w:t>
            </w:r>
          </w:p>
          <w:p w14:paraId="2E941FE9" w14:textId="77777777" w:rsidR="00BE49F9" w:rsidRPr="00ED0E72" w:rsidRDefault="00BE49F9" w:rsidP="00BE49F9">
            <w:pPr>
              <w:pStyle w:val="TAH"/>
              <w:rPr>
                <w:sz w:val="16"/>
                <w:szCs w:val="16"/>
                <w:lang w:val="en-US"/>
              </w:rPr>
            </w:pPr>
            <w:r w:rsidRPr="0017703E">
              <w:rPr>
                <w:sz w:val="16"/>
                <w:szCs w:val="16"/>
                <w:lang w:val="en-US"/>
              </w:rPr>
              <w:t>(FR1</w:t>
            </w:r>
            <w:r>
              <w:rPr>
                <w:sz w:val="16"/>
                <w:szCs w:val="16"/>
                <w:lang w:val="en-US"/>
              </w:rPr>
              <w:t xml:space="preserve"> TDD</w:t>
            </w:r>
            <w:r w:rsidRPr="0017703E">
              <w:rPr>
                <w:sz w:val="16"/>
                <w:szCs w:val="16"/>
                <w:lang w:val="en-US"/>
              </w:rPr>
              <w:t>)</w:t>
            </w:r>
          </w:p>
        </w:tc>
      </w:tr>
      <w:tr w:rsidR="00BE49F9" w:rsidRPr="007733D9" w14:paraId="6F0F7FFC" w14:textId="77777777" w:rsidTr="00BE49F9">
        <w:trPr>
          <w:jc w:val="center"/>
        </w:trPr>
        <w:tc>
          <w:tcPr>
            <w:tcW w:w="2834" w:type="pct"/>
            <w:shd w:val="clear" w:color="auto" w:fill="D9D9D9"/>
            <w:tcMar>
              <w:left w:w="0" w:type="dxa"/>
              <w:right w:w="0" w:type="dxa"/>
            </w:tcMar>
          </w:tcPr>
          <w:p w14:paraId="0AB46244" w14:textId="77777777" w:rsidR="00BE49F9" w:rsidRPr="009D1453" w:rsidRDefault="00BE49F9" w:rsidP="00BE49F9">
            <w:pPr>
              <w:pStyle w:val="TAH"/>
              <w:spacing w:before="40" w:after="40"/>
              <w:ind w:left="144"/>
              <w:jc w:val="left"/>
              <w:rPr>
                <w:rFonts w:cs="Arial"/>
                <w:b w:val="0"/>
                <w:bCs/>
                <w:szCs w:val="18"/>
              </w:rPr>
            </w:pPr>
            <w:r w:rsidRPr="009D1453">
              <w:rPr>
                <w:rFonts w:cs="Arial"/>
                <w:b w:val="0"/>
                <w:bCs/>
                <w:szCs w:val="18"/>
              </w:rPr>
              <w:t>Power amplifier</w:t>
            </w:r>
          </w:p>
        </w:tc>
        <w:tc>
          <w:tcPr>
            <w:tcW w:w="1083" w:type="pct"/>
            <w:shd w:val="clear" w:color="auto" w:fill="auto"/>
            <w:tcMar>
              <w:left w:w="0" w:type="dxa"/>
              <w:right w:w="0" w:type="dxa"/>
            </w:tcMar>
            <w:vAlign w:val="center"/>
          </w:tcPr>
          <w:p w14:paraId="452A92A2" w14:textId="35FBE498" w:rsidR="00BE49F9" w:rsidRPr="009D1453" w:rsidRDefault="00BE49F9" w:rsidP="00BE49F9">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25.0%</w:t>
            </w:r>
          </w:p>
        </w:tc>
        <w:tc>
          <w:tcPr>
            <w:tcW w:w="1083" w:type="pct"/>
            <w:vAlign w:val="center"/>
          </w:tcPr>
          <w:p w14:paraId="0D483915" w14:textId="77777777" w:rsidR="00BE49F9" w:rsidRPr="009D1453" w:rsidRDefault="00BE49F9" w:rsidP="00BE49F9">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25.0%</w:t>
            </w:r>
          </w:p>
        </w:tc>
      </w:tr>
      <w:tr w:rsidR="00BE49F9" w:rsidRPr="007733D9" w14:paraId="328977C0" w14:textId="77777777" w:rsidTr="00BE49F9">
        <w:trPr>
          <w:jc w:val="center"/>
        </w:trPr>
        <w:tc>
          <w:tcPr>
            <w:tcW w:w="2834" w:type="pct"/>
            <w:shd w:val="clear" w:color="auto" w:fill="D9D9D9"/>
            <w:tcMar>
              <w:left w:w="0" w:type="dxa"/>
              <w:right w:w="0" w:type="dxa"/>
            </w:tcMar>
          </w:tcPr>
          <w:p w14:paraId="40ADE70D" w14:textId="77777777" w:rsidR="00BE49F9" w:rsidRPr="009D1453" w:rsidRDefault="00BE49F9" w:rsidP="00BE49F9">
            <w:pPr>
              <w:pStyle w:val="TAH"/>
              <w:spacing w:before="40" w:after="40"/>
              <w:ind w:left="144"/>
              <w:jc w:val="left"/>
              <w:rPr>
                <w:rFonts w:cs="Arial"/>
                <w:b w:val="0"/>
                <w:bCs/>
                <w:szCs w:val="18"/>
              </w:rPr>
            </w:pPr>
            <w:r w:rsidRPr="009D1453">
              <w:rPr>
                <w:rFonts w:cs="Arial"/>
                <w:b w:val="0"/>
                <w:bCs/>
                <w:szCs w:val="18"/>
              </w:rPr>
              <w:t>Filters</w:t>
            </w:r>
          </w:p>
        </w:tc>
        <w:tc>
          <w:tcPr>
            <w:tcW w:w="1083" w:type="pct"/>
            <w:shd w:val="clear" w:color="auto" w:fill="auto"/>
            <w:tcMar>
              <w:left w:w="0" w:type="dxa"/>
              <w:right w:w="0" w:type="dxa"/>
            </w:tcMar>
            <w:vAlign w:val="center"/>
          </w:tcPr>
          <w:p w14:paraId="6A85A4FA" w14:textId="340CAB23" w:rsidR="00BE49F9" w:rsidRPr="009D1453" w:rsidRDefault="00BE49F9" w:rsidP="00BE49F9">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15.0%</w:t>
            </w:r>
          </w:p>
        </w:tc>
        <w:tc>
          <w:tcPr>
            <w:tcW w:w="1083" w:type="pct"/>
            <w:vAlign w:val="center"/>
          </w:tcPr>
          <w:p w14:paraId="2417010F" w14:textId="77777777" w:rsidR="00BE49F9" w:rsidRPr="009D1453" w:rsidRDefault="00BE49F9" w:rsidP="00BE49F9">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15.0%</w:t>
            </w:r>
          </w:p>
        </w:tc>
      </w:tr>
      <w:tr w:rsidR="00BE49F9" w:rsidRPr="007733D9" w14:paraId="6FB6AE85" w14:textId="77777777" w:rsidTr="00BE49F9">
        <w:trPr>
          <w:jc w:val="center"/>
        </w:trPr>
        <w:tc>
          <w:tcPr>
            <w:tcW w:w="2834" w:type="pct"/>
            <w:shd w:val="clear" w:color="auto" w:fill="D9D9D9"/>
            <w:tcMar>
              <w:left w:w="0" w:type="dxa"/>
              <w:right w:w="0" w:type="dxa"/>
            </w:tcMar>
          </w:tcPr>
          <w:p w14:paraId="5EC3D485" w14:textId="77777777" w:rsidR="00BE49F9" w:rsidRPr="009D1453" w:rsidRDefault="00BE49F9" w:rsidP="00BE49F9">
            <w:pPr>
              <w:pStyle w:val="TAH"/>
              <w:spacing w:before="40" w:after="40"/>
              <w:ind w:left="144"/>
              <w:jc w:val="left"/>
              <w:rPr>
                <w:rFonts w:cs="Arial"/>
                <w:b w:val="0"/>
                <w:bCs/>
                <w:szCs w:val="18"/>
              </w:rPr>
            </w:pPr>
            <w:r w:rsidRPr="009D1453">
              <w:rPr>
                <w:rFonts w:cs="Arial"/>
                <w:b w:val="0"/>
                <w:bCs/>
                <w:szCs w:val="18"/>
              </w:rPr>
              <w:t>RF transceiver</w:t>
            </w:r>
          </w:p>
          <w:p w14:paraId="19BCCF01" w14:textId="77777777" w:rsidR="00BE49F9" w:rsidRPr="009D1453" w:rsidRDefault="00BE49F9" w:rsidP="00BE49F9">
            <w:pPr>
              <w:pStyle w:val="TAH"/>
              <w:spacing w:before="40" w:after="40"/>
              <w:ind w:left="144"/>
              <w:jc w:val="left"/>
              <w:rPr>
                <w:rFonts w:cs="Arial"/>
                <w:b w:val="0"/>
                <w:bCs/>
                <w:szCs w:val="18"/>
              </w:rPr>
            </w:pPr>
            <w:r w:rsidRPr="009D1453">
              <w:rPr>
                <w:rFonts w:cs="Arial"/>
                <w:b w:val="0"/>
                <w:bCs/>
                <w:szCs w:val="18"/>
              </w:rPr>
              <w:t>(including LNAs, mixer, and local oscillator)</w:t>
            </w:r>
          </w:p>
        </w:tc>
        <w:tc>
          <w:tcPr>
            <w:tcW w:w="1083" w:type="pct"/>
            <w:shd w:val="clear" w:color="auto" w:fill="auto"/>
            <w:tcMar>
              <w:left w:w="0" w:type="dxa"/>
              <w:right w:w="0" w:type="dxa"/>
            </w:tcMar>
            <w:vAlign w:val="center"/>
          </w:tcPr>
          <w:p w14:paraId="7B5E2749" w14:textId="6D7BD3FF" w:rsidR="00BE49F9" w:rsidRPr="009D1453" w:rsidRDefault="00BE49F9" w:rsidP="00BE49F9">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55.0%</w:t>
            </w:r>
          </w:p>
        </w:tc>
        <w:tc>
          <w:tcPr>
            <w:tcW w:w="1083" w:type="pct"/>
            <w:vAlign w:val="center"/>
          </w:tcPr>
          <w:p w14:paraId="66161820" w14:textId="77777777" w:rsidR="00BE49F9" w:rsidRPr="009D1453" w:rsidRDefault="00BE49F9" w:rsidP="00BE49F9">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55.0%</w:t>
            </w:r>
          </w:p>
        </w:tc>
      </w:tr>
      <w:tr w:rsidR="00BE49F9" w:rsidRPr="007733D9" w14:paraId="7869DF91" w14:textId="77777777" w:rsidTr="00BE49F9">
        <w:trPr>
          <w:jc w:val="center"/>
        </w:trPr>
        <w:tc>
          <w:tcPr>
            <w:tcW w:w="2834" w:type="pct"/>
            <w:shd w:val="clear" w:color="auto" w:fill="D9D9D9"/>
            <w:tcMar>
              <w:left w:w="0" w:type="dxa"/>
              <w:right w:w="0" w:type="dxa"/>
            </w:tcMar>
          </w:tcPr>
          <w:p w14:paraId="4E520E0A" w14:textId="77777777" w:rsidR="00BE49F9" w:rsidRPr="009D1453" w:rsidRDefault="00BE49F9" w:rsidP="00BE49F9">
            <w:pPr>
              <w:pStyle w:val="TAH"/>
              <w:spacing w:before="40" w:after="40"/>
              <w:ind w:left="144"/>
              <w:jc w:val="left"/>
              <w:rPr>
                <w:rFonts w:cs="Arial"/>
                <w:b w:val="0"/>
                <w:bCs/>
                <w:szCs w:val="18"/>
              </w:rPr>
            </w:pPr>
            <w:r w:rsidRPr="009D1453">
              <w:rPr>
                <w:rFonts w:cs="Arial"/>
                <w:b w:val="0"/>
                <w:bCs/>
                <w:szCs w:val="18"/>
              </w:rPr>
              <w:t>Duplexer / Switch</w:t>
            </w:r>
          </w:p>
        </w:tc>
        <w:tc>
          <w:tcPr>
            <w:tcW w:w="1083" w:type="pct"/>
            <w:shd w:val="clear" w:color="auto" w:fill="auto"/>
            <w:tcMar>
              <w:left w:w="0" w:type="dxa"/>
              <w:right w:w="0" w:type="dxa"/>
            </w:tcMar>
            <w:vAlign w:val="center"/>
          </w:tcPr>
          <w:p w14:paraId="3CF17ADD" w14:textId="637DE1DA" w:rsidR="00BE49F9" w:rsidRPr="009D1453" w:rsidRDefault="00BE49F9" w:rsidP="00BE49F9">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5.0%</w:t>
            </w:r>
          </w:p>
        </w:tc>
        <w:tc>
          <w:tcPr>
            <w:tcW w:w="1083" w:type="pct"/>
            <w:vAlign w:val="center"/>
          </w:tcPr>
          <w:p w14:paraId="170332F9" w14:textId="77777777" w:rsidR="00BE49F9" w:rsidRPr="009D1453" w:rsidRDefault="00BE49F9" w:rsidP="00BE49F9">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5.0%</w:t>
            </w:r>
          </w:p>
        </w:tc>
      </w:tr>
      <w:tr w:rsidR="00BE49F9" w:rsidRPr="007733D9" w14:paraId="0B106624" w14:textId="77777777" w:rsidTr="00BE49F9">
        <w:trPr>
          <w:jc w:val="center"/>
        </w:trPr>
        <w:tc>
          <w:tcPr>
            <w:tcW w:w="2834" w:type="pct"/>
            <w:tcBorders>
              <w:bottom w:val="single" w:sz="12" w:space="0" w:color="000000"/>
            </w:tcBorders>
            <w:shd w:val="clear" w:color="auto" w:fill="D9D9D9"/>
            <w:tcMar>
              <w:left w:w="0" w:type="dxa"/>
              <w:right w:w="0" w:type="dxa"/>
            </w:tcMar>
          </w:tcPr>
          <w:p w14:paraId="10B2BDCE" w14:textId="77777777" w:rsidR="00BE49F9" w:rsidRPr="009D1453" w:rsidRDefault="00BE49F9" w:rsidP="00BE49F9">
            <w:pPr>
              <w:pStyle w:val="TAH"/>
              <w:spacing w:before="40" w:after="40"/>
              <w:ind w:left="144"/>
              <w:jc w:val="left"/>
              <w:rPr>
                <w:rFonts w:cs="Arial"/>
                <w:b w:val="0"/>
                <w:bCs/>
                <w:szCs w:val="18"/>
                <w:lang w:eastAsia="zh-CN"/>
              </w:rPr>
            </w:pPr>
            <w:r w:rsidRPr="009D1453">
              <w:rPr>
                <w:rFonts w:cs="Arial"/>
                <w:b w:val="0"/>
                <w:bCs/>
                <w:szCs w:val="18"/>
              </w:rPr>
              <w:t>Total</w:t>
            </w:r>
            <w:r w:rsidRPr="009D1453">
              <w:rPr>
                <w:rFonts w:cs="Arial"/>
                <w:b w:val="0"/>
                <w:bCs/>
                <w:szCs w:val="18"/>
                <w:lang w:eastAsia="zh-CN"/>
              </w:rPr>
              <w:t xml:space="preserve"> of RF</w:t>
            </w:r>
          </w:p>
        </w:tc>
        <w:tc>
          <w:tcPr>
            <w:tcW w:w="1083" w:type="pct"/>
            <w:tcBorders>
              <w:bottom w:val="single" w:sz="12" w:space="0" w:color="000000"/>
            </w:tcBorders>
            <w:shd w:val="clear" w:color="auto" w:fill="auto"/>
            <w:tcMar>
              <w:left w:w="0" w:type="dxa"/>
              <w:right w:w="0" w:type="dxa"/>
            </w:tcMar>
            <w:vAlign w:val="center"/>
          </w:tcPr>
          <w:p w14:paraId="342852B1" w14:textId="2BE89B2C" w:rsidR="00BE49F9" w:rsidRPr="009D1453" w:rsidRDefault="00BE49F9" w:rsidP="00BE49F9">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100%</w:t>
            </w:r>
          </w:p>
        </w:tc>
        <w:tc>
          <w:tcPr>
            <w:tcW w:w="1083" w:type="pct"/>
            <w:tcBorders>
              <w:bottom w:val="single" w:sz="12" w:space="0" w:color="000000"/>
            </w:tcBorders>
            <w:vAlign w:val="center"/>
          </w:tcPr>
          <w:p w14:paraId="09F91563" w14:textId="77777777" w:rsidR="00BE49F9" w:rsidRPr="009D1453" w:rsidRDefault="00BE49F9" w:rsidP="00BE49F9">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100%</w:t>
            </w:r>
          </w:p>
        </w:tc>
      </w:tr>
      <w:tr w:rsidR="00392D04" w:rsidRPr="007733D9" w14:paraId="67EB4B78" w14:textId="77777777" w:rsidTr="00015407">
        <w:trPr>
          <w:jc w:val="center"/>
        </w:trPr>
        <w:tc>
          <w:tcPr>
            <w:tcW w:w="2834" w:type="pct"/>
            <w:tcBorders>
              <w:top w:val="single" w:sz="12" w:space="0" w:color="000000"/>
            </w:tcBorders>
            <w:shd w:val="clear" w:color="auto" w:fill="D9D9D9"/>
            <w:tcMar>
              <w:left w:w="0" w:type="dxa"/>
              <w:right w:w="0" w:type="dxa"/>
            </w:tcMar>
          </w:tcPr>
          <w:p w14:paraId="0F2B28F4" w14:textId="77777777" w:rsidR="00392D04" w:rsidRPr="009D1453" w:rsidRDefault="00392D04" w:rsidP="00392D04">
            <w:pPr>
              <w:pStyle w:val="TAH"/>
              <w:spacing w:before="40" w:after="40"/>
              <w:ind w:left="144"/>
              <w:jc w:val="left"/>
              <w:rPr>
                <w:rFonts w:cs="Arial"/>
                <w:b w:val="0"/>
                <w:bCs/>
                <w:szCs w:val="18"/>
              </w:rPr>
            </w:pPr>
            <w:r w:rsidRPr="009D1453">
              <w:rPr>
                <w:rFonts w:cs="Arial"/>
                <w:b w:val="0"/>
                <w:bCs/>
                <w:szCs w:val="18"/>
              </w:rPr>
              <w:t xml:space="preserve">ADC / DAC </w:t>
            </w:r>
          </w:p>
        </w:tc>
        <w:tc>
          <w:tcPr>
            <w:tcW w:w="1083" w:type="pct"/>
            <w:tcBorders>
              <w:top w:val="single" w:sz="12" w:space="0" w:color="000000"/>
            </w:tcBorders>
            <w:shd w:val="clear" w:color="auto" w:fill="auto"/>
            <w:tcMar>
              <w:left w:w="0" w:type="dxa"/>
              <w:right w:w="0" w:type="dxa"/>
            </w:tcMar>
            <w:vAlign w:val="center"/>
          </w:tcPr>
          <w:p w14:paraId="05CEE320" w14:textId="29029F24"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1.7%</w:t>
            </w:r>
          </w:p>
        </w:tc>
        <w:tc>
          <w:tcPr>
            <w:tcW w:w="1083" w:type="pct"/>
            <w:tcBorders>
              <w:top w:val="single" w:sz="12" w:space="0" w:color="000000"/>
            </w:tcBorders>
            <w:vAlign w:val="bottom"/>
          </w:tcPr>
          <w:p w14:paraId="6CEBE4DD" w14:textId="27F0D69F"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392D04">
              <w:rPr>
                <w:rFonts w:ascii="Arial" w:hAnsi="Arial" w:cs="Arial"/>
                <w:sz w:val="18"/>
                <w:szCs w:val="18"/>
              </w:rPr>
              <w:t>3.5%</w:t>
            </w:r>
          </w:p>
        </w:tc>
      </w:tr>
      <w:tr w:rsidR="00392D04" w:rsidRPr="007733D9" w14:paraId="30993A07" w14:textId="77777777" w:rsidTr="00015407">
        <w:trPr>
          <w:jc w:val="center"/>
        </w:trPr>
        <w:tc>
          <w:tcPr>
            <w:tcW w:w="2834" w:type="pct"/>
            <w:shd w:val="clear" w:color="auto" w:fill="D9D9D9"/>
            <w:tcMar>
              <w:left w:w="0" w:type="dxa"/>
              <w:right w:w="0" w:type="dxa"/>
            </w:tcMar>
          </w:tcPr>
          <w:p w14:paraId="48BB310E" w14:textId="77777777" w:rsidR="00392D04" w:rsidRPr="009D1453" w:rsidRDefault="00392D04" w:rsidP="00392D04">
            <w:pPr>
              <w:pStyle w:val="TAH"/>
              <w:spacing w:before="40" w:after="40"/>
              <w:ind w:left="144"/>
              <w:jc w:val="left"/>
              <w:rPr>
                <w:rFonts w:cs="Arial"/>
                <w:b w:val="0"/>
                <w:bCs/>
                <w:szCs w:val="18"/>
              </w:rPr>
            </w:pPr>
            <w:r w:rsidRPr="009D1453">
              <w:rPr>
                <w:rFonts w:cs="Arial"/>
                <w:b w:val="0"/>
                <w:bCs/>
                <w:szCs w:val="18"/>
              </w:rPr>
              <w:t>FFT/IFFT</w:t>
            </w:r>
          </w:p>
        </w:tc>
        <w:tc>
          <w:tcPr>
            <w:tcW w:w="1083" w:type="pct"/>
            <w:shd w:val="clear" w:color="auto" w:fill="auto"/>
            <w:tcMar>
              <w:left w:w="0" w:type="dxa"/>
              <w:right w:w="0" w:type="dxa"/>
            </w:tcMar>
            <w:vAlign w:val="center"/>
          </w:tcPr>
          <w:p w14:paraId="5055C698" w14:textId="68BE6E51"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0.6%</w:t>
            </w:r>
          </w:p>
        </w:tc>
        <w:tc>
          <w:tcPr>
            <w:tcW w:w="1083" w:type="pct"/>
            <w:vAlign w:val="bottom"/>
          </w:tcPr>
          <w:p w14:paraId="05B08D43" w14:textId="3C045296"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392D04">
              <w:rPr>
                <w:rFonts w:ascii="Arial" w:hAnsi="Arial" w:cs="Arial"/>
                <w:sz w:val="18"/>
                <w:szCs w:val="18"/>
              </w:rPr>
              <w:t>1.4%</w:t>
            </w:r>
          </w:p>
        </w:tc>
      </w:tr>
      <w:tr w:rsidR="00392D04" w:rsidRPr="007733D9" w14:paraId="54C8D9BE" w14:textId="77777777" w:rsidTr="00015407">
        <w:trPr>
          <w:jc w:val="center"/>
        </w:trPr>
        <w:tc>
          <w:tcPr>
            <w:tcW w:w="2834" w:type="pct"/>
            <w:shd w:val="clear" w:color="auto" w:fill="D9D9D9"/>
            <w:tcMar>
              <w:left w:w="0" w:type="dxa"/>
              <w:right w:w="0" w:type="dxa"/>
            </w:tcMar>
          </w:tcPr>
          <w:p w14:paraId="0153F218" w14:textId="77777777" w:rsidR="00392D04" w:rsidRPr="009D1453" w:rsidRDefault="00392D04" w:rsidP="00392D04">
            <w:pPr>
              <w:pStyle w:val="TAH"/>
              <w:spacing w:before="40" w:after="40"/>
              <w:ind w:left="144"/>
              <w:jc w:val="left"/>
              <w:rPr>
                <w:rFonts w:cs="Arial"/>
                <w:b w:val="0"/>
                <w:bCs/>
                <w:szCs w:val="18"/>
              </w:rPr>
            </w:pPr>
            <w:r w:rsidRPr="009D1453">
              <w:rPr>
                <w:rFonts w:cs="Arial"/>
                <w:b w:val="0"/>
                <w:bCs/>
                <w:szCs w:val="18"/>
              </w:rPr>
              <w:t>Post-FFT data buffering</w:t>
            </w:r>
          </w:p>
        </w:tc>
        <w:tc>
          <w:tcPr>
            <w:tcW w:w="1083" w:type="pct"/>
            <w:shd w:val="clear" w:color="auto" w:fill="auto"/>
            <w:tcMar>
              <w:left w:w="0" w:type="dxa"/>
              <w:right w:w="0" w:type="dxa"/>
            </w:tcMar>
            <w:vAlign w:val="center"/>
          </w:tcPr>
          <w:p w14:paraId="0C7B2424" w14:textId="1469D037"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1.9%</w:t>
            </w:r>
          </w:p>
        </w:tc>
        <w:tc>
          <w:tcPr>
            <w:tcW w:w="1083" w:type="pct"/>
            <w:vAlign w:val="bottom"/>
          </w:tcPr>
          <w:p w14:paraId="6B262D01" w14:textId="30F9CFB6"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392D04">
              <w:rPr>
                <w:rFonts w:ascii="Arial" w:hAnsi="Arial" w:cs="Arial"/>
                <w:sz w:val="18"/>
                <w:szCs w:val="18"/>
              </w:rPr>
              <w:t>3.9%</w:t>
            </w:r>
          </w:p>
        </w:tc>
      </w:tr>
      <w:tr w:rsidR="00392D04" w:rsidRPr="007733D9" w14:paraId="7532D14A" w14:textId="77777777" w:rsidTr="00015407">
        <w:trPr>
          <w:jc w:val="center"/>
        </w:trPr>
        <w:tc>
          <w:tcPr>
            <w:tcW w:w="2834" w:type="pct"/>
            <w:shd w:val="clear" w:color="auto" w:fill="D9D9D9"/>
            <w:tcMar>
              <w:left w:w="0" w:type="dxa"/>
              <w:right w:w="0" w:type="dxa"/>
            </w:tcMar>
          </w:tcPr>
          <w:p w14:paraId="385628EA" w14:textId="77777777" w:rsidR="00392D04" w:rsidRPr="009D1453" w:rsidRDefault="00392D04" w:rsidP="00392D04">
            <w:pPr>
              <w:pStyle w:val="TAH"/>
              <w:spacing w:before="40" w:after="40"/>
              <w:ind w:left="144"/>
              <w:jc w:val="left"/>
              <w:rPr>
                <w:rFonts w:cs="Arial"/>
                <w:b w:val="0"/>
                <w:bCs/>
                <w:szCs w:val="18"/>
              </w:rPr>
            </w:pPr>
            <w:r w:rsidRPr="009D1453">
              <w:rPr>
                <w:rFonts w:cs="Arial"/>
                <w:b w:val="0"/>
                <w:bCs/>
                <w:szCs w:val="18"/>
              </w:rPr>
              <w:t>Receiver processing block</w:t>
            </w:r>
          </w:p>
        </w:tc>
        <w:tc>
          <w:tcPr>
            <w:tcW w:w="1083" w:type="pct"/>
            <w:shd w:val="clear" w:color="auto" w:fill="auto"/>
            <w:tcMar>
              <w:left w:w="0" w:type="dxa"/>
              <w:right w:w="0" w:type="dxa"/>
            </w:tcMar>
            <w:vAlign w:val="center"/>
          </w:tcPr>
          <w:p w14:paraId="5C6C5925" w14:textId="660F958D"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17.4%</w:t>
            </w:r>
          </w:p>
        </w:tc>
        <w:tc>
          <w:tcPr>
            <w:tcW w:w="1083" w:type="pct"/>
            <w:vAlign w:val="bottom"/>
          </w:tcPr>
          <w:p w14:paraId="43A4CCDD" w14:textId="3DBA70AE"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392D04">
              <w:rPr>
                <w:rFonts w:ascii="Arial" w:hAnsi="Arial" w:cs="Arial"/>
                <w:sz w:val="18"/>
                <w:szCs w:val="18"/>
              </w:rPr>
              <w:t>23.2%</w:t>
            </w:r>
          </w:p>
        </w:tc>
      </w:tr>
      <w:tr w:rsidR="00392D04" w:rsidRPr="007733D9" w14:paraId="635BE1E3" w14:textId="77777777" w:rsidTr="00015407">
        <w:trPr>
          <w:jc w:val="center"/>
        </w:trPr>
        <w:tc>
          <w:tcPr>
            <w:tcW w:w="2834" w:type="pct"/>
            <w:shd w:val="clear" w:color="auto" w:fill="D9D9D9"/>
            <w:tcMar>
              <w:left w:w="0" w:type="dxa"/>
              <w:right w:w="0" w:type="dxa"/>
            </w:tcMar>
          </w:tcPr>
          <w:p w14:paraId="3993FEFE" w14:textId="77777777" w:rsidR="00392D04" w:rsidRPr="009D1453" w:rsidRDefault="00392D04" w:rsidP="00392D04">
            <w:pPr>
              <w:pStyle w:val="TAH"/>
              <w:spacing w:before="40" w:after="40"/>
              <w:ind w:left="144"/>
              <w:jc w:val="left"/>
              <w:rPr>
                <w:rFonts w:cs="Arial"/>
                <w:b w:val="0"/>
                <w:bCs/>
                <w:szCs w:val="18"/>
              </w:rPr>
            </w:pPr>
            <w:r w:rsidRPr="009D1453">
              <w:rPr>
                <w:rFonts w:cs="Arial"/>
                <w:b w:val="0"/>
                <w:bCs/>
                <w:szCs w:val="18"/>
              </w:rPr>
              <w:t>LDPC decoding</w:t>
            </w:r>
          </w:p>
        </w:tc>
        <w:tc>
          <w:tcPr>
            <w:tcW w:w="1083" w:type="pct"/>
            <w:shd w:val="clear" w:color="auto" w:fill="auto"/>
            <w:tcMar>
              <w:left w:w="0" w:type="dxa"/>
              <w:right w:w="0" w:type="dxa"/>
            </w:tcMar>
            <w:vAlign w:val="center"/>
          </w:tcPr>
          <w:p w14:paraId="7DAA1A88" w14:textId="503C9F9B"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5.4%</w:t>
            </w:r>
          </w:p>
        </w:tc>
        <w:tc>
          <w:tcPr>
            <w:tcW w:w="1083" w:type="pct"/>
            <w:vAlign w:val="bottom"/>
          </w:tcPr>
          <w:p w14:paraId="01C8BF75" w14:textId="6AF45315"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392D04">
              <w:rPr>
                <w:rFonts w:ascii="Arial" w:hAnsi="Arial" w:cs="Arial"/>
                <w:sz w:val="18"/>
                <w:szCs w:val="18"/>
              </w:rPr>
              <w:t>7.2%</w:t>
            </w:r>
          </w:p>
        </w:tc>
      </w:tr>
      <w:tr w:rsidR="00392D04" w:rsidRPr="007733D9" w14:paraId="702CA6F9" w14:textId="77777777" w:rsidTr="00015407">
        <w:trPr>
          <w:jc w:val="center"/>
        </w:trPr>
        <w:tc>
          <w:tcPr>
            <w:tcW w:w="2834" w:type="pct"/>
            <w:shd w:val="clear" w:color="auto" w:fill="D9D9D9"/>
            <w:tcMar>
              <w:left w:w="0" w:type="dxa"/>
              <w:right w:w="0" w:type="dxa"/>
            </w:tcMar>
          </w:tcPr>
          <w:p w14:paraId="56F59F80" w14:textId="77777777" w:rsidR="00392D04" w:rsidRPr="009D1453" w:rsidRDefault="00392D04" w:rsidP="00392D04">
            <w:pPr>
              <w:pStyle w:val="TAH"/>
              <w:spacing w:before="40" w:after="40"/>
              <w:ind w:left="144"/>
              <w:jc w:val="left"/>
              <w:rPr>
                <w:rFonts w:cs="Arial"/>
                <w:b w:val="0"/>
                <w:bCs/>
                <w:szCs w:val="18"/>
              </w:rPr>
            </w:pPr>
            <w:r w:rsidRPr="009D1453">
              <w:rPr>
                <w:rFonts w:cs="Arial"/>
                <w:b w:val="0"/>
                <w:bCs/>
                <w:szCs w:val="18"/>
              </w:rPr>
              <w:t>HARQ buffer</w:t>
            </w:r>
          </w:p>
        </w:tc>
        <w:tc>
          <w:tcPr>
            <w:tcW w:w="1083" w:type="pct"/>
            <w:shd w:val="clear" w:color="auto" w:fill="auto"/>
            <w:tcMar>
              <w:left w:w="0" w:type="dxa"/>
              <w:right w:w="0" w:type="dxa"/>
            </w:tcMar>
            <w:vAlign w:val="center"/>
          </w:tcPr>
          <w:p w14:paraId="27F4C9C4" w14:textId="32C8ADFF"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2.3%</w:t>
            </w:r>
          </w:p>
        </w:tc>
        <w:tc>
          <w:tcPr>
            <w:tcW w:w="1083" w:type="pct"/>
            <w:vAlign w:val="bottom"/>
          </w:tcPr>
          <w:p w14:paraId="74ED3CFE" w14:textId="1C00AC03"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392D04">
              <w:rPr>
                <w:rFonts w:ascii="Arial" w:hAnsi="Arial" w:cs="Arial"/>
                <w:sz w:val="18"/>
                <w:szCs w:val="18"/>
              </w:rPr>
              <w:t>4.7%</w:t>
            </w:r>
          </w:p>
        </w:tc>
      </w:tr>
      <w:tr w:rsidR="00392D04" w:rsidRPr="007733D9" w14:paraId="5C6D20F6" w14:textId="77777777" w:rsidTr="00015407">
        <w:trPr>
          <w:jc w:val="center"/>
        </w:trPr>
        <w:tc>
          <w:tcPr>
            <w:tcW w:w="2834" w:type="pct"/>
            <w:shd w:val="clear" w:color="auto" w:fill="D9D9D9"/>
            <w:tcMar>
              <w:left w:w="0" w:type="dxa"/>
              <w:right w:w="0" w:type="dxa"/>
            </w:tcMar>
          </w:tcPr>
          <w:p w14:paraId="7C0E9B82" w14:textId="77777777" w:rsidR="00392D04" w:rsidRPr="009D1453" w:rsidRDefault="00392D04" w:rsidP="00392D04">
            <w:pPr>
              <w:pStyle w:val="TAH"/>
              <w:spacing w:before="40" w:after="40"/>
              <w:ind w:left="144"/>
              <w:jc w:val="left"/>
              <w:rPr>
                <w:rFonts w:cs="Arial"/>
                <w:b w:val="0"/>
                <w:bCs/>
                <w:szCs w:val="18"/>
              </w:rPr>
            </w:pPr>
            <w:r w:rsidRPr="009D1453">
              <w:rPr>
                <w:rFonts w:cs="Arial"/>
                <w:b w:val="0"/>
                <w:bCs/>
                <w:szCs w:val="18"/>
              </w:rPr>
              <w:t>DL control processing &amp; decoder</w:t>
            </w:r>
          </w:p>
        </w:tc>
        <w:tc>
          <w:tcPr>
            <w:tcW w:w="1083" w:type="pct"/>
            <w:shd w:val="clear" w:color="auto" w:fill="auto"/>
            <w:tcMar>
              <w:left w:w="0" w:type="dxa"/>
              <w:right w:w="0" w:type="dxa"/>
            </w:tcMar>
            <w:vAlign w:val="center"/>
          </w:tcPr>
          <w:p w14:paraId="5770D092" w14:textId="2AA28703"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4.0%</w:t>
            </w:r>
          </w:p>
        </w:tc>
        <w:tc>
          <w:tcPr>
            <w:tcW w:w="1083" w:type="pct"/>
            <w:vAlign w:val="bottom"/>
          </w:tcPr>
          <w:p w14:paraId="1DFE651B" w14:textId="3138D00C"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392D04">
              <w:rPr>
                <w:rFonts w:ascii="Arial" w:hAnsi="Arial" w:cs="Arial"/>
                <w:sz w:val="18"/>
                <w:szCs w:val="18"/>
              </w:rPr>
              <w:t>4.0%</w:t>
            </w:r>
          </w:p>
        </w:tc>
      </w:tr>
      <w:tr w:rsidR="00392D04" w:rsidRPr="007733D9" w14:paraId="4FAB0AEF" w14:textId="77777777" w:rsidTr="00015407">
        <w:trPr>
          <w:jc w:val="center"/>
        </w:trPr>
        <w:tc>
          <w:tcPr>
            <w:tcW w:w="2834" w:type="pct"/>
            <w:shd w:val="clear" w:color="auto" w:fill="D9D9D9"/>
            <w:tcMar>
              <w:left w:w="0" w:type="dxa"/>
              <w:right w:w="0" w:type="dxa"/>
            </w:tcMar>
          </w:tcPr>
          <w:p w14:paraId="61966A89" w14:textId="77777777" w:rsidR="00392D04" w:rsidRPr="009D1453" w:rsidRDefault="00392D04" w:rsidP="00392D04">
            <w:pPr>
              <w:pStyle w:val="TAH"/>
              <w:spacing w:before="40" w:after="40"/>
              <w:ind w:left="144"/>
              <w:jc w:val="left"/>
              <w:rPr>
                <w:rFonts w:cs="Arial"/>
                <w:b w:val="0"/>
                <w:bCs/>
                <w:szCs w:val="18"/>
              </w:rPr>
            </w:pPr>
            <w:r w:rsidRPr="009D1453">
              <w:rPr>
                <w:rFonts w:cs="Arial"/>
                <w:b w:val="0"/>
                <w:bCs/>
                <w:szCs w:val="18"/>
              </w:rPr>
              <w:t>Synchronization / cell search block</w:t>
            </w:r>
          </w:p>
        </w:tc>
        <w:tc>
          <w:tcPr>
            <w:tcW w:w="1083" w:type="pct"/>
            <w:shd w:val="clear" w:color="auto" w:fill="auto"/>
            <w:tcMar>
              <w:left w:w="0" w:type="dxa"/>
              <w:right w:w="0" w:type="dxa"/>
            </w:tcMar>
            <w:vAlign w:val="center"/>
          </w:tcPr>
          <w:p w14:paraId="6281FC8F" w14:textId="168EAE6A"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9.0%</w:t>
            </w:r>
          </w:p>
        </w:tc>
        <w:tc>
          <w:tcPr>
            <w:tcW w:w="1083" w:type="pct"/>
            <w:vAlign w:val="bottom"/>
          </w:tcPr>
          <w:p w14:paraId="2FC2DE48" w14:textId="63783139"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392D04">
              <w:rPr>
                <w:rFonts w:ascii="Arial" w:hAnsi="Arial" w:cs="Arial"/>
                <w:sz w:val="18"/>
                <w:szCs w:val="18"/>
              </w:rPr>
              <w:t>9.0%</w:t>
            </w:r>
          </w:p>
        </w:tc>
      </w:tr>
      <w:tr w:rsidR="00392D04" w:rsidRPr="007733D9" w14:paraId="2A436B09" w14:textId="77777777" w:rsidTr="00015407">
        <w:trPr>
          <w:jc w:val="center"/>
        </w:trPr>
        <w:tc>
          <w:tcPr>
            <w:tcW w:w="2834" w:type="pct"/>
            <w:shd w:val="clear" w:color="auto" w:fill="D9D9D9"/>
            <w:tcMar>
              <w:left w:w="0" w:type="dxa"/>
              <w:right w:w="0" w:type="dxa"/>
            </w:tcMar>
          </w:tcPr>
          <w:p w14:paraId="6FCF4445" w14:textId="77777777" w:rsidR="00392D04" w:rsidRPr="009D1453" w:rsidRDefault="00392D04" w:rsidP="00392D04">
            <w:pPr>
              <w:pStyle w:val="TAH"/>
              <w:spacing w:before="40" w:after="40"/>
              <w:ind w:left="144"/>
              <w:jc w:val="left"/>
              <w:rPr>
                <w:rFonts w:cs="Arial"/>
                <w:b w:val="0"/>
                <w:bCs/>
                <w:szCs w:val="18"/>
              </w:rPr>
            </w:pPr>
            <w:r w:rsidRPr="009D1453">
              <w:rPr>
                <w:rFonts w:cs="Arial"/>
                <w:b w:val="0"/>
                <w:bCs/>
                <w:szCs w:val="18"/>
              </w:rPr>
              <w:t>UL processing block</w:t>
            </w:r>
          </w:p>
        </w:tc>
        <w:tc>
          <w:tcPr>
            <w:tcW w:w="1083" w:type="pct"/>
            <w:shd w:val="clear" w:color="auto" w:fill="auto"/>
            <w:tcMar>
              <w:left w:w="0" w:type="dxa"/>
              <w:right w:w="0" w:type="dxa"/>
            </w:tcMar>
            <w:vAlign w:val="center"/>
          </w:tcPr>
          <w:p w14:paraId="7D7AF5E9" w14:textId="130C7EC1"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1.0%</w:t>
            </w:r>
          </w:p>
        </w:tc>
        <w:tc>
          <w:tcPr>
            <w:tcW w:w="1083" w:type="pct"/>
            <w:vAlign w:val="bottom"/>
          </w:tcPr>
          <w:p w14:paraId="7138ECBE" w14:textId="06473722"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392D04">
              <w:rPr>
                <w:rFonts w:ascii="Arial" w:hAnsi="Arial" w:cs="Arial"/>
                <w:sz w:val="18"/>
                <w:szCs w:val="18"/>
              </w:rPr>
              <w:t>2.0%</w:t>
            </w:r>
          </w:p>
        </w:tc>
      </w:tr>
      <w:tr w:rsidR="00392D04" w:rsidRPr="007733D9" w14:paraId="2ABF9510" w14:textId="77777777" w:rsidTr="00015407">
        <w:trPr>
          <w:jc w:val="center"/>
        </w:trPr>
        <w:tc>
          <w:tcPr>
            <w:tcW w:w="2834" w:type="pct"/>
            <w:shd w:val="clear" w:color="auto" w:fill="D9D9D9"/>
            <w:tcMar>
              <w:left w:w="0" w:type="dxa"/>
              <w:right w:w="0" w:type="dxa"/>
            </w:tcMar>
          </w:tcPr>
          <w:p w14:paraId="776DFC60" w14:textId="77777777" w:rsidR="00392D04" w:rsidRPr="009D1453" w:rsidRDefault="00392D04" w:rsidP="00392D04">
            <w:pPr>
              <w:pStyle w:val="TAH"/>
              <w:spacing w:before="40" w:after="40"/>
              <w:ind w:left="144"/>
              <w:jc w:val="left"/>
              <w:rPr>
                <w:rFonts w:cs="Arial"/>
                <w:b w:val="0"/>
                <w:bCs/>
                <w:szCs w:val="18"/>
              </w:rPr>
            </w:pPr>
            <w:r w:rsidRPr="009D1453">
              <w:rPr>
                <w:rFonts w:cs="Arial"/>
                <w:b w:val="0"/>
                <w:bCs/>
                <w:szCs w:val="18"/>
              </w:rPr>
              <w:t>MIMO specific processing blocks</w:t>
            </w:r>
          </w:p>
        </w:tc>
        <w:tc>
          <w:tcPr>
            <w:tcW w:w="1083" w:type="pct"/>
            <w:shd w:val="clear" w:color="auto" w:fill="auto"/>
            <w:tcMar>
              <w:left w:w="0" w:type="dxa"/>
              <w:right w:w="0" w:type="dxa"/>
            </w:tcMar>
            <w:vAlign w:val="center"/>
          </w:tcPr>
          <w:p w14:paraId="5177F359" w14:textId="5797192E"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9.0%</w:t>
            </w:r>
          </w:p>
        </w:tc>
        <w:tc>
          <w:tcPr>
            <w:tcW w:w="1083" w:type="pct"/>
            <w:vAlign w:val="bottom"/>
          </w:tcPr>
          <w:p w14:paraId="01BF7C92" w14:textId="21ABE946"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392D04">
              <w:rPr>
                <w:rFonts w:ascii="Arial" w:hAnsi="Arial" w:cs="Arial"/>
                <w:sz w:val="18"/>
                <w:szCs w:val="18"/>
              </w:rPr>
              <w:t>9.0%</w:t>
            </w:r>
          </w:p>
        </w:tc>
      </w:tr>
      <w:tr w:rsidR="00392D04" w:rsidRPr="007733D9" w14:paraId="32F876AE" w14:textId="77777777" w:rsidTr="00015407">
        <w:trPr>
          <w:jc w:val="center"/>
        </w:trPr>
        <w:tc>
          <w:tcPr>
            <w:tcW w:w="2834" w:type="pct"/>
            <w:shd w:val="clear" w:color="auto" w:fill="D9D9D9"/>
            <w:tcMar>
              <w:left w:w="0" w:type="dxa"/>
              <w:right w:w="0" w:type="dxa"/>
            </w:tcMar>
          </w:tcPr>
          <w:p w14:paraId="12C6587D" w14:textId="77777777" w:rsidR="00392D04" w:rsidRPr="009D1453" w:rsidRDefault="00392D04" w:rsidP="00392D04">
            <w:pPr>
              <w:pStyle w:val="TAH"/>
              <w:spacing w:before="40" w:after="40"/>
              <w:ind w:left="144"/>
              <w:jc w:val="left"/>
              <w:rPr>
                <w:rFonts w:cs="Arial"/>
                <w:b w:val="0"/>
                <w:bCs/>
                <w:szCs w:val="18"/>
                <w:lang w:eastAsia="zh-CN"/>
              </w:rPr>
            </w:pPr>
            <w:r w:rsidRPr="009D1453">
              <w:rPr>
                <w:rFonts w:cs="Arial"/>
                <w:b w:val="0"/>
                <w:bCs/>
                <w:szCs w:val="18"/>
              </w:rPr>
              <w:t>Total</w:t>
            </w:r>
            <w:r w:rsidRPr="009D1453">
              <w:rPr>
                <w:rFonts w:cs="Arial"/>
                <w:b w:val="0"/>
                <w:bCs/>
                <w:szCs w:val="18"/>
                <w:lang w:eastAsia="zh-CN"/>
              </w:rPr>
              <w:t xml:space="preserve"> of Baseband</w:t>
            </w:r>
          </w:p>
        </w:tc>
        <w:tc>
          <w:tcPr>
            <w:tcW w:w="1083" w:type="pct"/>
            <w:shd w:val="clear" w:color="auto" w:fill="auto"/>
            <w:tcMar>
              <w:left w:w="0" w:type="dxa"/>
              <w:right w:w="0" w:type="dxa"/>
            </w:tcMar>
            <w:vAlign w:val="center"/>
          </w:tcPr>
          <w:p w14:paraId="5E3D666F" w14:textId="5BDE3FC5"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9D1453">
              <w:rPr>
                <w:rFonts w:ascii="Arial" w:hAnsi="Arial" w:cs="Arial"/>
                <w:sz w:val="18"/>
                <w:szCs w:val="18"/>
              </w:rPr>
              <w:t>52%</w:t>
            </w:r>
          </w:p>
        </w:tc>
        <w:tc>
          <w:tcPr>
            <w:tcW w:w="1083" w:type="pct"/>
            <w:vAlign w:val="bottom"/>
          </w:tcPr>
          <w:p w14:paraId="748FA4E9" w14:textId="687FF8D3" w:rsidR="00392D04" w:rsidRPr="009D1453" w:rsidRDefault="00392D04" w:rsidP="00392D04">
            <w:pPr>
              <w:overflowPunct/>
              <w:autoSpaceDE/>
              <w:autoSpaceDN/>
              <w:adjustRightInd/>
              <w:spacing w:before="40" w:after="40"/>
              <w:jc w:val="center"/>
              <w:textAlignment w:val="auto"/>
              <w:rPr>
                <w:rFonts w:ascii="Arial" w:hAnsi="Arial" w:cs="Arial"/>
                <w:sz w:val="18"/>
                <w:szCs w:val="18"/>
              </w:rPr>
            </w:pPr>
            <w:r w:rsidRPr="00392D04">
              <w:rPr>
                <w:rFonts w:ascii="Arial" w:hAnsi="Arial" w:cs="Arial"/>
                <w:sz w:val="18"/>
                <w:szCs w:val="18"/>
              </w:rPr>
              <w:t>6</w:t>
            </w:r>
            <w:r>
              <w:rPr>
                <w:rFonts w:ascii="Arial" w:hAnsi="Arial" w:cs="Arial"/>
                <w:sz w:val="18"/>
                <w:szCs w:val="18"/>
              </w:rPr>
              <w:t>8</w:t>
            </w:r>
            <w:r w:rsidRPr="00392D04">
              <w:rPr>
                <w:rFonts w:ascii="Arial" w:hAnsi="Arial" w:cs="Arial"/>
                <w:sz w:val="18"/>
                <w:szCs w:val="18"/>
              </w:rPr>
              <w:t>%</w:t>
            </w:r>
          </w:p>
        </w:tc>
      </w:tr>
      <w:tr w:rsidR="00BE49F9" w:rsidRPr="007733D9" w14:paraId="63171D61" w14:textId="77777777" w:rsidTr="00BE49F9">
        <w:trPr>
          <w:jc w:val="center"/>
        </w:trPr>
        <w:tc>
          <w:tcPr>
            <w:tcW w:w="2834" w:type="pct"/>
            <w:tcBorders>
              <w:bottom w:val="single" w:sz="12" w:space="0" w:color="000000"/>
            </w:tcBorders>
            <w:shd w:val="clear" w:color="auto" w:fill="D9D9D9"/>
            <w:tcMar>
              <w:left w:w="0" w:type="dxa"/>
              <w:right w:w="0" w:type="dxa"/>
            </w:tcMar>
          </w:tcPr>
          <w:p w14:paraId="00EDC19E" w14:textId="77777777" w:rsidR="00BE49F9" w:rsidRPr="009D1453" w:rsidRDefault="00BE49F9" w:rsidP="00BE49F9">
            <w:pPr>
              <w:pStyle w:val="TAH"/>
              <w:spacing w:before="40" w:after="40"/>
              <w:ind w:left="144"/>
              <w:jc w:val="left"/>
              <w:rPr>
                <w:rFonts w:cs="Arial"/>
                <w:szCs w:val="18"/>
              </w:rPr>
            </w:pPr>
            <w:r w:rsidRPr="009D1453">
              <w:rPr>
                <w:rFonts w:cs="Arial"/>
                <w:szCs w:val="18"/>
              </w:rPr>
              <w:t>Overall relative cost</w:t>
            </w:r>
          </w:p>
        </w:tc>
        <w:tc>
          <w:tcPr>
            <w:tcW w:w="1083" w:type="pct"/>
            <w:tcBorders>
              <w:bottom w:val="single" w:sz="12" w:space="0" w:color="000000"/>
            </w:tcBorders>
            <w:shd w:val="clear" w:color="auto" w:fill="auto"/>
            <w:tcMar>
              <w:left w:w="0" w:type="dxa"/>
              <w:right w:w="0" w:type="dxa"/>
            </w:tcMar>
            <w:vAlign w:val="center"/>
          </w:tcPr>
          <w:p w14:paraId="3C296AB1" w14:textId="7C46CE4F" w:rsidR="00BE49F9" w:rsidRPr="009D1453" w:rsidRDefault="00BE49F9" w:rsidP="00BE49F9">
            <w:pPr>
              <w:overflowPunct/>
              <w:autoSpaceDE/>
              <w:autoSpaceDN/>
              <w:adjustRightInd/>
              <w:spacing w:before="40" w:after="40"/>
              <w:jc w:val="center"/>
              <w:textAlignment w:val="auto"/>
              <w:rPr>
                <w:rFonts w:ascii="Arial" w:hAnsi="Arial" w:cs="Arial"/>
                <w:b/>
                <w:bCs/>
                <w:sz w:val="18"/>
                <w:szCs w:val="18"/>
              </w:rPr>
            </w:pPr>
            <w:r w:rsidRPr="009D1453">
              <w:rPr>
                <w:rFonts w:ascii="Arial" w:hAnsi="Arial" w:cs="Arial"/>
                <w:b/>
                <w:bCs/>
                <w:sz w:val="18"/>
                <w:szCs w:val="18"/>
              </w:rPr>
              <w:t>71%</w:t>
            </w:r>
          </w:p>
        </w:tc>
        <w:tc>
          <w:tcPr>
            <w:tcW w:w="1083" w:type="pct"/>
            <w:tcBorders>
              <w:bottom w:val="single" w:sz="12" w:space="0" w:color="000000"/>
            </w:tcBorders>
            <w:vAlign w:val="center"/>
          </w:tcPr>
          <w:p w14:paraId="1BEEED28" w14:textId="4E50095F" w:rsidR="00BE49F9" w:rsidRPr="009D1453" w:rsidRDefault="001F3FC1" w:rsidP="00BE49F9">
            <w:pPr>
              <w:overflowPunct/>
              <w:autoSpaceDE/>
              <w:autoSpaceDN/>
              <w:adjustRightInd/>
              <w:spacing w:before="40" w:after="40"/>
              <w:jc w:val="center"/>
              <w:textAlignment w:val="auto"/>
              <w:rPr>
                <w:rFonts w:ascii="Arial" w:hAnsi="Arial" w:cs="Arial"/>
                <w:b/>
                <w:bCs/>
                <w:sz w:val="18"/>
                <w:szCs w:val="18"/>
              </w:rPr>
            </w:pPr>
            <w:r>
              <w:rPr>
                <w:rFonts w:ascii="Arial" w:hAnsi="Arial" w:cs="Arial"/>
                <w:b/>
                <w:bCs/>
                <w:sz w:val="18"/>
                <w:szCs w:val="18"/>
              </w:rPr>
              <w:t>8</w:t>
            </w:r>
            <w:r w:rsidR="00BE49F9" w:rsidRPr="009D1453">
              <w:rPr>
                <w:rFonts w:ascii="Arial" w:hAnsi="Arial" w:cs="Arial"/>
                <w:b/>
                <w:bCs/>
                <w:sz w:val="18"/>
                <w:szCs w:val="18"/>
              </w:rPr>
              <w:t>1%</w:t>
            </w:r>
          </w:p>
        </w:tc>
      </w:tr>
    </w:tbl>
    <w:p w14:paraId="055177E7" w14:textId="77777777" w:rsidR="00BE49F9" w:rsidRDefault="00BE49F9" w:rsidP="00A2232A">
      <w:pPr>
        <w:jc w:val="both"/>
        <w:rPr>
          <w:bCs/>
          <w:noProof/>
          <w:lang w:val="en-US" w:eastAsia="en-GB"/>
        </w:rPr>
      </w:pPr>
    </w:p>
    <w:p w14:paraId="4679E9B7" w14:textId="43E4FDAA" w:rsidR="00EB022A" w:rsidRDefault="008927BA" w:rsidP="00A2232A">
      <w:pPr>
        <w:jc w:val="both"/>
        <w:rPr>
          <w:bCs/>
          <w:noProof/>
          <w:lang w:val="en-US" w:eastAsia="en-GB"/>
        </w:rPr>
      </w:pPr>
      <w:r>
        <w:rPr>
          <w:bCs/>
          <w:noProof/>
          <w:lang w:val="en-US" w:eastAsia="en-GB"/>
        </w:rPr>
        <w:t xml:space="preserve">Based on the above discussion, it is proposed that optional </w:t>
      </w:r>
      <w:r w:rsidRPr="008927BA">
        <w:rPr>
          <w:bCs/>
          <w:noProof/>
          <w:lang w:val="en-US" w:eastAsia="en-GB"/>
        </w:rPr>
        <w:t>wider bandwidth up to 40MHz after initial access for FR1 RedCap UE is not supported</w:t>
      </w:r>
      <w:r w:rsidR="00E63395">
        <w:rPr>
          <w:bCs/>
          <w:noProof/>
          <w:lang w:val="en-US" w:eastAsia="en-GB"/>
        </w:rPr>
        <w:t>.</w:t>
      </w:r>
    </w:p>
    <w:p w14:paraId="4E07DA3C" w14:textId="5B50C3B7" w:rsidR="00BF1269" w:rsidRPr="00426BFA" w:rsidRDefault="00376AAE" w:rsidP="00D57FC7">
      <w:pPr>
        <w:jc w:val="both"/>
        <w:rPr>
          <w:b/>
          <w:bCs/>
          <w:lang w:val="en-US"/>
        </w:rPr>
      </w:pPr>
      <w:r>
        <w:rPr>
          <w:b/>
          <w:bCs/>
          <w:lang w:val="en-US"/>
        </w:rPr>
        <w:t xml:space="preserve">Proposal </w:t>
      </w:r>
      <w:r w:rsidR="004A1DF6">
        <w:rPr>
          <w:b/>
          <w:bCs/>
          <w:lang w:val="en-US"/>
        </w:rPr>
        <w:t>4</w:t>
      </w:r>
      <w:r>
        <w:rPr>
          <w:b/>
          <w:bCs/>
          <w:lang w:val="en-US"/>
        </w:rPr>
        <w:t>:</w:t>
      </w:r>
      <w:r w:rsidR="00D57FC7" w:rsidRPr="00426BFA">
        <w:rPr>
          <w:b/>
          <w:bCs/>
          <w:lang w:val="en-US"/>
        </w:rPr>
        <w:t xml:space="preserve"> </w:t>
      </w:r>
      <w:r w:rsidR="008C606E">
        <w:rPr>
          <w:b/>
          <w:bCs/>
          <w:lang w:val="en-US"/>
        </w:rPr>
        <w:t>O</w:t>
      </w:r>
      <w:r w:rsidR="008C606E" w:rsidRPr="008C606E">
        <w:rPr>
          <w:b/>
          <w:bCs/>
          <w:lang w:val="en-US"/>
        </w:rPr>
        <w:t>ptional wider bandwidth up to 40MHz after initial access</w:t>
      </w:r>
      <w:r w:rsidR="008C606E">
        <w:rPr>
          <w:b/>
          <w:bCs/>
          <w:lang w:val="en-US"/>
        </w:rPr>
        <w:t xml:space="preserve"> for FR1 RedCap UE is not supported</w:t>
      </w:r>
      <w:r w:rsidR="00426BFA">
        <w:rPr>
          <w:b/>
          <w:bCs/>
          <w:lang w:val="en-US"/>
        </w:rPr>
        <w:t>.</w:t>
      </w:r>
      <w:r w:rsidR="00D57FC7" w:rsidRPr="00426BFA">
        <w:rPr>
          <w:b/>
          <w:bCs/>
          <w:lang w:val="en-US"/>
        </w:rPr>
        <w:t xml:space="preserve"> </w:t>
      </w:r>
      <w:r w:rsidR="00D57FC7">
        <w:rPr>
          <w:b/>
          <w:bCs/>
          <w:lang w:val="en-US"/>
        </w:rPr>
        <w:t xml:space="preserve"> </w:t>
      </w:r>
    </w:p>
    <w:p w14:paraId="1E4C17F3" w14:textId="05FA7BBD" w:rsidR="00FD56D1" w:rsidRPr="00DE5B89" w:rsidRDefault="007F4995" w:rsidP="00FD56D1">
      <w:pPr>
        <w:pStyle w:val="Heading1"/>
        <w:tabs>
          <w:tab w:val="clear" w:pos="1134"/>
          <w:tab w:val="num" w:pos="709"/>
        </w:tabs>
        <w:ind w:left="709" w:hanging="709"/>
        <w:rPr>
          <w:lang w:val="en-US"/>
        </w:rPr>
      </w:pPr>
      <w:r>
        <w:rPr>
          <w:lang w:val="en-US"/>
        </w:rPr>
        <w:t>Reduced minimum number of Rx branches</w:t>
      </w:r>
    </w:p>
    <w:p w14:paraId="5F1C6156" w14:textId="47D24CFA" w:rsidR="004A4CDF" w:rsidRDefault="004A4CDF" w:rsidP="00F82FC1">
      <w:pPr>
        <w:jc w:val="both"/>
        <w:rPr>
          <w:noProof/>
          <w:lang w:val="en-US" w:eastAsia="en-GB"/>
        </w:rPr>
      </w:pPr>
      <w:r>
        <w:rPr>
          <w:noProof/>
          <w:lang w:val="en-US" w:eastAsia="en-GB"/>
        </w:rPr>
        <w:t>The WI states that –</w:t>
      </w:r>
    </w:p>
    <w:p w14:paraId="670E5CE7" w14:textId="77777777" w:rsidR="004A4CDF" w:rsidRPr="00A53ED0" w:rsidRDefault="004A4CDF" w:rsidP="004A4CDF">
      <w:pPr>
        <w:pStyle w:val="ListParagraph"/>
        <w:numPr>
          <w:ilvl w:val="0"/>
          <w:numId w:val="27"/>
        </w:numPr>
        <w:jc w:val="both"/>
        <w:rPr>
          <w:bCs/>
          <w:noProof/>
          <w:lang w:val="en-US" w:eastAsia="en-GB"/>
        </w:rPr>
      </w:pPr>
      <w:r w:rsidRPr="00A53ED0">
        <w:rPr>
          <w:bCs/>
          <w:noProof/>
          <w:lang w:val="en-US" w:eastAsia="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2D0EFA29" w14:textId="77777777" w:rsidR="004A4CDF" w:rsidRPr="00A53ED0" w:rsidRDefault="004A4CDF" w:rsidP="004A4CDF">
      <w:pPr>
        <w:pStyle w:val="ListParagraph"/>
        <w:numPr>
          <w:ilvl w:val="0"/>
          <w:numId w:val="27"/>
        </w:numPr>
        <w:jc w:val="both"/>
        <w:rPr>
          <w:bCs/>
          <w:noProof/>
          <w:lang w:val="en-US" w:eastAsia="en-GB"/>
        </w:rPr>
      </w:pPr>
      <w:r w:rsidRPr="00A53ED0">
        <w:rPr>
          <w:bCs/>
          <w:noProof/>
          <w:lang w:val="en-US" w:eastAsia="en-GB"/>
        </w:rPr>
        <w:t>For frequency bands where a legacy NR UE (other than 2-Rx vehicular UE) is required to be equipped with a minimum of 4 Rx antenna ports, the minimum number of Rx branches supported by specification for a RedCap UE will be decided at RAN#91e; hence no specific work for these frequency bands will be done before RAN#91e.</w:t>
      </w:r>
    </w:p>
    <w:p w14:paraId="4F03805C" w14:textId="290C8118" w:rsidR="00E30A82" w:rsidRDefault="00EB0921" w:rsidP="00EF44A5">
      <w:pPr>
        <w:jc w:val="both"/>
      </w:pPr>
      <w:r>
        <w:rPr>
          <w:lang w:val="en-US"/>
        </w:rPr>
        <w:t>For reduced number of Rx branches, the main specification impacts are mostly related to RAN4, namely demodulation performance requirements, RRM, CSI reporting requirements, RF, and receiver sensitivity requirements. From RAN1 perspective, potential specification impacts for this feature are mostly related to coverage recovery.</w:t>
      </w:r>
      <w:r w:rsidR="00710452">
        <w:rPr>
          <w:lang w:val="en-US"/>
        </w:rPr>
        <w:t xml:space="preserve"> </w:t>
      </w:r>
      <w:r>
        <w:rPr>
          <w:lang w:val="en-US"/>
        </w:rPr>
        <w:t xml:space="preserve">However, as </w:t>
      </w:r>
      <w:r w:rsidR="00710452">
        <w:rPr>
          <w:lang w:val="en-US"/>
        </w:rPr>
        <w:t xml:space="preserve">noted in </w:t>
      </w:r>
      <w:r w:rsidR="00710452">
        <w:rPr>
          <w:lang w:val="en-US"/>
        </w:rPr>
        <w:fldChar w:fldCharType="begin"/>
      </w:r>
      <w:r w:rsidR="00710452">
        <w:rPr>
          <w:lang w:val="en-US"/>
        </w:rPr>
        <w:instrText xml:space="preserve"> REF _Ref60741089 \n \h </w:instrText>
      </w:r>
      <w:r w:rsidR="00710452">
        <w:rPr>
          <w:lang w:val="en-US"/>
        </w:rPr>
      </w:r>
      <w:r w:rsidR="00710452">
        <w:rPr>
          <w:lang w:val="en-US"/>
        </w:rPr>
        <w:fldChar w:fldCharType="separate"/>
      </w:r>
      <w:r w:rsidR="00343309">
        <w:rPr>
          <w:lang w:val="en-US"/>
        </w:rPr>
        <w:t>[2]</w:t>
      </w:r>
      <w:r w:rsidR="00710452">
        <w:rPr>
          <w:lang w:val="en-US"/>
        </w:rPr>
        <w:fldChar w:fldCharType="end"/>
      </w:r>
      <w:r w:rsidR="00710452">
        <w:rPr>
          <w:lang w:val="en-US"/>
        </w:rPr>
        <w:t xml:space="preserve">, although there are performance loss associated with reducing the number of Rx branches, generally </w:t>
      </w:r>
      <w:r w:rsidR="00710452" w:rsidRPr="00562A55">
        <w:t xml:space="preserve">the </w:t>
      </w:r>
      <w:r w:rsidR="00710452">
        <w:t>coverage</w:t>
      </w:r>
      <w:r w:rsidR="00710452" w:rsidRPr="00562A55">
        <w:t xml:space="preserve"> of the DL channels is better that that of the bottleneck channel for the reference NR UE</w:t>
      </w:r>
      <w:r w:rsidR="00710452">
        <w:t>. The only exception is for 4Rx → 1Rx reduction with reduced antenna efficiency. However, as it is not clear what would be the minimum number of Rx branches for frequency bands where a legacy NR UE is required to be equipped with a minimum of 4 Rx antenna ports, it is not yet clear whether there would be any specification impact.</w:t>
      </w:r>
    </w:p>
    <w:p w14:paraId="6150F51E" w14:textId="3ECE56FF" w:rsidR="002F16F8" w:rsidRPr="00E30A82" w:rsidRDefault="002F16F8" w:rsidP="002F16F8">
      <w:pPr>
        <w:jc w:val="both"/>
        <w:rPr>
          <w:noProof/>
          <w:lang w:val="en-US" w:eastAsia="en-GB"/>
        </w:rPr>
      </w:pPr>
      <w:r>
        <w:rPr>
          <w:noProof/>
          <w:lang w:val="en-US" w:eastAsia="en-GB"/>
        </w:rPr>
        <w:t xml:space="preserve">One potential optimization is related to RedCap identification in Msg1 which could help with MCS selection </w:t>
      </w:r>
      <w:r w:rsidR="00DE4356">
        <w:rPr>
          <w:noProof/>
          <w:lang w:val="en-US" w:eastAsia="en-GB"/>
        </w:rPr>
        <w:t xml:space="preserve">and resource allocation </w:t>
      </w:r>
      <w:r>
        <w:rPr>
          <w:noProof/>
          <w:lang w:val="en-US" w:eastAsia="en-GB"/>
        </w:rPr>
        <w:t>for subsequent messages during initial access.</w:t>
      </w:r>
      <w:r w:rsidR="000F66EF">
        <w:rPr>
          <w:noProof/>
          <w:lang w:val="en-US" w:eastAsia="en-GB"/>
        </w:rPr>
        <w:t xml:space="preserve"> Otherwise, the gNB would have to treat all UEs as RedCap UEs until the type is known.</w:t>
      </w:r>
    </w:p>
    <w:p w14:paraId="18CB1ABB" w14:textId="055D13DF" w:rsidR="004D5BE2" w:rsidRDefault="00EF44A5" w:rsidP="00EF44A5">
      <w:pPr>
        <w:jc w:val="both"/>
        <w:rPr>
          <w:noProof/>
          <w:lang w:val="en-US" w:eastAsia="en-GB"/>
        </w:rPr>
      </w:pPr>
      <w:r>
        <w:rPr>
          <w:b/>
          <w:bCs/>
          <w:noProof/>
          <w:lang w:val="en-US" w:eastAsia="en-GB"/>
        </w:rPr>
        <w:t xml:space="preserve">Proposal </w:t>
      </w:r>
      <w:r w:rsidR="004A1DF6">
        <w:rPr>
          <w:b/>
          <w:bCs/>
          <w:noProof/>
          <w:lang w:val="en-US" w:eastAsia="en-GB"/>
        </w:rPr>
        <w:t>5</w:t>
      </w:r>
      <w:r>
        <w:rPr>
          <w:b/>
          <w:bCs/>
          <w:noProof/>
          <w:lang w:val="en-US" w:eastAsia="en-GB"/>
        </w:rPr>
        <w:t xml:space="preserve">: </w:t>
      </w:r>
      <w:r w:rsidR="00B66356">
        <w:rPr>
          <w:b/>
          <w:bCs/>
          <w:noProof/>
          <w:lang w:val="en-US" w:eastAsia="en-GB"/>
        </w:rPr>
        <w:t xml:space="preserve">There is no RAN1 specification impact from reducing the minimim number of Rx branches </w:t>
      </w:r>
      <w:r w:rsidR="00E97405">
        <w:rPr>
          <w:b/>
          <w:bCs/>
          <w:noProof/>
          <w:lang w:val="en-US" w:eastAsia="en-GB"/>
        </w:rPr>
        <w:t xml:space="preserve">in </w:t>
      </w:r>
      <w:r w:rsidR="00386932" w:rsidRPr="00386932">
        <w:rPr>
          <w:b/>
          <w:bCs/>
          <w:noProof/>
          <w:lang w:val="en-US" w:eastAsia="en-GB"/>
        </w:rPr>
        <w:t>frequency bands where a legacy NR UE is required to be equipped with a minimum of 2 Rx antenna ports</w:t>
      </w:r>
      <w:r w:rsidR="008C1B58">
        <w:rPr>
          <w:b/>
          <w:bCs/>
          <w:noProof/>
          <w:lang w:val="en-US" w:eastAsia="en-GB"/>
        </w:rPr>
        <w:t xml:space="preserve">, except for </w:t>
      </w:r>
      <w:r w:rsidR="00DE4356">
        <w:rPr>
          <w:b/>
          <w:bCs/>
          <w:noProof/>
          <w:lang w:val="en-US" w:eastAsia="en-GB"/>
        </w:rPr>
        <w:t xml:space="preserve">possible </w:t>
      </w:r>
      <w:r w:rsidR="008C1B58">
        <w:rPr>
          <w:b/>
          <w:bCs/>
          <w:noProof/>
          <w:lang w:val="en-US" w:eastAsia="en-GB"/>
        </w:rPr>
        <w:t>RedCap early identification in Msg1 for potential optimization</w:t>
      </w:r>
      <w:r>
        <w:rPr>
          <w:b/>
          <w:bCs/>
          <w:noProof/>
          <w:lang w:val="en-US" w:eastAsia="en-GB"/>
        </w:rPr>
        <w:t>.</w:t>
      </w:r>
    </w:p>
    <w:p w14:paraId="38620B57" w14:textId="7266721E" w:rsidR="00135982" w:rsidRDefault="004D5BE2" w:rsidP="00135982">
      <w:pPr>
        <w:jc w:val="both"/>
        <w:rPr>
          <w:bCs/>
          <w:noProof/>
          <w:lang w:val="en-US" w:eastAsia="en-GB"/>
        </w:rPr>
      </w:pPr>
      <w:r>
        <w:rPr>
          <w:noProof/>
          <w:lang w:val="en-US" w:eastAsia="en-GB"/>
        </w:rPr>
        <w:t xml:space="preserve">For FR1 TDD with minimum of 4 Rx antennas, the </w:t>
      </w:r>
      <w:r w:rsidRPr="00A53ED0">
        <w:rPr>
          <w:bCs/>
          <w:noProof/>
          <w:lang w:val="en-US" w:eastAsia="en-GB"/>
        </w:rPr>
        <w:t>minimum number of Rx branches</w:t>
      </w:r>
      <w:r>
        <w:rPr>
          <w:bCs/>
          <w:noProof/>
          <w:lang w:val="en-US" w:eastAsia="en-GB"/>
        </w:rPr>
        <w:t xml:space="preserve"> has not been agreed. </w:t>
      </w:r>
      <w:r w:rsidRPr="004D5BE2">
        <w:rPr>
          <w:rFonts w:hint="eastAsia"/>
          <w:bCs/>
          <w:noProof/>
          <w:lang w:val="en-US" w:eastAsia="en-GB"/>
        </w:rPr>
        <w:t>From the simulation results</w:t>
      </w:r>
      <w:r>
        <w:rPr>
          <w:bCs/>
          <w:noProof/>
          <w:lang w:val="en-US" w:eastAsia="en-GB"/>
        </w:rPr>
        <w:t xml:space="preserve"> presented in </w:t>
      </w:r>
      <w:r w:rsidR="00FC02C2">
        <w:rPr>
          <w:bCs/>
          <w:noProof/>
          <w:lang w:val="en-US" w:eastAsia="en-GB"/>
        </w:rPr>
        <w:fldChar w:fldCharType="begin"/>
      </w:r>
      <w:r w:rsidR="00FC02C2">
        <w:rPr>
          <w:bCs/>
          <w:noProof/>
          <w:lang w:val="en-US" w:eastAsia="en-GB"/>
        </w:rPr>
        <w:instrText xml:space="preserve"> REF _Ref60822310 \n \h </w:instrText>
      </w:r>
      <w:r w:rsidR="00FC02C2">
        <w:rPr>
          <w:bCs/>
          <w:noProof/>
          <w:lang w:val="en-US" w:eastAsia="en-GB"/>
        </w:rPr>
      </w:r>
      <w:r w:rsidR="00FC02C2">
        <w:rPr>
          <w:bCs/>
          <w:noProof/>
          <w:lang w:val="en-US" w:eastAsia="en-GB"/>
        </w:rPr>
        <w:fldChar w:fldCharType="separate"/>
      </w:r>
      <w:r w:rsidR="00343309">
        <w:rPr>
          <w:bCs/>
          <w:noProof/>
          <w:lang w:val="en-US" w:eastAsia="en-GB"/>
        </w:rPr>
        <w:t>[3]</w:t>
      </w:r>
      <w:r w:rsidR="00FC02C2">
        <w:rPr>
          <w:bCs/>
          <w:noProof/>
          <w:lang w:val="en-US" w:eastAsia="en-GB"/>
        </w:rPr>
        <w:fldChar w:fldCharType="end"/>
      </w:r>
      <w:r w:rsidRPr="004D5BE2">
        <w:rPr>
          <w:rFonts w:hint="eastAsia"/>
          <w:bCs/>
          <w:noProof/>
          <w:lang w:val="en-US" w:eastAsia="en-GB"/>
        </w:rPr>
        <w:t>, it is seen that there are substantial link-level loss when the number of Rx antennas is reduced. In general, when the reduction is by half (e.g. 4Rx</w:t>
      </w:r>
      <w:r w:rsidRPr="004D5BE2">
        <w:rPr>
          <w:rFonts w:hint="eastAsia"/>
          <w:bCs/>
          <w:noProof/>
          <w:lang w:val="en-US" w:eastAsia="en-GB"/>
        </w:rPr>
        <w:t>→</w:t>
      </w:r>
      <w:r w:rsidRPr="004D5BE2">
        <w:rPr>
          <w:rFonts w:hint="eastAsia"/>
          <w:bCs/>
          <w:noProof/>
          <w:lang w:val="en-US" w:eastAsia="en-GB"/>
        </w:rPr>
        <w:t>2Rx or 2Rx</w:t>
      </w:r>
      <w:r w:rsidRPr="004D5BE2">
        <w:rPr>
          <w:rFonts w:hint="eastAsia"/>
          <w:bCs/>
          <w:noProof/>
          <w:lang w:val="en-US" w:eastAsia="en-GB"/>
        </w:rPr>
        <w:t>→</w:t>
      </w:r>
      <w:r w:rsidRPr="004D5BE2">
        <w:rPr>
          <w:rFonts w:hint="eastAsia"/>
          <w:bCs/>
          <w:noProof/>
          <w:lang w:val="en-US" w:eastAsia="en-GB"/>
        </w:rPr>
        <w:t>1Rx), the loss may be an acceptable trade-off to cost reduction. However, from 4Rx</w:t>
      </w:r>
      <w:r w:rsidRPr="004D5BE2">
        <w:rPr>
          <w:rFonts w:hint="eastAsia"/>
          <w:bCs/>
          <w:noProof/>
          <w:lang w:val="en-US" w:eastAsia="en-GB"/>
        </w:rPr>
        <w:t>→</w:t>
      </w:r>
      <w:r w:rsidRPr="004D5BE2">
        <w:rPr>
          <w:rFonts w:hint="eastAsia"/>
          <w:bCs/>
          <w:noProof/>
          <w:lang w:val="en-US" w:eastAsia="en-GB"/>
        </w:rPr>
        <w:t>1Rx, the loss of 7.2 dB will severely impact coverage. Note that this loss is determined at 10% BLER. For some messages (e.g. Msg2) where HARQ is not used, the eNB would have to target lower BLER (e.g. 1%). At 1% BLER, the loss from 4Rx</w:t>
      </w:r>
      <w:r w:rsidRPr="004D5BE2">
        <w:rPr>
          <w:rFonts w:hint="eastAsia"/>
          <w:bCs/>
          <w:noProof/>
          <w:lang w:val="en-US" w:eastAsia="en-GB"/>
        </w:rPr>
        <w:t>→</w:t>
      </w:r>
      <w:r w:rsidRPr="004D5BE2">
        <w:rPr>
          <w:rFonts w:hint="eastAsia"/>
          <w:bCs/>
          <w:noProof/>
          <w:lang w:val="en-US" w:eastAsia="en-GB"/>
        </w:rPr>
        <w:t>1Rx</w:t>
      </w:r>
      <w:r w:rsidRPr="004D5BE2">
        <w:rPr>
          <w:bCs/>
          <w:noProof/>
          <w:lang w:val="en-US" w:eastAsia="en-GB"/>
        </w:rPr>
        <w:t xml:space="preserve"> is even larger (8.2 dB for the example</w:t>
      </w:r>
      <w:r w:rsidR="00CC080D">
        <w:rPr>
          <w:bCs/>
          <w:noProof/>
          <w:lang w:val="en-US" w:eastAsia="en-GB"/>
        </w:rPr>
        <w:t xml:space="preserve"> </w:t>
      </w:r>
      <w:r w:rsidR="00CC080D">
        <w:rPr>
          <w:bCs/>
          <w:noProof/>
          <w:lang w:val="en-US" w:eastAsia="en-GB"/>
        </w:rPr>
        <w:fldChar w:fldCharType="begin"/>
      </w:r>
      <w:r w:rsidR="00CC080D">
        <w:rPr>
          <w:bCs/>
          <w:noProof/>
          <w:lang w:val="en-US" w:eastAsia="en-GB"/>
        </w:rPr>
        <w:instrText xml:space="preserve"> REF _Ref60822310 \n \h </w:instrText>
      </w:r>
      <w:r w:rsidR="00CC080D">
        <w:rPr>
          <w:bCs/>
          <w:noProof/>
          <w:lang w:val="en-US" w:eastAsia="en-GB"/>
        </w:rPr>
      </w:r>
      <w:r w:rsidR="00CC080D">
        <w:rPr>
          <w:bCs/>
          <w:noProof/>
          <w:lang w:val="en-US" w:eastAsia="en-GB"/>
        </w:rPr>
        <w:fldChar w:fldCharType="separate"/>
      </w:r>
      <w:r w:rsidR="00343309">
        <w:rPr>
          <w:bCs/>
          <w:noProof/>
          <w:lang w:val="en-US" w:eastAsia="en-GB"/>
        </w:rPr>
        <w:t>[3]</w:t>
      </w:r>
      <w:r w:rsidR="00CC080D">
        <w:rPr>
          <w:bCs/>
          <w:noProof/>
          <w:lang w:val="en-US" w:eastAsia="en-GB"/>
        </w:rPr>
        <w:fldChar w:fldCharType="end"/>
      </w:r>
      <w:r w:rsidRPr="004D5BE2">
        <w:rPr>
          <w:bCs/>
          <w:noProof/>
          <w:lang w:val="en-US" w:eastAsia="en-GB"/>
        </w:rPr>
        <w:t>). In addition, due to small form factor, additional antenna efficiency loss of up to 3dB also needs to be considered.</w:t>
      </w:r>
      <w:r w:rsidR="00135982">
        <w:rPr>
          <w:bCs/>
          <w:noProof/>
          <w:lang w:val="en-US" w:eastAsia="en-GB"/>
        </w:rPr>
        <w:t xml:space="preserve"> Indeed, coverage analysis from </w:t>
      </w:r>
      <w:r w:rsidR="00135982">
        <w:rPr>
          <w:bCs/>
          <w:noProof/>
          <w:lang w:val="en-US" w:eastAsia="en-GB"/>
        </w:rPr>
        <w:fldChar w:fldCharType="begin"/>
      </w:r>
      <w:r w:rsidR="00135982">
        <w:rPr>
          <w:bCs/>
          <w:noProof/>
          <w:lang w:val="en-US" w:eastAsia="en-GB"/>
        </w:rPr>
        <w:instrText xml:space="preserve"> REF _Ref60741089 \n \h </w:instrText>
      </w:r>
      <w:r w:rsidR="00135982">
        <w:rPr>
          <w:bCs/>
          <w:noProof/>
          <w:lang w:val="en-US" w:eastAsia="en-GB"/>
        </w:rPr>
      </w:r>
      <w:r w:rsidR="00135982">
        <w:rPr>
          <w:bCs/>
          <w:noProof/>
          <w:lang w:val="en-US" w:eastAsia="en-GB"/>
        </w:rPr>
        <w:fldChar w:fldCharType="separate"/>
      </w:r>
      <w:r w:rsidR="00343309">
        <w:rPr>
          <w:bCs/>
          <w:noProof/>
          <w:lang w:val="en-US" w:eastAsia="en-GB"/>
        </w:rPr>
        <w:t>[2]</w:t>
      </w:r>
      <w:r w:rsidR="00135982">
        <w:rPr>
          <w:bCs/>
          <w:noProof/>
          <w:lang w:val="en-US" w:eastAsia="en-GB"/>
        </w:rPr>
        <w:fldChar w:fldCharType="end"/>
      </w:r>
      <w:r w:rsidR="00135982">
        <w:rPr>
          <w:bCs/>
          <w:noProof/>
          <w:lang w:val="en-US" w:eastAsia="en-GB"/>
        </w:rPr>
        <w:t xml:space="preserve"> shows that DL coverage recovery will be needed if 1Rx is supported for FR1 TDD.</w:t>
      </w:r>
    </w:p>
    <w:p w14:paraId="3E71EBE2" w14:textId="66742848" w:rsidR="006B7229" w:rsidRDefault="006B7229" w:rsidP="006B7229">
      <w:pPr>
        <w:jc w:val="both"/>
        <w:rPr>
          <w:noProof/>
          <w:lang w:val="en-US" w:eastAsia="en-GB"/>
        </w:rPr>
      </w:pPr>
      <w:r>
        <w:rPr>
          <w:b/>
          <w:bCs/>
          <w:noProof/>
          <w:lang w:val="en-US" w:eastAsia="en-GB"/>
        </w:rPr>
        <w:t xml:space="preserve">Proposal </w:t>
      </w:r>
      <w:r w:rsidR="004A1DF6">
        <w:rPr>
          <w:b/>
          <w:bCs/>
          <w:noProof/>
          <w:lang w:val="en-US" w:eastAsia="en-GB"/>
        </w:rPr>
        <w:t>6</w:t>
      </w:r>
      <w:r>
        <w:rPr>
          <w:b/>
          <w:bCs/>
          <w:noProof/>
          <w:lang w:val="en-US" w:eastAsia="en-GB"/>
        </w:rPr>
        <w:t xml:space="preserve">: </w:t>
      </w:r>
      <w:r w:rsidR="00135982" w:rsidRPr="00135982">
        <w:rPr>
          <w:b/>
          <w:bCs/>
          <w:noProof/>
          <w:lang w:val="en-US" w:eastAsia="en-GB"/>
        </w:rPr>
        <w:t xml:space="preserve">For frequency bands where a legacy NR UE is required to be equipped with a minimum of </w:t>
      </w:r>
      <w:r w:rsidR="00135982">
        <w:rPr>
          <w:b/>
          <w:bCs/>
          <w:noProof/>
          <w:lang w:val="en-US" w:eastAsia="en-GB"/>
        </w:rPr>
        <w:t>4</w:t>
      </w:r>
      <w:r w:rsidR="00135982" w:rsidRPr="00135982">
        <w:rPr>
          <w:b/>
          <w:bCs/>
          <w:noProof/>
          <w:lang w:val="en-US" w:eastAsia="en-GB"/>
        </w:rPr>
        <w:t xml:space="preserve"> Rx antenna ports, the minimum number of Rx branches supported by specification for a RedCap UE is </w:t>
      </w:r>
      <w:r w:rsidR="00135982">
        <w:rPr>
          <w:b/>
          <w:bCs/>
          <w:noProof/>
          <w:lang w:val="en-US" w:eastAsia="en-GB"/>
        </w:rPr>
        <w:t>2</w:t>
      </w:r>
      <w:r>
        <w:rPr>
          <w:b/>
          <w:bCs/>
          <w:noProof/>
          <w:lang w:val="en-US" w:eastAsia="en-GB"/>
        </w:rPr>
        <w:t>.</w:t>
      </w:r>
    </w:p>
    <w:p w14:paraId="01002958" w14:textId="6D2191E5" w:rsidR="000F19F7" w:rsidRPr="00DE5B89" w:rsidRDefault="007F4995" w:rsidP="000F19F7">
      <w:pPr>
        <w:pStyle w:val="Heading1"/>
        <w:tabs>
          <w:tab w:val="clear" w:pos="1134"/>
          <w:tab w:val="num" w:pos="709"/>
        </w:tabs>
        <w:ind w:left="709" w:hanging="709"/>
        <w:rPr>
          <w:lang w:val="en-US"/>
        </w:rPr>
      </w:pPr>
      <w:r w:rsidRPr="007F4995">
        <w:rPr>
          <w:lang w:val="en-US"/>
        </w:rPr>
        <w:t>Maximum number of DL MIMO layers</w:t>
      </w:r>
    </w:p>
    <w:p w14:paraId="11C48141" w14:textId="3D4320B2" w:rsidR="003E6A4B" w:rsidRDefault="00AF0CC9" w:rsidP="000F19F7">
      <w:pPr>
        <w:jc w:val="both"/>
        <w:rPr>
          <w:lang w:val="en-US"/>
        </w:rPr>
      </w:pPr>
      <w:r>
        <w:rPr>
          <w:noProof/>
          <w:lang w:val="en-US" w:eastAsia="en-GB"/>
        </w:rPr>
        <w:t xml:space="preserve">The WI states that for a RedCap UE with 2 Rx branches, 2 DL MIMO layers are supported. </w:t>
      </w:r>
      <w:r w:rsidR="00EB4456">
        <w:rPr>
          <w:noProof/>
          <w:lang w:val="en-US" w:eastAsia="en-GB"/>
        </w:rPr>
        <w:t>In addiiton, for a RedCap UE with 1 Rx branc</w:t>
      </w:r>
      <w:r w:rsidR="00481E75">
        <w:rPr>
          <w:noProof/>
          <w:lang w:val="en-US" w:eastAsia="en-GB"/>
        </w:rPr>
        <w:t>h</w:t>
      </w:r>
      <w:r w:rsidR="00EB4456">
        <w:rPr>
          <w:noProof/>
          <w:lang w:val="en-US" w:eastAsia="en-GB"/>
        </w:rPr>
        <w:t>, 1 DL MIMO is supported. Thus, the number of supported DL MIMO layer is directly dependent on the number of Rx branches.</w:t>
      </w:r>
      <w:r w:rsidR="00CA4730">
        <w:rPr>
          <w:noProof/>
          <w:lang w:val="en-US" w:eastAsia="en-GB"/>
        </w:rPr>
        <w:t xml:space="preserve"> </w:t>
      </w:r>
      <w:r w:rsidR="003E6A4B">
        <w:rPr>
          <w:lang w:val="en-US"/>
        </w:rPr>
        <w:t>During initial access</w:t>
      </w:r>
      <w:r w:rsidR="00CA4730">
        <w:rPr>
          <w:lang w:val="en-US"/>
        </w:rPr>
        <w:t xml:space="preserve"> and in idle mode</w:t>
      </w:r>
      <w:r w:rsidR="003E6A4B">
        <w:rPr>
          <w:lang w:val="en-US"/>
        </w:rPr>
        <w:t xml:space="preserve">, </w:t>
      </w:r>
      <w:r w:rsidR="00481E75">
        <w:rPr>
          <w:lang w:val="en-US"/>
        </w:rPr>
        <w:t xml:space="preserve">all downlink transmission uses a single layer, so there is no </w:t>
      </w:r>
      <w:r w:rsidR="00CA4730">
        <w:rPr>
          <w:lang w:val="en-US"/>
        </w:rPr>
        <w:t>issue. In connected</w:t>
      </w:r>
      <w:r w:rsidR="003E6A4B">
        <w:rPr>
          <w:lang w:val="en-US"/>
        </w:rPr>
        <w:t xml:space="preserve"> </w:t>
      </w:r>
      <w:r w:rsidR="00CA4730">
        <w:rPr>
          <w:lang w:val="en-US"/>
        </w:rPr>
        <w:t xml:space="preserve">mode, UE capability is known and the gNB can handle each UE type appropriately. Therefore, there is no RAN1 specification impact for RedCap UE supporting 1 </w:t>
      </w:r>
      <w:r w:rsidR="00017E2E">
        <w:rPr>
          <w:lang w:val="en-US"/>
        </w:rPr>
        <w:t xml:space="preserve">or 2 </w:t>
      </w:r>
      <w:r w:rsidR="00CA4730">
        <w:rPr>
          <w:lang w:val="en-US"/>
        </w:rPr>
        <w:t>downlink MIMO layer.</w:t>
      </w:r>
    </w:p>
    <w:p w14:paraId="30868F77" w14:textId="3246D612" w:rsidR="00481E75" w:rsidRDefault="00481E75" w:rsidP="00481E75">
      <w:pPr>
        <w:jc w:val="both"/>
        <w:rPr>
          <w:b/>
          <w:bCs/>
          <w:noProof/>
          <w:lang w:val="en-US" w:eastAsia="en-GB"/>
        </w:rPr>
      </w:pPr>
      <w:r>
        <w:rPr>
          <w:b/>
          <w:bCs/>
          <w:noProof/>
          <w:lang w:val="en-US" w:eastAsia="en-GB"/>
        </w:rPr>
        <w:t xml:space="preserve">Proposal </w:t>
      </w:r>
      <w:r w:rsidR="004A1DF6">
        <w:rPr>
          <w:b/>
          <w:bCs/>
          <w:noProof/>
          <w:lang w:val="en-US" w:eastAsia="en-GB"/>
        </w:rPr>
        <w:t>7</w:t>
      </w:r>
      <w:r>
        <w:rPr>
          <w:b/>
          <w:bCs/>
          <w:noProof/>
          <w:lang w:val="en-US" w:eastAsia="en-GB"/>
        </w:rPr>
        <w:t xml:space="preserve">: There is no RAN1 specification impact </w:t>
      </w:r>
      <w:r w:rsidR="00CA4730">
        <w:rPr>
          <w:b/>
          <w:bCs/>
          <w:noProof/>
          <w:lang w:val="en-US" w:eastAsia="en-GB"/>
        </w:rPr>
        <w:t xml:space="preserve">for </w:t>
      </w:r>
      <w:r>
        <w:rPr>
          <w:b/>
          <w:bCs/>
          <w:noProof/>
          <w:lang w:val="en-US" w:eastAsia="en-GB"/>
        </w:rPr>
        <w:t xml:space="preserve">RedCap UE supporting 1 </w:t>
      </w:r>
      <w:r w:rsidR="008134FD">
        <w:rPr>
          <w:b/>
          <w:bCs/>
          <w:noProof/>
          <w:lang w:val="en-US" w:eastAsia="en-GB"/>
        </w:rPr>
        <w:t xml:space="preserve">or 2 </w:t>
      </w:r>
      <w:r>
        <w:rPr>
          <w:b/>
          <w:bCs/>
          <w:noProof/>
          <w:lang w:val="en-US" w:eastAsia="en-GB"/>
        </w:rPr>
        <w:t>downlink MIMO layer.</w:t>
      </w:r>
    </w:p>
    <w:p w14:paraId="5D914DB3" w14:textId="1107680F" w:rsidR="007F4995" w:rsidRPr="00DE5B89" w:rsidRDefault="000F2E8C" w:rsidP="007F4995">
      <w:pPr>
        <w:pStyle w:val="Heading1"/>
        <w:tabs>
          <w:tab w:val="clear" w:pos="1134"/>
          <w:tab w:val="num" w:pos="709"/>
        </w:tabs>
        <w:ind w:left="709" w:hanging="709"/>
        <w:rPr>
          <w:lang w:val="en-US"/>
        </w:rPr>
      </w:pPr>
      <w:r w:rsidRPr="000F2E8C">
        <w:rPr>
          <w:lang w:val="en-US"/>
        </w:rPr>
        <w:t>Relaxed maximum modulation order</w:t>
      </w:r>
    </w:p>
    <w:p w14:paraId="20200FAB" w14:textId="0C7A9536" w:rsidR="003708AE" w:rsidRDefault="003708AE" w:rsidP="003708AE">
      <w:pPr>
        <w:jc w:val="both"/>
        <w:rPr>
          <w:lang w:val="en-US"/>
        </w:rPr>
      </w:pPr>
      <w:r>
        <w:rPr>
          <w:lang w:val="en-US"/>
        </w:rPr>
        <w:t xml:space="preserve">In </w:t>
      </w:r>
      <w:r>
        <w:rPr>
          <w:lang w:val="en-US"/>
        </w:rPr>
        <w:fldChar w:fldCharType="begin"/>
      </w:r>
      <w:r>
        <w:rPr>
          <w:lang w:val="en-US"/>
        </w:rPr>
        <w:instrText xml:space="preserve"> REF _Ref3999986 \n \h </w:instrText>
      </w:r>
      <w:r>
        <w:rPr>
          <w:lang w:val="en-US"/>
        </w:rPr>
      </w:r>
      <w:r>
        <w:rPr>
          <w:lang w:val="en-US"/>
        </w:rPr>
        <w:fldChar w:fldCharType="separate"/>
      </w:r>
      <w:r w:rsidR="00343309">
        <w:rPr>
          <w:lang w:val="en-US"/>
        </w:rPr>
        <w:t>[1]</w:t>
      </w:r>
      <w:r>
        <w:rPr>
          <w:lang w:val="en-US"/>
        </w:rPr>
        <w:fldChar w:fldCharType="end"/>
      </w:r>
      <w:r>
        <w:rPr>
          <w:lang w:val="en-US"/>
        </w:rPr>
        <w:t>, it was stated that s</w:t>
      </w:r>
      <w:r w:rsidRPr="003708AE">
        <w:rPr>
          <w:lang w:val="en-US"/>
        </w:rPr>
        <w:t>upport of 256</w:t>
      </w:r>
      <w:r w:rsidR="00FB4474">
        <w:rPr>
          <w:lang w:val="en-US"/>
        </w:rPr>
        <w:t>-</w:t>
      </w:r>
      <w:r w:rsidRPr="003708AE">
        <w:rPr>
          <w:lang w:val="en-US"/>
        </w:rPr>
        <w:t xml:space="preserve">QAM in </w:t>
      </w:r>
      <w:r w:rsidR="00FB4474">
        <w:rPr>
          <w:lang w:val="en-US"/>
        </w:rPr>
        <w:t>the downlink</w:t>
      </w:r>
      <w:r w:rsidRPr="003708AE">
        <w:rPr>
          <w:lang w:val="en-US"/>
        </w:rPr>
        <w:t xml:space="preserve"> is optional (instead of mandatory) for an FR1 RedCap UE.</w:t>
      </w:r>
      <w:r>
        <w:rPr>
          <w:lang w:val="en-US"/>
        </w:rPr>
        <w:t xml:space="preserve"> In addition, no</w:t>
      </w:r>
      <w:r w:rsidR="00063482">
        <w:rPr>
          <w:lang w:val="en-US"/>
        </w:rPr>
        <w:t xml:space="preserve"> </w:t>
      </w:r>
      <w:r w:rsidRPr="003708AE">
        <w:rPr>
          <w:lang w:val="en-US"/>
        </w:rPr>
        <w:t>other relaxations of maximum modulation order are specified for a RedCap UE.</w:t>
      </w:r>
      <w:r>
        <w:rPr>
          <w:lang w:val="en-US"/>
        </w:rPr>
        <w:t xml:space="preserve"> In term of RAN1 specification impact for this feature, the following potential items are listed –</w:t>
      </w:r>
    </w:p>
    <w:p w14:paraId="67A80D7B" w14:textId="227F38D2" w:rsidR="003708AE" w:rsidRDefault="003708AE" w:rsidP="003708AE">
      <w:pPr>
        <w:pStyle w:val="ListParagraph"/>
        <w:numPr>
          <w:ilvl w:val="0"/>
          <w:numId w:val="28"/>
        </w:numPr>
        <w:jc w:val="both"/>
        <w:rPr>
          <w:lang w:val="en-US"/>
        </w:rPr>
      </w:pPr>
      <w:r>
        <w:rPr>
          <w:lang w:val="en-US"/>
        </w:rPr>
        <w:t>DCI optimization</w:t>
      </w:r>
    </w:p>
    <w:p w14:paraId="05B38DBC" w14:textId="0616C621" w:rsidR="003708AE" w:rsidRDefault="003708AE" w:rsidP="003708AE">
      <w:pPr>
        <w:pStyle w:val="ListParagraph"/>
        <w:numPr>
          <w:ilvl w:val="0"/>
          <w:numId w:val="28"/>
        </w:numPr>
        <w:jc w:val="both"/>
        <w:rPr>
          <w:lang w:val="en-US"/>
        </w:rPr>
      </w:pPr>
      <w:r>
        <w:rPr>
          <w:lang w:val="en-US"/>
        </w:rPr>
        <w:t>CQI table optimization</w:t>
      </w:r>
    </w:p>
    <w:p w14:paraId="32BB9484" w14:textId="3CDB0A91" w:rsidR="003708AE" w:rsidRPr="003708AE" w:rsidRDefault="003708AE" w:rsidP="003708AE">
      <w:pPr>
        <w:pStyle w:val="ListParagraph"/>
        <w:numPr>
          <w:ilvl w:val="0"/>
          <w:numId w:val="28"/>
        </w:numPr>
        <w:jc w:val="both"/>
        <w:rPr>
          <w:lang w:val="en-US"/>
        </w:rPr>
      </w:pPr>
      <w:r>
        <w:rPr>
          <w:lang w:val="en-US"/>
        </w:rPr>
        <w:t>MCS table optimization</w:t>
      </w:r>
    </w:p>
    <w:p w14:paraId="2A5EB886" w14:textId="4C5790B3" w:rsidR="007F4995" w:rsidRPr="00ED0335" w:rsidRDefault="003708AE" w:rsidP="007F4995">
      <w:pPr>
        <w:jc w:val="both"/>
        <w:rPr>
          <w:lang w:val="en-US"/>
        </w:rPr>
      </w:pPr>
      <w:r>
        <w:rPr>
          <w:lang w:val="en-US"/>
        </w:rPr>
        <w:t>As noted above, these are all optimization</w:t>
      </w:r>
      <w:r w:rsidR="00E86176">
        <w:rPr>
          <w:lang w:val="en-US"/>
        </w:rPr>
        <w:t xml:space="preserve"> and </w:t>
      </w:r>
      <w:r w:rsidR="00702AE9">
        <w:rPr>
          <w:lang w:val="en-US"/>
        </w:rPr>
        <w:t xml:space="preserve">therefore </w:t>
      </w:r>
      <w:r w:rsidR="00E86176">
        <w:rPr>
          <w:lang w:val="en-US"/>
        </w:rPr>
        <w:t>not strictly needed</w:t>
      </w:r>
      <w:r w:rsidR="007F4995">
        <w:rPr>
          <w:lang w:val="en-US"/>
        </w:rPr>
        <w:t xml:space="preserve">. </w:t>
      </w:r>
      <w:r w:rsidR="00FB4474">
        <w:rPr>
          <w:lang w:val="en-US"/>
        </w:rPr>
        <w:t>In our view,</w:t>
      </w:r>
      <w:r w:rsidR="00B9762F">
        <w:rPr>
          <w:lang w:val="en-US"/>
        </w:rPr>
        <w:t xml:space="preserve"> there is no need to optimize for this RedCap UE and we should re-use existing DCI formats, CQI tables, and MCS tables</w:t>
      </w:r>
      <w:r w:rsidR="00FB4474">
        <w:rPr>
          <w:lang w:val="en-US"/>
        </w:rPr>
        <w:t xml:space="preserve">. </w:t>
      </w:r>
      <w:r w:rsidR="00E875D7">
        <w:rPr>
          <w:lang w:val="en-US"/>
        </w:rPr>
        <w:t xml:space="preserve">This is especially true since some RedCap UEs can optionally support 256-QAM. </w:t>
      </w:r>
      <w:r w:rsidR="00FB4474">
        <w:rPr>
          <w:lang w:val="en-US"/>
        </w:rPr>
        <w:t xml:space="preserve">Therefore, it is proposed that </w:t>
      </w:r>
      <w:bookmarkStart w:id="16" w:name="_Hlk60753945"/>
      <w:r w:rsidR="00FB4474">
        <w:rPr>
          <w:lang w:val="en-US"/>
        </w:rPr>
        <w:t xml:space="preserve">RAN1 does not consider DCI, CQI, and MCS optimization </w:t>
      </w:r>
      <w:r w:rsidR="006C7EF1">
        <w:rPr>
          <w:lang w:val="en-US"/>
        </w:rPr>
        <w:t>when 256-QAM is not supported by the RedCap UE</w:t>
      </w:r>
      <w:bookmarkEnd w:id="16"/>
      <w:r w:rsidR="006C7EF1">
        <w:rPr>
          <w:lang w:val="en-US"/>
        </w:rPr>
        <w:t>.</w:t>
      </w:r>
    </w:p>
    <w:p w14:paraId="0ED9C71F" w14:textId="1EA40343" w:rsidR="007F4995" w:rsidRDefault="007F4995" w:rsidP="007F4995">
      <w:pPr>
        <w:jc w:val="both"/>
        <w:rPr>
          <w:b/>
          <w:bCs/>
          <w:noProof/>
          <w:lang w:val="en-US" w:eastAsia="en-GB"/>
        </w:rPr>
      </w:pPr>
      <w:r>
        <w:rPr>
          <w:b/>
          <w:bCs/>
          <w:noProof/>
          <w:lang w:val="en-US" w:eastAsia="en-GB"/>
        </w:rPr>
        <w:t xml:space="preserve">Proposal </w:t>
      </w:r>
      <w:r w:rsidR="004A1DF6">
        <w:rPr>
          <w:b/>
          <w:bCs/>
          <w:noProof/>
          <w:lang w:val="en-US" w:eastAsia="en-GB"/>
        </w:rPr>
        <w:t>8</w:t>
      </w:r>
      <w:r>
        <w:rPr>
          <w:b/>
          <w:bCs/>
          <w:noProof/>
          <w:lang w:val="en-US" w:eastAsia="en-GB"/>
        </w:rPr>
        <w:t xml:space="preserve">: </w:t>
      </w:r>
      <w:r w:rsidR="006C7EF1" w:rsidRPr="006C7EF1">
        <w:rPr>
          <w:b/>
          <w:bCs/>
          <w:noProof/>
          <w:lang w:val="en-US" w:eastAsia="en-GB"/>
        </w:rPr>
        <w:t>RAN1 does not consider DCI, CQI</w:t>
      </w:r>
      <w:r w:rsidR="004D1E27">
        <w:rPr>
          <w:b/>
          <w:bCs/>
          <w:noProof/>
          <w:lang w:val="en-US" w:eastAsia="en-GB"/>
        </w:rPr>
        <w:t xml:space="preserve"> table</w:t>
      </w:r>
      <w:r w:rsidR="006C7EF1" w:rsidRPr="006C7EF1">
        <w:rPr>
          <w:b/>
          <w:bCs/>
          <w:noProof/>
          <w:lang w:val="en-US" w:eastAsia="en-GB"/>
        </w:rPr>
        <w:t xml:space="preserve">, and MCS </w:t>
      </w:r>
      <w:r w:rsidR="004D1E27">
        <w:rPr>
          <w:b/>
          <w:bCs/>
          <w:noProof/>
          <w:lang w:val="en-US" w:eastAsia="en-GB"/>
        </w:rPr>
        <w:t xml:space="preserve">table </w:t>
      </w:r>
      <w:r w:rsidR="006C7EF1" w:rsidRPr="006C7EF1">
        <w:rPr>
          <w:b/>
          <w:bCs/>
          <w:noProof/>
          <w:lang w:val="en-US" w:eastAsia="en-GB"/>
        </w:rPr>
        <w:t>optimization when 256-QAM is not supported by the RedCap UE</w:t>
      </w:r>
      <w:r>
        <w:rPr>
          <w:b/>
          <w:bCs/>
          <w:noProof/>
          <w:lang w:val="en-US" w:eastAsia="en-GB"/>
        </w:rPr>
        <w:t>.</w:t>
      </w:r>
    </w:p>
    <w:p w14:paraId="08227C79" w14:textId="18A2B782" w:rsidR="007F4995" w:rsidRPr="006C7EF1" w:rsidRDefault="006C7EF1" w:rsidP="007F4995">
      <w:pPr>
        <w:jc w:val="both"/>
        <w:rPr>
          <w:lang w:val="en-US"/>
        </w:rPr>
      </w:pPr>
      <w:r>
        <w:rPr>
          <w:lang w:val="en-US"/>
        </w:rPr>
        <w:t xml:space="preserve">Based on the above discussion, the main specification impact would be related to capability signaling. </w:t>
      </w:r>
      <w:r w:rsidR="00063482">
        <w:rPr>
          <w:lang w:val="en-US"/>
        </w:rPr>
        <w:t xml:space="preserve">This capability can be part of normal UE capability signaling as 256-QAM would not be </w:t>
      </w:r>
      <w:r w:rsidR="001E0242">
        <w:rPr>
          <w:lang w:val="en-US"/>
        </w:rPr>
        <w:t>needed</w:t>
      </w:r>
      <w:r w:rsidR="00063482">
        <w:rPr>
          <w:lang w:val="en-US"/>
        </w:rPr>
        <w:t xml:space="preserve"> until the UE is in connected mode.</w:t>
      </w:r>
      <w:r w:rsidR="00D136FB">
        <w:rPr>
          <w:lang w:val="en-US"/>
        </w:rPr>
        <w:t xml:space="preserve"> </w:t>
      </w:r>
      <w:r>
        <w:rPr>
          <w:lang w:val="en-US"/>
        </w:rPr>
        <w:t xml:space="preserve">Furthermore, in case of scheduling error where the </w:t>
      </w:r>
      <w:r w:rsidR="002C58DD">
        <w:rPr>
          <w:lang w:val="en-US"/>
        </w:rPr>
        <w:t xml:space="preserve">gNB schedule such </w:t>
      </w:r>
      <w:r>
        <w:rPr>
          <w:lang w:val="en-US"/>
        </w:rPr>
        <w:t xml:space="preserve">UE </w:t>
      </w:r>
      <w:r w:rsidR="002C58DD">
        <w:rPr>
          <w:lang w:val="en-US"/>
        </w:rPr>
        <w:t>using 256-QAM</w:t>
      </w:r>
      <w:r w:rsidR="00063482">
        <w:rPr>
          <w:lang w:val="en-US"/>
        </w:rPr>
        <w:t>,</w:t>
      </w:r>
      <w:r w:rsidR="00754065">
        <w:rPr>
          <w:lang w:val="en-US"/>
        </w:rPr>
        <w:t xml:space="preserve"> </w:t>
      </w:r>
      <w:r w:rsidR="002C58DD">
        <w:rPr>
          <w:lang w:val="en-US"/>
        </w:rPr>
        <w:t xml:space="preserve">the </w:t>
      </w:r>
      <w:r w:rsidR="00754065">
        <w:rPr>
          <w:lang w:val="en-US"/>
        </w:rPr>
        <w:t>UE behavior is not defined.</w:t>
      </w:r>
    </w:p>
    <w:p w14:paraId="66A50FF3" w14:textId="36996F85" w:rsidR="007F4995" w:rsidRPr="00DE5B89" w:rsidRDefault="000F2E8C" w:rsidP="007F4995">
      <w:pPr>
        <w:pStyle w:val="Heading1"/>
        <w:tabs>
          <w:tab w:val="clear" w:pos="1134"/>
          <w:tab w:val="num" w:pos="709"/>
        </w:tabs>
        <w:ind w:left="709" w:hanging="709"/>
        <w:rPr>
          <w:lang w:val="en-US"/>
        </w:rPr>
      </w:pPr>
      <w:r>
        <w:rPr>
          <w:lang w:val="en-US"/>
        </w:rPr>
        <w:t>Half-duplex operation</w:t>
      </w:r>
    </w:p>
    <w:p w14:paraId="4DC251AB" w14:textId="4AAD8512" w:rsidR="006D5448" w:rsidRDefault="00784979" w:rsidP="007F4995">
      <w:pPr>
        <w:jc w:val="both"/>
        <w:rPr>
          <w:lang w:val="en-US"/>
        </w:rPr>
      </w:pPr>
      <w:r>
        <w:rPr>
          <w:lang w:val="en-US"/>
        </w:rPr>
        <w:t>RedCap UE can support half-duplex FDD operation</w:t>
      </w:r>
      <w:r w:rsidR="005E3D09">
        <w:rPr>
          <w:lang w:val="en-US"/>
        </w:rPr>
        <w:t xml:space="preserve"> (in addition to FDD and TDD)</w:t>
      </w:r>
      <w:r>
        <w:rPr>
          <w:lang w:val="en-US"/>
        </w:rPr>
        <w:t xml:space="preserve"> although the WID specifies that this </w:t>
      </w:r>
      <w:r w:rsidR="00213F93">
        <w:rPr>
          <w:lang w:val="en-US"/>
        </w:rPr>
        <w:t xml:space="preserve">feature </w:t>
      </w:r>
      <w:r>
        <w:rPr>
          <w:lang w:val="en-US"/>
        </w:rPr>
        <w:t xml:space="preserve">should be </w:t>
      </w:r>
      <w:r w:rsidR="00213F93">
        <w:rPr>
          <w:lang w:val="en-US"/>
        </w:rPr>
        <w:t>supported</w:t>
      </w:r>
      <w:r>
        <w:rPr>
          <w:lang w:val="en-US"/>
        </w:rPr>
        <w:t xml:space="preserve"> with minimal </w:t>
      </w:r>
      <w:r w:rsidR="00213F93">
        <w:rPr>
          <w:lang w:val="en-US"/>
        </w:rPr>
        <w:t xml:space="preserve">specification </w:t>
      </w:r>
      <w:r>
        <w:rPr>
          <w:lang w:val="en-US"/>
        </w:rPr>
        <w:t>impact</w:t>
      </w:r>
      <w:r w:rsidR="007F4995">
        <w:rPr>
          <w:lang w:val="en-US"/>
        </w:rPr>
        <w:t>.</w:t>
      </w:r>
      <w:r w:rsidR="006D5448">
        <w:rPr>
          <w:lang w:val="en-US"/>
        </w:rPr>
        <w:t xml:space="preserve"> There are several RAN1 specification impacts for this feature, including –</w:t>
      </w:r>
    </w:p>
    <w:p w14:paraId="6561DB91" w14:textId="335CD321" w:rsidR="007F4995" w:rsidRDefault="006D5448" w:rsidP="006D5448">
      <w:pPr>
        <w:pStyle w:val="ListParagraph"/>
        <w:numPr>
          <w:ilvl w:val="0"/>
          <w:numId w:val="29"/>
        </w:numPr>
        <w:jc w:val="both"/>
        <w:rPr>
          <w:lang w:val="en-US"/>
        </w:rPr>
      </w:pPr>
      <w:r>
        <w:rPr>
          <w:lang w:val="en-US"/>
        </w:rPr>
        <w:t>Switching times between downlink and uplink</w:t>
      </w:r>
    </w:p>
    <w:p w14:paraId="0B1C7228" w14:textId="238085DB" w:rsidR="006D5448" w:rsidRDefault="00F72465" w:rsidP="006D5448">
      <w:pPr>
        <w:pStyle w:val="ListParagraph"/>
        <w:numPr>
          <w:ilvl w:val="0"/>
          <w:numId w:val="29"/>
        </w:numPr>
        <w:jc w:val="both"/>
        <w:rPr>
          <w:lang w:val="en-US"/>
        </w:rPr>
      </w:pPr>
      <w:r>
        <w:rPr>
          <w:lang w:val="en-US"/>
        </w:rPr>
        <w:t>Collision handling</w:t>
      </w:r>
      <w:r w:rsidR="00735D5B">
        <w:rPr>
          <w:lang w:val="en-US"/>
        </w:rPr>
        <w:t xml:space="preserve"> and traffic prioritization</w:t>
      </w:r>
    </w:p>
    <w:p w14:paraId="05CCA2C6" w14:textId="2FACC90B" w:rsidR="00F72465" w:rsidRDefault="00F72465" w:rsidP="006D5448">
      <w:pPr>
        <w:pStyle w:val="ListParagraph"/>
        <w:numPr>
          <w:ilvl w:val="0"/>
          <w:numId w:val="29"/>
        </w:numPr>
        <w:jc w:val="both"/>
        <w:rPr>
          <w:lang w:val="en-US"/>
        </w:rPr>
      </w:pPr>
      <w:r>
        <w:rPr>
          <w:lang w:val="en-US"/>
        </w:rPr>
        <w:t>HARQ-ACK bundling support</w:t>
      </w:r>
    </w:p>
    <w:p w14:paraId="58B6BD6D" w14:textId="77777777" w:rsidR="00353018" w:rsidRDefault="00213F93" w:rsidP="007F4995">
      <w:pPr>
        <w:jc w:val="both"/>
        <w:rPr>
          <w:lang w:val="en-US"/>
        </w:rPr>
      </w:pPr>
      <w:r>
        <w:rPr>
          <w:lang w:val="en-US"/>
        </w:rPr>
        <w:t>In</w:t>
      </w:r>
      <w:r w:rsidR="005E3D09">
        <w:rPr>
          <w:lang w:val="en-US"/>
        </w:rPr>
        <w:t xml:space="preserve"> our view</w:t>
      </w:r>
      <w:r>
        <w:rPr>
          <w:lang w:val="en-US"/>
        </w:rPr>
        <w:t>,</w:t>
      </w:r>
      <w:r w:rsidR="005E3D09">
        <w:rPr>
          <w:lang w:val="en-US"/>
        </w:rPr>
        <w:t xml:space="preserve"> HARQ-ACK bundling support can be considered optimization and left to future release given WI guidance of specifying HD-FDD operation with minimum specification impact.</w:t>
      </w:r>
      <w:r w:rsidR="008F0D60">
        <w:rPr>
          <w:lang w:val="en-US"/>
        </w:rPr>
        <w:t xml:space="preserve"> </w:t>
      </w:r>
    </w:p>
    <w:p w14:paraId="71A9BAF2" w14:textId="621C4365" w:rsidR="00353018" w:rsidRDefault="00353018" w:rsidP="00353018">
      <w:pPr>
        <w:jc w:val="both"/>
        <w:rPr>
          <w:lang w:val="en-US"/>
        </w:rPr>
      </w:pPr>
      <w:r>
        <w:rPr>
          <w:b/>
          <w:bCs/>
          <w:noProof/>
          <w:lang w:val="en-US" w:eastAsia="en-GB"/>
        </w:rPr>
        <w:t xml:space="preserve">Proposal </w:t>
      </w:r>
      <w:r w:rsidR="004A1DF6">
        <w:rPr>
          <w:b/>
          <w:bCs/>
          <w:noProof/>
          <w:lang w:val="en-US" w:eastAsia="en-GB"/>
        </w:rPr>
        <w:t>9</w:t>
      </w:r>
      <w:r>
        <w:rPr>
          <w:b/>
          <w:bCs/>
          <w:noProof/>
          <w:lang w:val="en-US" w:eastAsia="en-GB"/>
        </w:rPr>
        <w:t xml:space="preserve">: HARQ-ACK bundling is not </w:t>
      </w:r>
      <w:r w:rsidR="009266D3">
        <w:rPr>
          <w:b/>
          <w:bCs/>
          <w:noProof/>
          <w:lang w:val="en-US" w:eastAsia="en-GB"/>
        </w:rPr>
        <w:t>considered</w:t>
      </w:r>
      <w:r>
        <w:rPr>
          <w:b/>
          <w:bCs/>
          <w:noProof/>
          <w:lang w:val="en-US" w:eastAsia="en-GB"/>
        </w:rPr>
        <w:t xml:space="preserve"> in Rel-17.</w:t>
      </w:r>
    </w:p>
    <w:p w14:paraId="26DC2CDC" w14:textId="6161C5BA" w:rsidR="002F02DF" w:rsidRDefault="008F0D60" w:rsidP="007F4995">
      <w:pPr>
        <w:jc w:val="both"/>
        <w:rPr>
          <w:lang w:val="en-US"/>
        </w:rPr>
      </w:pPr>
      <w:r>
        <w:rPr>
          <w:lang w:val="en-US"/>
        </w:rPr>
        <w:t xml:space="preserve">For the switching time, </w:t>
      </w:r>
      <w:r w:rsidR="002F02DF">
        <w:rPr>
          <w:lang w:val="en-US"/>
        </w:rPr>
        <w:t xml:space="preserve">one option is to </w:t>
      </w:r>
      <w:r w:rsidR="00A44A73">
        <w:rPr>
          <w:lang w:val="en-US"/>
        </w:rPr>
        <w:t>re</w:t>
      </w:r>
      <w:r w:rsidR="002F02DF">
        <w:rPr>
          <w:lang w:val="en-US"/>
        </w:rPr>
        <w:t xml:space="preserve">use the following </w:t>
      </w:r>
      <w:r w:rsidR="00A44A73">
        <w:rPr>
          <w:lang w:val="en-US"/>
        </w:rPr>
        <w:t>time</w:t>
      </w:r>
      <w:r w:rsidR="002F02DF">
        <w:rPr>
          <w:lang w:val="en-US"/>
        </w:rPr>
        <w:t xml:space="preserve">s </w:t>
      </w:r>
      <w:r w:rsidR="00A44A73">
        <w:rPr>
          <w:lang w:val="en-US"/>
        </w:rPr>
        <w:t>(</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A44A73">
        <w:rPr>
          <w:lang w:val="en-US"/>
        </w:rP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2269F9">
        <w:rPr>
          <w:lang w:val="en-US"/>
        </w:rPr>
        <w:t xml:space="preserve">) </w:t>
      </w:r>
      <w:r w:rsidR="002F02DF">
        <w:rPr>
          <w:lang w:val="en-US"/>
        </w:rPr>
        <w:t xml:space="preserve">from 38.211. </w:t>
      </w:r>
    </w:p>
    <w:p w14:paraId="609AA2CA" w14:textId="77777777" w:rsidR="002F02DF" w:rsidRPr="0019164C" w:rsidRDefault="002F02DF" w:rsidP="002F02DF">
      <w:pPr>
        <w:pStyle w:val="ListParagraph"/>
        <w:numPr>
          <w:ilvl w:val="0"/>
          <w:numId w:val="31"/>
        </w:numPr>
      </w:pPr>
      <w:r w:rsidRPr="00CF3704">
        <w:t xml:space="preserve">A UE not capable of full-duplex communication </w:t>
      </w:r>
      <w:r w:rsidRPr="00FE54FE">
        <w:t xml:space="preserve">and not supporting simultaneous transmission and reception as </w:t>
      </w:r>
      <w:r>
        <w:t>defined</w:t>
      </w:r>
      <w:r w:rsidRPr="00FE54FE">
        <w:t xml:space="preserve"> by </w:t>
      </w:r>
      <w:r>
        <w:t xml:space="preserve">parameter </w:t>
      </w:r>
      <w:proofErr w:type="spellStart"/>
      <w:r w:rsidRPr="002F02DF">
        <w:rPr>
          <w:i/>
        </w:rPr>
        <w:t>simultaneousRxTxInterBandENDC</w:t>
      </w:r>
      <w:proofErr w:type="spellEnd"/>
      <w:r w:rsidRPr="002F02DF">
        <w:rPr>
          <w:i/>
        </w:rPr>
        <w:t xml:space="preserve">, </w:t>
      </w:r>
      <w:proofErr w:type="spellStart"/>
      <w:r w:rsidRPr="002F02DF">
        <w:rPr>
          <w:i/>
        </w:rPr>
        <w:t>simultaneousRxTxInterBandCA</w:t>
      </w:r>
      <w:proofErr w:type="spellEnd"/>
      <w:r w:rsidRPr="002F02DF">
        <w:rPr>
          <w:i/>
        </w:rPr>
        <w:t xml:space="preserve"> or </w:t>
      </w:r>
      <w:proofErr w:type="spellStart"/>
      <w:r w:rsidRPr="002F02DF">
        <w:rPr>
          <w:i/>
        </w:rPr>
        <w:t>simultaneousRxTxSUL</w:t>
      </w:r>
      <w:proofErr w:type="spellEnd"/>
      <w:r w:rsidRPr="00FE54FE">
        <w:t xml:space="preserve"> [10, TS 38.306]</w:t>
      </w:r>
      <w:r>
        <w:t xml:space="preserve"> among all cells within a group of cells</w:t>
      </w:r>
      <w:r w:rsidRPr="00CF3704">
        <w:t xml:space="preserve"> is not expected to transmit in the uplink </w:t>
      </w:r>
      <w:r>
        <w:t>in one cell within the group of cells</w:t>
      </w:r>
      <w:r w:rsidRPr="00CF3704">
        <w:t xml:space="preserve">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w:t>
      </w:r>
      <w:r>
        <w:t xml:space="preserve">or different </w:t>
      </w:r>
      <w:r w:rsidRPr="00CF3704">
        <w:t xml:space="preserve">cell </w:t>
      </w:r>
      <w:r w:rsidRPr="0034743E">
        <w:t>within the group of cells</w:t>
      </w:r>
      <w:r w:rsidRPr="00CF3704">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p>
    <w:p w14:paraId="2764109A" w14:textId="77777777" w:rsidR="002F02DF" w:rsidRDefault="002F02DF" w:rsidP="002F02DF">
      <w:pPr>
        <w:pStyle w:val="ListParagraph"/>
        <w:numPr>
          <w:ilvl w:val="0"/>
          <w:numId w:val="31"/>
        </w:numPr>
      </w:pPr>
      <w:r w:rsidRPr="0019164C">
        <w:t>A UE not capable of full-duplex communication</w:t>
      </w:r>
      <w:r w:rsidRPr="00FE54FE">
        <w:t xml:space="preserve"> and not supporting simultaneous transmission and reception as </w:t>
      </w:r>
      <w:r>
        <w:t>defin</w:t>
      </w:r>
      <w:r w:rsidRPr="00FE54FE">
        <w:t>ed by</w:t>
      </w:r>
      <w:r>
        <w:t xml:space="preserve"> parameter</w:t>
      </w:r>
      <w:r w:rsidRPr="00FE54FE">
        <w:t xml:space="preserve"> </w:t>
      </w:r>
      <w:proofErr w:type="spellStart"/>
      <w:r w:rsidRPr="002F02DF">
        <w:rPr>
          <w:i/>
        </w:rPr>
        <w:t>simultaneousRxTxInterBandENDC</w:t>
      </w:r>
      <w:proofErr w:type="spellEnd"/>
      <w:r>
        <w:t>,</w:t>
      </w:r>
      <w:r w:rsidRPr="00FE54FE">
        <w:t xml:space="preserve"> </w:t>
      </w:r>
      <w:proofErr w:type="spellStart"/>
      <w:r w:rsidRPr="002F02DF">
        <w:rPr>
          <w:i/>
        </w:rPr>
        <w:t>simultaneousRxTxInterBandCA</w:t>
      </w:r>
      <w:proofErr w:type="spellEnd"/>
      <w:r w:rsidRPr="00FE54FE">
        <w:t xml:space="preserve"> </w:t>
      </w:r>
      <w:r w:rsidRPr="002F02DF">
        <w:rPr>
          <w:i/>
        </w:rPr>
        <w:t xml:space="preserve">or </w:t>
      </w:r>
      <w:proofErr w:type="spellStart"/>
      <w:r w:rsidRPr="002F02DF">
        <w:rPr>
          <w:i/>
        </w:rPr>
        <w:t>simultaneousRxTxSUL</w:t>
      </w:r>
      <w:proofErr w:type="spellEnd"/>
      <w:r w:rsidRPr="00FE54FE">
        <w:t xml:space="preserve"> [10, TS 38.306]</w:t>
      </w:r>
      <w:r w:rsidRPr="0019164C">
        <w:t xml:space="preserve"> </w:t>
      </w:r>
      <w:r>
        <w:t>among</w:t>
      </w:r>
      <w:r w:rsidRPr="00BB3C9F">
        <w:t xml:space="preserve"> </w:t>
      </w:r>
      <w:r>
        <w:t>all cells within a group of cells</w:t>
      </w:r>
      <w:r w:rsidRPr="0019164C">
        <w:t xml:space="preserve"> is not expected to receive in the downlink </w:t>
      </w:r>
      <w:r w:rsidRPr="0034743E">
        <w:t xml:space="preserve">in one cell within the group of cells </w:t>
      </w:r>
      <w:r w:rsidRPr="0019164C">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t xml:space="preserve"> after the end of the last transmitted uplink symbol in the same </w:t>
      </w:r>
      <w:r>
        <w:t xml:space="preserve">or different </w:t>
      </w:r>
      <w:r w:rsidRPr="0019164C">
        <w:t xml:space="preserve">cell </w:t>
      </w:r>
      <w:r w:rsidRPr="0034743E">
        <w:t>within the group of cells</w:t>
      </w:r>
      <w:r w:rsidRPr="0019164C">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r w:rsidRPr="00BB3C9F">
        <w:t xml:space="preserve"> </w:t>
      </w:r>
    </w:p>
    <w:p w14:paraId="5DD70B3F" w14:textId="3A2AC75C" w:rsidR="007F4995" w:rsidRDefault="002F02DF" w:rsidP="007F4995">
      <w:pPr>
        <w:jc w:val="both"/>
        <w:rPr>
          <w:lang w:val="en-US"/>
        </w:rPr>
      </w:pPr>
      <w:r>
        <w:rPr>
          <w:lang w:val="en-US"/>
        </w:rPr>
        <w:t xml:space="preserve">The other </w:t>
      </w:r>
      <w:r w:rsidR="001E6728">
        <w:rPr>
          <w:lang w:val="en-US"/>
        </w:rPr>
        <w:t>option</w:t>
      </w:r>
      <w:r>
        <w:rPr>
          <w:lang w:val="en-US"/>
        </w:rPr>
        <w:t xml:space="preserve"> is to adopt the definition of Type A HD-FDD from LTE, namely –</w:t>
      </w:r>
    </w:p>
    <w:p w14:paraId="3F73ACEB" w14:textId="2889CBE6" w:rsidR="002F02DF" w:rsidRPr="002F02DF" w:rsidRDefault="002F02DF" w:rsidP="002F02DF">
      <w:pPr>
        <w:pStyle w:val="ListParagraph"/>
        <w:numPr>
          <w:ilvl w:val="0"/>
          <w:numId w:val="30"/>
        </w:numPr>
        <w:jc w:val="both"/>
        <w:rPr>
          <w:lang w:val="en-US"/>
        </w:rPr>
      </w:pPr>
      <w:r w:rsidRPr="002F02DF">
        <w:rPr>
          <w:lang w:val="en-US"/>
        </w:rPr>
        <w:t>For type A half-duplex FDD operation, a guard period is created by the UE by not receiving the last part of a downlink subframe immediately preceding an uplink subframe from the same UE</w:t>
      </w:r>
    </w:p>
    <w:p w14:paraId="5D2B3169" w14:textId="75044E25" w:rsidR="008C57DF" w:rsidRPr="00607780" w:rsidRDefault="00607780" w:rsidP="00D2073B">
      <w:pPr>
        <w:jc w:val="both"/>
        <w:rPr>
          <w:noProof/>
          <w:lang w:val="en-US" w:eastAsia="en-GB"/>
        </w:rPr>
      </w:pPr>
      <w:r>
        <w:rPr>
          <w:noProof/>
          <w:lang w:val="en-US" w:eastAsia="en-GB"/>
        </w:rPr>
        <w:t>Our preference is to reuse the LTE definition for Type A HD-FDD where both switching times are incorporated into the guard period.</w:t>
      </w:r>
    </w:p>
    <w:p w14:paraId="3B714C5E" w14:textId="77F17E86" w:rsidR="00D2073B" w:rsidRDefault="00D2073B" w:rsidP="00D2073B">
      <w:pPr>
        <w:jc w:val="both"/>
        <w:rPr>
          <w:lang w:val="en-US"/>
        </w:rPr>
      </w:pPr>
      <w:r>
        <w:rPr>
          <w:b/>
          <w:bCs/>
          <w:noProof/>
          <w:lang w:val="en-US" w:eastAsia="en-GB"/>
        </w:rPr>
        <w:t xml:space="preserve">Proposal </w:t>
      </w:r>
      <w:r w:rsidR="004D5BE2">
        <w:rPr>
          <w:b/>
          <w:bCs/>
          <w:noProof/>
          <w:lang w:val="en-US" w:eastAsia="en-GB"/>
        </w:rPr>
        <w:t>1</w:t>
      </w:r>
      <w:r w:rsidR="004A1DF6">
        <w:rPr>
          <w:b/>
          <w:bCs/>
          <w:noProof/>
          <w:lang w:val="en-US" w:eastAsia="en-GB"/>
        </w:rPr>
        <w:t>0</w:t>
      </w:r>
      <w:r>
        <w:rPr>
          <w:b/>
          <w:bCs/>
          <w:noProof/>
          <w:lang w:val="en-US" w:eastAsia="en-GB"/>
        </w:rPr>
        <w:t xml:space="preserve">: </w:t>
      </w:r>
      <w:r w:rsidR="00607780" w:rsidRPr="00607780">
        <w:rPr>
          <w:b/>
          <w:bCs/>
          <w:noProof/>
          <w:lang w:val="en-US" w:eastAsia="en-GB"/>
        </w:rPr>
        <w:t>For half-duplex FDD operation, a guard period is created by the UE by not receiving the last part of a downlink subframe immediately preceding an uplink subframe from the same UE</w:t>
      </w:r>
      <w:r w:rsidR="00607780">
        <w:rPr>
          <w:b/>
          <w:bCs/>
          <w:noProof/>
          <w:lang w:val="en-US" w:eastAsia="en-GB"/>
        </w:rPr>
        <w:t>.</w:t>
      </w:r>
    </w:p>
    <w:p w14:paraId="41353480" w14:textId="6CC4B7FF" w:rsidR="005D5107" w:rsidRDefault="0076010D" w:rsidP="007F4995">
      <w:pPr>
        <w:jc w:val="both"/>
        <w:rPr>
          <w:lang w:val="en-US"/>
        </w:rPr>
      </w:pPr>
      <w:r>
        <w:rPr>
          <w:lang w:val="en-US"/>
        </w:rPr>
        <w:t xml:space="preserve">In half-duplex operation, the UE is always monitoring the downlink channel unless directed by the network to transmit something in the uplink. </w:t>
      </w:r>
      <w:r w:rsidR="005D5107">
        <w:rPr>
          <w:lang w:val="en-US"/>
        </w:rPr>
        <w:t>For collision handling, several scenarios can be considered</w:t>
      </w:r>
      <w:r w:rsidR="00230300">
        <w:rPr>
          <w:lang w:val="en-US"/>
        </w:rPr>
        <w:t xml:space="preserve">. On one hand, it is possible to leave collision avoidance up to the gNB scheduler with no predefined rules. On the other hand, it may be beneficial to define some rules to provide more flexibility to the gNB (i.e. to allow the gNB to schedule overlapping downlink and uplink transmissions). Some </w:t>
      </w:r>
      <w:r w:rsidR="00B47CDC">
        <w:rPr>
          <w:lang w:val="en-US"/>
        </w:rPr>
        <w:t xml:space="preserve">potential </w:t>
      </w:r>
      <w:r w:rsidR="00A44651">
        <w:rPr>
          <w:lang w:val="en-US"/>
        </w:rPr>
        <w:t>scenarios include</w:t>
      </w:r>
      <w:r w:rsidR="005D5107">
        <w:rPr>
          <w:lang w:val="en-US"/>
        </w:rPr>
        <w:t xml:space="preserve"> –</w:t>
      </w:r>
    </w:p>
    <w:p w14:paraId="5488C9FE" w14:textId="49D9FC75" w:rsidR="005D5107" w:rsidRPr="005D5107" w:rsidRDefault="005D5107" w:rsidP="005D5107">
      <w:pPr>
        <w:pStyle w:val="ListParagraph"/>
        <w:numPr>
          <w:ilvl w:val="0"/>
          <w:numId w:val="30"/>
        </w:numPr>
        <w:jc w:val="both"/>
        <w:rPr>
          <w:lang w:val="en-US"/>
        </w:rPr>
      </w:pPr>
      <w:r>
        <w:rPr>
          <w:lang w:val="en-US"/>
        </w:rPr>
        <w:t>D</w:t>
      </w:r>
      <w:r w:rsidRPr="005D5107">
        <w:rPr>
          <w:lang w:val="en-US"/>
        </w:rPr>
        <w:t xml:space="preserve">ynamically scheduled PDSCH </w:t>
      </w:r>
      <w:r>
        <w:rPr>
          <w:lang w:val="en-US"/>
        </w:rPr>
        <w:t>colliding with</w:t>
      </w:r>
      <w:r w:rsidRPr="005D5107">
        <w:rPr>
          <w:lang w:val="en-US"/>
        </w:rPr>
        <w:t xml:space="preserve"> semi-persistent scheduled PUSCH</w:t>
      </w:r>
    </w:p>
    <w:p w14:paraId="1EBA0572" w14:textId="3C33E4CD" w:rsidR="005D5107" w:rsidRDefault="005D5107" w:rsidP="005D5107">
      <w:pPr>
        <w:pStyle w:val="ListParagraph"/>
        <w:numPr>
          <w:ilvl w:val="0"/>
          <w:numId w:val="30"/>
        </w:numPr>
        <w:jc w:val="both"/>
        <w:rPr>
          <w:lang w:val="en-US"/>
        </w:rPr>
      </w:pPr>
      <w:r>
        <w:rPr>
          <w:lang w:val="en-US"/>
        </w:rPr>
        <w:t>P</w:t>
      </w:r>
      <w:r w:rsidRPr="005D5107">
        <w:rPr>
          <w:lang w:val="en-US"/>
        </w:rPr>
        <w:t xml:space="preserve">eriodic CSI </w:t>
      </w:r>
      <w:r>
        <w:rPr>
          <w:lang w:val="en-US"/>
        </w:rPr>
        <w:t>colliding with</w:t>
      </w:r>
      <w:r w:rsidRPr="005D5107">
        <w:rPr>
          <w:lang w:val="en-US"/>
        </w:rPr>
        <w:t xml:space="preserve"> PDSCH </w:t>
      </w:r>
      <w:r>
        <w:rPr>
          <w:lang w:val="en-US"/>
        </w:rPr>
        <w:t>(</w:t>
      </w:r>
      <w:r w:rsidRPr="005D5107">
        <w:rPr>
          <w:lang w:val="en-US"/>
        </w:rPr>
        <w:t xml:space="preserve">with </w:t>
      </w:r>
      <w:r>
        <w:rPr>
          <w:lang w:val="en-US"/>
        </w:rPr>
        <w:t>and without PDSCH slot aggregation)</w:t>
      </w:r>
    </w:p>
    <w:p w14:paraId="2DDD6CFB" w14:textId="5964929B" w:rsidR="00A44651" w:rsidRPr="00A44651" w:rsidRDefault="00A44651" w:rsidP="00A44651">
      <w:pPr>
        <w:jc w:val="both"/>
        <w:rPr>
          <w:lang w:val="en-US"/>
        </w:rPr>
      </w:pPr>
      <w:r>
        <w:rPr>
          <w:lang w:val="en-US"/>
        </w:rPr>
        <w:t>For these scenarios, simple priority rule can be defined.</w:t>
      </w:r>
    </w:p>
    <w:p w14:paraId="766B2C30" w14:textId="46EEC38C" w:rsidR="00BE770B" w:rsidRDefault="00BE770B" w:rsidP="00BE770B">
      <w:pPr>
        <w:jc w:val="both"/>
        <w:rPr>
          <w:b/>
          <w:bCs/>
          <w:noProof/>
          <w:lang w:val="en-US" w:eastAsia="en-GB"/>
        </w:rPr>
      </w:pPr>
      <w:r>
        <w:rPr>
          <w:b/>
          <w:bCs/>
          <w:noProof/>
          <w:lang w:val="en-US" w:eastAsia="en-GB"/>
        </w:rPr>
        <w:t>Proposal 1</w:t>
      </w:r>
      <w:r w:rsidR="004A1DF6">
        <w:rPr>
          <w:b/>
          <w:bCs/>
          <w:noProof/>
          <w:lang w:val="en-US" w:eastAsia="en-GB"/>
        </w:rPr>
        <w:t>1</w:t>
      </w:r>
      <w:r>
        <w:rPr>
          <w:b/>
          <w:bCs/>
          <w:noProof/>
          <w:lang w:val="en-US" w:eastAsia="en-GB"/>
        </w:rPr>
        <w:t xml:space="preserve">: Define </w:t>
      </w:r>
      <w:r w:rsidR="00230300">
        <w:rPr>
          <w:b/>
          <w:bCs/>
          <w:noProof/>
          <w:lang w:val="en-US" w:eastAsia="en-GB"/>
        </w:rPr>
        <w:t xml:space="preserve">the following </w:t>
      </w:r>
      <w:r>
        <w:rPr>
          <w:b/>
          <w:bCs/>
          <w:noProof/>
          <w:lang w:val="en-US" w:eastAsia="en-GB"/>
        </w:rPr>
        <w:t>collision handling for HD-FDD UE</w:t>
      </w:r>
      <w:r w:rsidR="00230300">
        <w:rPr>
          <w:b/>
          <w:bCs/>
          <w:noProof/>
          <w:lang w:val="en-US" w:eastAsia="en-GB"/>
        </w:rPr>
        <w:t xml:space="preserve"> </w:t>
      </w:r>
      <w:r>
        <w:rPr>
          <w:b/>
          <w:bCs/>
          <w:noProof/>
          <w:lang w:val="en-US" w:eastAsia="en-GB"/>
        </w:rPr>
        <w:t>–</w:t>
      </w:r>
    </w:p>
    <w:p w14:paraId="3944F7F0" w14:textId="4DECB455" w:rsidR="00BE770B" w:rsidRDefault="00BE770B" w:rsidP="00BE770B">
      <w:pPr>
        <w:pStyle w:val="ListParagraph"/>
        <w:numPr>
          <w:ilvl w:val="0"/>
          <w:numId w:val="30"/>
        </w:numPr>
        <w:jc w:val="both"/>
        <w:rPr>
          <w:b/>
          <w:bCs/>
          <w:noProof/>
          <w:lang w:val="en-US" w:eastAsia="en-GB"/>
        </w:rPr>
      </w:pPr>
      <w:r>
        <w:rPr>
          <w:b/>
          <w:bCs/>
          <w:noProof/>
          <w:lang w:val="en-US" w:eastAsia="en-GB"/>
        </w:rPr>
        <w:t>D</w:t>
      </w:r>
      <w:r w:rsidRPr="00BE770B">
        <w:rPr>
          <w:b/>
          <w:bCs/>
          <w:noProof/>
          <w:lang w:val="en-US" w:eastAsia="en-GB"/>
        </w:rPr>
        <w:t>ynamically scheduled PDSCH is prioritized over semi-persistent scheduled PUSCH</w:t>
      </w:r>
    </w:p>
    <w:p w14:paraId="0CCF03CA" w14:textId="0D8D3571" w:rsidR="00006A46" w:rsidRDefault="00006A46" w:rsidP="00BE770B">
      <w:pPr>
        <w:pStyle w:val="ListParagraph"/>
        <w:numPr>
          <w:ilvl w:val="0"/>
          <w:numId w:val="30"/>
        </w:numPr>
        <w:jc w:val="both"/>
        <w:rPr>
          <w:b/>
          <w:bCs/>
          <w:noProof/>
          <w:lang w:val="en-US" w:eastAsia="en-GB"/>
        </w:rPr>
      </w:pPr>
      <w:r w:rsidRPr="00006A46">
        <w:rPr>
          <w:b/>
          <w:bCs/>
          <w:noProof/>
          <w:lang w:val="en-US" w:eastAsia="en-GB"/>
        </w:rPr>
        <w:t xml:space="preserve">In case of collision between periodic CSI and PDSCH with </w:t>
      </w:r>
      <w:r>
        <w:rPr>
          <w:b/>
          <w:bCs/>
          <w:noProof/>
          <w:lang w:val="en-US" w:eastAsia="en-GB"/>
        </w:rPr>
        <w:t>slot aggregation</w:t>
      </w:r>
      <w:r w:rsidRPr="00006A46">
        <w:rPr>
          <w:b/>
          <w:bCs/>
          <w:noProof/>
          <w:lang w:val="en-US" w:eastAsia="en-GB"/>
        </w:rPr>
        <w:t>, the periodic CSI is dropped</w:t>
      </w:r>
    </w:p>
    <w:p w14:paraId="1C286FFF" w14:textId="60538A5E" w:rsidR="00230300" w:rsidRPr="00230300" w:rsidRDefault="00230300" w:rsidP="00230300">
      <w:pPr>
        <w:jc w:val="both"/>
        <w:rPr>
          <w:b/>
          <w:bCs/>
          <w:noProof/>
          <w:lang w:val="en-US" w:eastAsia="en-GB"/>
        </w:rPr>
      </w:pPr>
      <w:r>
        <w:rPr>
          <w:b/>
          <w:bCs/>
          <w:noProof/>
          <w:lang w:val="en-US" w:eastAsia="en-GB"/>
        </w:rPr>
        <w:t>For other cases, it is up to the gNB</w:t>
      </w:r>
      <w:r w:rsidR="007775E9">
        <w:rPr>
          <w:b/>
          <w:bCs/>
          <w:noProof/>
          <w:lang w:val="en-US" w:eastAsia="en-GB"/>
        </w:rPr>
        <w:t xml:space="preserve"> implementation</w:t>
      </w:r>
      <w:r>
        <w:rPr>
          <w:b/>
          <w:bCs/>
          <w:noProof/>
          <w:lang w:val="en-US" w:eastAsia="en-GB"/>
        </w:rPr>
        <w:t xml:space="preserve"> to avoid collision.</w:t>
      </w:r>
    </w:p>
    <w:bookmarkEnd w:id="11"/>
    <w:bookmarkEnd w:id="12"/>
    <w:bookmarkEnd w:id="13"/>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2DC9D10E"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58133D">
        <w:rPr>
          <w:lang w:val="en-US"/>
        </w:rPr>
        <w:t>RedCap UE complexity reduction features and make the following</w:t>
      </w:r>
      <w:r w:rsidR="00B327B9">
        <w:rPr>
          <w:lang w:val="en-US"/>
        </w:rPr>
        <w:t xml:space="preserve"> proposals</w:t>
      </w:r>
      <w:r w:rsidR="003F43D8">
        <w:rPr>
          <w:lang w:val="en-US"/>
        </w:rPr>
        <w:t xml:space="preserve"> </w:t>
      </w:r>
      <w:r w:rsidRPr="002651FD">
        <w:rPr>
          <w:lang w:val="en-US"/>
        </w:rPr>
        <w:t>–</w:t>
      </w:r>
    </w:p>
    <w:p w14:paraId="19F5B4F8" w14:textId="77777777" w:rsidR="00343309" w:rsidRDefault="00343309" w:rsidP="00343309">
      <w:pPr>
        <w:jc w:val="both"/>
        <w:rPr>
          <w:bCs/>
          <w:noProof/>
          <w:lang w:val="en-US" w:eastAsia="en-GB"/>
        </w:rPr>
      </w:pPr>
      <w:r>
        <w:rPr>
          <w:b/>
          <w:bCs/>
          <w:noProof/>
          <w:lang w:val="en-US" w:eastAsia="en-GB"/>
        </w:rPr>
        <w:t>Proposal 1: Reuse Rel-15 SSB, CORESET0, and SIB1 design for RedCap UEs.</w:t>
      </w:r>
    </w:p>
    <w:p w14:paraId="332B2AF7" w14:textId="77777777" w:rsidR="009E7F35" w:rsidRPr="00426BFA" w:rsidRDefault="009E7F35" w:rsidP="009E7F35">
      <w:pPr>
        <w:jc w:val="both"/>
        <w:rPr>
          <w:b/>
          <w:bCs/>
          <w:lang w:val="en-US"/>
        </w:rPr>
      </w:pPr>
      <w:r>
        <w:rPr>
          <w:b/>
          <w:bCs/>
          <w:lang w:val="en-US"/>
        </w:rPr>
        <w:t>Proposal 2:</w:t>
      </w:r>
      <w:r w:rsidRPr="00426BFA">
        <w:rPr>
          <w:b/>
          <w:bCs/>
          <w:lang w:val="en-US"/>
        </w:rPr>
        <w:t xml:space="preserve"> </w:t>
      </w:r>
      <w:r>
        <w:rPr>
          <w:b/>
          <w:bCs/>
          <w:lang w:val="en-US"/>
        </w:rPr>
        <w:t>RedCap UE does not support BWP that is wider than the maximum UE bandwidth.</w:t>
      </w:r>
      <w:r w:rsidRPr="00426BFA">
        <w:rPr>
          <w:b/>
          <w:bCs/>
          <w:lang w:val="en-US"/>
        </w:rPr>
        <w:t xml:space="preserve"> </w:t>
      </w:r>
      <w:r>
        <w:rPr>
          <w:b/>
          <w:bCs/>
          <w:lang w:val="en-US"/>
        </w:rPr>
        <w:t xml:space="preserve"> </w:t>
      </w:r>
    </w:p>
    <w:p w14:paraId="44BD2CA8" w14:textId="77777777" w:rsidR="009E7F35" w:rsidRDefault="009E7F35" w:rsidP="009E7F35">
      <w:pPr>
        <w:jc w:val="both"/>
        <w:rPr>
          <w:b/>
          <w:bCs/>
          <w:noProof/>
          <w:lang w:val="en-US" w:eastAsia="en-GB"/>
        </w:rPr>
      </w:pPr>
      <w:r w:rsidRPr="00343309">
        <w:rPr>
          <w:b/>
          <w:bCs/>
          <w:noProof/>
          <w:lang w:val="en-US" w:eastAsia="en-GB"/>
        </w:rPr>
        <w:t>Proposal 3: In FR1,</w:t>
      </w:r>
      <w:r>
        <w:rPr>
          <w:b/>
          <w:bCs/>
          <w:noProof/>
          <w:lang w:val="en-US" w:eastAsia="en-GB"/>
        </w:rPr>
        <w:t xml:space="preserve"> it may be necessary to identify RedCap UE with reduced antenna efficiency in Msg1 if Msg3 coverage enhancement is needed. </w:t>
      </w:r>
    </w:p>
    <w:p w14:paraId="1597D7A6" w14:textId="77777777" w:rsidR="009E7F35" w:rsidRPr="00426BFA" w:rsidRDefault="009E7F35" w:rsidP="009E7F35">
      <w:pPr>
        <w:jc w:val="both"/>
        <w:rPr>
          <w:b/>
          <w:bCs/>
          <w:lang w:val="en-US"/>
        </w:rPr>
      </w:pPr>
      <w:r>
        <w:rPr>
          <w:b/>
          <w:bCs/>
          <w:lang w:val="en-US"/>
        </w:rPr>
        <w:t>Proposal 4:</w:t>
      </w:r>
      <w:r w:rsidRPr="00426BFA">
        <w:rPr>
          <w:b/>
          <w:bCs/>
          <w:lang w:val="en-US"/>
        </w:rPr>
        <w:t xml:space="preserve"> </w:t>
      </w:r>
      <w:r>
        <w:rPr>
          <w:b/>
          <w:bCs/>
          <w:lang w:val="en-US"/>
        </w:rPr>
        <w:t>O</w:t>
      </w:r>
      <w:r w:rsidRPr="008C606E">
        <w:rPr>
          <w:b/>
          <w:bCs/>
          <w:lang w:val="en-US"/>
        </w:rPr>
        <w:t>ptional wider bandwidth up to 40MHz after initial access</w:t>
      </w:r>
      <w:r>
        <w:rPr>
          <w:b/>
          <w:bCs/>
          <w:lang w:val="en-US"/>
        </w:rPr>
        <w:t xml:space="preserve"> for FR1 RedCap UE is not supported.</w:t>
      </w:r>
      <w:r w:rsidRPr="00426BFA">
        <w:rPr>
          <w:b/>
          <w:bCs/>
          <w:lang w:val="en-US"/>
        </w:rPr>
        <w:t xml:space="preserve"> </w:t>
      </w:r>
      <w:r>
        <w:rPr>
          <w:b/>
          <w:bCs/>
          <w:lang w:val="en-US"/>
        </w:rPr>
        <w:t xml:space="preserve"> </w:t>
      </w:r>
    </w:p>
    <w:p w14:paraId="03C6B2A0" w14:textId="77777777" w:rsidR="009E7F35" w:rsidRDefault="009E7F35" w:rsidP="009E7F35">
      <w:pPr>
        <w:jc w:val="both"/>
        <w:rPr>
          <w:noProof/>
          <w:lang w:val="en-US" w:eastAsia="en-GB"/>
        </w:rPr>
      </w:pPr>
      <w:r>
        <w:rPr>
          <w:b/>
          <w:bCs/>
          <w:noProof/>
          <w:lang w:val="en-US" w:eastAsia="en-GB"/>
        </w:rPr>
        <w:t xml:space="preserve">Proposal 5: There is no RAN1 specification impact from reducing the minimim number of Rx branches in </w:t>
      </w:r>
      <w:r w:rsidRPr="00386932">
        <w:rPr>
          <w:b/>
          <w:bCs/>
          <w:noProof/>
          <w:lang w:val="en-US" w:eastAsia="en-GB"/>
        </w:rPr>
        <w:t>frequency bands where a legacy NR UE is required to be equipped with a minimum of 2 Rx antenna ports</w:t>
      </w:r>
      <w:r>
        <w:rPr>
          <w:b/>
          <w:bCs/>
          <w:noProof/>
          <w:lang w:val="en-US" w:eastAsia="en-GB"/>
        </w:rPr>
        <w:t>, except for possible RedCap early identification in Msg1 for potential optimization.</w:t>
      </w:r>
    </w:p>
    <w:p w14:paraId="5D461B00" w14:textId="77777777" w:rsidR="009E7F35" w:rsidRDefault="009E7F35" w:rsidP="009E7F35">
      <w:pPr>
        <w:jc w:val="both"/>
        <w:rPr>
          <w:noProof/>
          <w:lang w:val="en-US" w:eastAsia="en-GB"/>
        </w:rPr>
      </w:pPr>
      <w:r>
        <w:rPr>
          <w:b/>
          <w:bCs/>
          <w:noProof/>
          <w:lang w:val="en-US" w:eastAsia="en-GB"/>
        </w:rPr>
        <w:t xml:space="preserve">Proposal 6: </w:t>
      </w:r>
      <w:r w:rsidRPr="00135982">
        <w:rPr>
          <w:b/>
          <w:bCs/>
          <w:noProof/>
          <w:lang w:val="en-US" w:eastAsia="en-GB"/>
        </w:rPr>
        <w:t xml:space="preserve">For frequency bands where a legacy NR UE is required to be equipped with a minimum of </w:t>
      </w:r>
      <w:r>
        <w:rPr>
          <w:b/>
          <w:bCs/>
          <w:noProof/>
          <w:lang w:val="en-US" w:eastAsia="en-GB"/>
        </w:rPr>
        <w:t>4</w:t>
      </w:r>
      <w:r w:rsidRPr="00135982">
        <w:rPr>
          <w:b/>
          <w:bCs/>
          <w:noProof/>
          <w:lang w:val="en-US" w:eastAsia="en-GB"/>
        </w:rPr>
        <w:t xml:space="preserve"> Rx antenna ports, the minimum number of Rx branches supported by specification for a RedCap UE is </w:t>
      </w:r>
      <w:r>
        <w:rPr>
          <w:b/>
          <w:bCs/>
          <w:noProof/>
          <w:lang w:val="en-US" w:eastAsia="en-GB"/>
        </w:rPr>
        <w:t>2.</w:t>
      </w:r>
    </w:p>
    <w:p w14:paraId="797E17FB" w14:textId="77777777" w:rsidR="009E7F35" w:rsidRDefault="009E7F35" w:rsidP="009E7F35">
      <w:pPr>
        <w:jc w:val="both"/>
        <w:rPr>
          <w:b/>
          <w:bCs/>
          <w:noProof/>
          <w:lang w:val="en-US" w:eastAsia="en-GB"/>
        </w:rPr>
      </w:pPr>
      <w:r>
        <w:rPr>
          <w:b/>
          <w:bCs/>
          <w:noProof/>
          <w:lang w:val="en-US" w:eastAsia="en-GB"/>
        </w:rPr>
        <w:t>Proposal 7: There is no RAN1 specification impact for RedCap UE supporting 1 or 2 downlink MIMO layer.</w:t>
      </w:r>
    </w:p>
    <w:p w14:paraId="0D931B62" w14:textId="77777777" w:rsidR="009E7F35" w:rsidRDefault="009E7F35" w:rsidP="009E7F35">
      <w:pPr>
        <w:jc w:val="both"/>
        <w:rPr>
          <w:b/>
          <w:bCs/>
          <w:noProof/>
          <w:lang w:val="en-US" w:eastAsia="en-GB"/>
        </w:rPr>
      </w:pPr>
      <w:r>
        <w:rPr>
          <w:b/>
          <w:bCs/>
          <w:noProof/>
          <w:lang w:val="en-US" w:eastAsia="en-GB"/>
        </w:rPr>
        <w:t xml:space="preserve">Proposal 8: </w:t>
      </w:r>
      <w:r w:rsidRPr="006C7EF1">
        <w:rPr>
          <w:b/>
          <w:bCs/>
          <w:noProof/>
          <w:lang w:val="en-US" w:eastAsia="en-GB"/>
        </w:rPr>
        <w:t>RAN1 does not consider DCI, CQI</w:t>
      </w:r>
      <w:r>
        <w:rPr>
          <w:b/>
          <w:bCs/>
          <w:noProof/>
          <w:lang w:val="en-US" w:eastAsia="en-GB"/>
        </w:rPr>
        <w:t xml:space="preserve"> table</w:t>
      </w:r>
      <w:r w:rsidRPr="006C7EF1">
        <w:rPr>
          <w:b/>
          <w:bCs/>
          <w:noProof/>
          <w:lang w:val="en-US" w:eastAsia="en-GB"/>
        </w:rPr>
        <w:t xml:space="preserve">, and MCS </w:t>
      </w:r>
      <w:r>
        <w:rPr>
          <w:b/>
          <w:bCs/>
          <w:noProof/>
          <w:lang w:val="en-US" w:eastAsia="en-GB"/>
        </w:rPr>
        <w:t xml:space="preserve">table </w:t>
      </w:r>
      <w:r w:rsidRPr="006C7EF1">
        <w:rPr>
          <w:b/>
          <w:bCs/>
          <w:noProof/>
          <w:lang w:val="en-US" w:eastAsia="en-GB"/>
        </w:rPr>
        <w:t>optimization when 256-QAM is not supported by the RedCap UE</w:t>
      </w:r>
      <w:r>
        <w:rPr>
          <w:b/>
          <w:bCs/>
          <w:noProof/>
          <w:lang w:val="en-US" w:eastAsia="en-GB"/>
        </w:rPr>
        <w:t>.</w:t>
      </w:r>
    </w:p>
    <w:p w14:paraId="249C7625" w14:textId="216D2576" w:rsidR="009E7F35" w:rsidRDefault="009E7F35" w:rsidP="009E7F35">
      <w:pPr>
        <w:jc w:val="both"/>
        <w:rPr>
          <w:lang w:val="en-US"/>
        </w:rPr>
      </w:pPr>
      <w:r>
        <w:rPr>
          <w:b/>
          <w:bCs/>
          <w:noProof/>
          <w:lang w:val="en-US" w:eastAsia="en-GB"/>
        </w:rPr>
        <w:t>Proposal 9: HARQ-ACK bundling is not considered in Rel-17.</w:t>
      </w:r>
    </w:p>
    <w:p w14:paraId="0882D68E" w14:textId="75020E38" w:rsidR="00343309" w:rsidRDefault="00343309" w:rsidP="00931B76">
      <w:pPr>
        <w:spacing w:before="120" w:after="120"/>
        <w:jc w:val="both"/>
        <w:rPr>
          <w:b/>
          <w:bCs/>
          <w:noProof/>
          <w:lang w:val="en-US" w:eastAsia="en-GB"/>
        </w:rPr>
      </w:pPr>
      <w:r>
        <w:rPr>
          <w:b/>
          <w:bCs/>
          <w:noProof/>
          <w:lang w:val="en-US" w:eastAsia="en-GB"/>
        </w:rPr>
        <w:t xml:space="preserve">Proposal 10: </w:t>
      </w:r>
      <w:r w:rsidRPr="00607780">
        <w:rPr>
          <w:b/>
          <w:bCs/>
          <w:noProof/>
          <w:lang w:val="en-US" w:eastAsia="en-GB"/>
        </w:rPr>
        <w:t>For half-duplex FDD operation, a guard period is created by the UE by not receiving the last part of a downlink subframe immediately preceding an uplink subframe from the same UE</w:t>
      </w:r>
      <w:r>
        <w:rPr>
          <w:b/>
          <w:bCs/>
          <w:noProof/>
          <w:lang w:val="en-US" w:eastAsia="en-GB"/>
        </w:rPr>
        <w:t>.</w:t>
      </w:r>
    </w:p>
    <w:p w14:paraId="02FF1EA9" w14:textId="77777777" w:rsidR="00343309" w:rsidRDefault="00343309" w:rsidP="00343309">
      <w:pPr>
        <w:jc w:val="both"/>
        <w:rPr>
          <w:b/>
          <w:bCs/>
          <w:noProof/>
          <w:lang w:val="en-US" w:eastAsia="en-GB"/>
        </w:rPr>
      </w:pPr>
      <w:r>
        <w:rPr>
          <w:b/>
          <w:bCs/>
          <w:noProof/>
          <w:lang w:val="en-US" w:eastAsia="en-GB"/>
        </w:rPr>
        <w:t>Proposal 11: Define the following collision handling for HD-FDD UE –</w:t>
      </w:r>
    </w:p>
    <w:p w14:paraId="1047F32B" w14:textId="77777777" w:rsidR="00343309" w:rsidRDefault="00343309" w:rsidP="00343309">
      <w:pPr>
        <w:pStyle w:val="ListParagraph"/>
        <w:numPr>
          <w:ilvl w:val="0"/>
          <w:numId w:val="30"/>
        </w:numPr>
        <w:jc w:val="both"/>
        <w:rPr>
          <w:b/>
          <w:bCs/>
          <w:noProof/>
          <w:lang w:val="en-US" w:eastAsia="en-GB"/>
        </w:rPr>
      </w:pPr>
      <w:r>
        <w:rPr>
          <w:b/>
          <w:bCs/>
          <w:noProof/>
          <w:lang w:val="en-US" w:eastAsia="en-GB"/>
        </w:rPr>
        <w:t>D</w:t>
      </w:r>
      <w:r w:rsidRPr="00BE770B">
        <w:rPr>
          <w:b/>
          <w:bCs/>
          <w:noProof/>
          <w:lang w:val="en-US" w:eastAsia="en-GB"/>
        </w:rPr>
        <w:t>ynamically scheduled PDSCH is prioritized over semi-persistent scheduled PUSCH</w:t>
      </w:r>
    </w:p>
    <w:p w14:paraId="33486DD3" w14:textId="77777777" w:rsidR="00343309" w:rsidRDefault="00343309" w:rsidP="00343309">
      <w:pPr>
        <w:pStyle w:val="ListParagraph"/>
        <w:numPr>
          <w:ilvl w:val="0"/>
          <w:numId w:val="30"/>
        </w:numPr>
        <w:jc w:val="both"/>
        <w:rPr>
          <w:b/>
          <w:bCs/>
          <w:noProof/>
          <w:lang w:val="en-US" w:eastAsia="en-GB"/>
        </w:rPr>
      </w:pPr>
      <w:r w:rsidRPr="00006A46">
        <w:rPr>
          <w:b/>
          <w:bCs/>
          <w:noProof/>
          <w:lang w:val="en-US" w:eastAsia="en-GB"/>
        </w:rPr>
        <w:t xml:space="preserve">In case of collision between periodic CSI and PDSCH with </w:t>
      </w:r>
      <w:r>
        <w:rPr>
          <w:b/>
          <w:bCs/>
          <w:noProof/>
          <w:lang w:val="en-US" w:eastAsia="en-GB"/>
        </w:rPr>
        <w:t>slot aggregation</w:t>
      </w:r>
      <w:r w:rsidRPr="00006A46">
        <w:rPr>
          <w:b/>
          <w:bCs/>
          <w:noProof/>
          <w:lang w:val="en-US" w:eastAsia="en-GB"/>
        </w:rPr>
        <w:t>, the periodic CSI is dropped</w:t>
      </w:r>
    </w:p>
    <w:p w14:paraId="6AE874D9" w14:textId="7CAA00C7" w:rsidR="00343309" w:rsidRDefault="00343309" w:rsidP="00343309">
      <w:pPr>
        <w:spacing w:before="120" w:after="120"/>
        <w:jc w:val="both"/>
        <w:rPr>
          <w:lang w:val="en-US"/>
        </w:rPr>
      </w:pPr>
      <w:r>
        <w:rPr>
          <w:b/>
          <w:bCs/>
          <w:noProof/>
          <w:lang w:val="en-US" w:eastAsia="en-GB"/>
        </w:rPr>
        <w:t>For other cases, it is up to the gNB implementation to avoid collision.</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A87870F" w:rsidR="00CF667F" w:rsidRDefault="00435E75" w:rsidP="00CF667F">
      <w:pPr>
        <w:numPr>
          <w:ilvl w:val="0"/>
          <w:numId w:val="1"/>
        </w:numPr>
        <w:tabs>
          <w:tab w:val="left" w:pos="360"/>
        </w:tabs>
        <w:spacing w:after="120"/>
        <w:jc w:val="both"/>
        <w:rPr>
          <w:rFonts w:eastAsia="MS Mincho"/>
          <w:lang w:val="en-US" w:eastAsia="ja-JP"/>
        </w:rPr>
      </w:pPr>
      <w:bookmarkStart w:id="17" w:name="_Ref3999986"/>
      <w:r>
        <w:rPr>
          <w:rFonts w:eastAsia="MS Mincho"/>
          <w:lang w:val="en-US" w:eastAsia="ja-JP"/>
        </w:rPr>
        <w:t>RP-202933</w:t>
      </w:r>
      <w:r w:rsidR="00626FC7">
        <w:rPr>
          <w:rFonts w:eastAsia="MS Mincho"/>
          <w:lang w:val="en-US" w:eastAsia="ja-JP"/>
        </w:rPr>
        <w:t>,</w:t>
      </w:r>
      <w:r w:rsidR="00CF667F" w:rsidRPr="00CB3152">
        <w:rPr>
          <w:rFonts w:eastAsia="MS Mincho"/>
          <w:lang w:val="en-US" w:eastAsia="ja-JP"/>
        </w:rPr>
        <w:t xml:space="preserve"> “</w:t>
      </w:r>
      <w:r w:rsidRPr="00435E75">
        <w:rPr>
          <w:lang w:eastAsia="x-none"/>
        </w:rPr>
        <w:t>New WID on support of reduced capability NR devices</w:t>
      </w:r>
      <w:r w:rsidR="00212954">
        <w:rPr>
          <w:lang w:eastAsia="x-none"/>
        </w:rPr>
        <w:t>,</w:t>
      </w:r>
      <w:r w:rsidR="00CF667F" w:rsidRPr="00CB3152">
        <w:rPr>
          <w:rFonts w:eastAsia="MS Mincho"/>
          <w:lang w:val="en-US" w:eastAsia="ja-JP"/>
        </w:rPr>
        <w:t xml:space="preserve">” </w:t>
      </w:r>
      <w:r>
        <w:rPr>
          <w:rFonts w:eastAsia="MS Mincho"/>
          <w:lang w:val="en-US" w:eastAsia="ja-JP"/>
        </w:rPr>
        <w:t xml:space="preserve">Ericsson, </w:t>
      </w:r>
      <w:r w:rsidR="00756031">
        <w:rPr>
          <w:lang w:val="en-US"/>
        </w:rPr>
        <w:t xml:space="preserve">Nokia, </w:t>
      </w:r>
      <w:r w:rsidR="00820524">
        <w:rPr>
          <w:lang w:val="en-US"/>
        </w:rPr>
        <w:t>RAN#</w:t>
      </w:r>
      <w:r>
        <w:rPr>
          <w:lang w:val="en-US"/>
        </w:rPr>
        <w:t>90</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7"/>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8" w:name="_Ref60741089"/>
      <w:r w:rsidRPr="005F1B1A">
        <w:rPr>
          <w:rFonts w:eastAsia="MS Mincho"/>
          <w:lang w:val="en-US" w:eastAsia="ja-JP"/>
        </w:rPr>
        <w:t>TR 38.875, “Study on support of reduced capability NR devices,” v1.0.0, December 2020.</w:t>
      </w:r>
      <w:bookmarkEnd w:id="18"/>
    </w:p>
    <w:p w14:paraId="703422D7" w14:textId="4DF01E32" w:rsidR="004D5BE2" w:rsidRPr="000D59C5" w:rsidRDefault="004D5BE2" w:rsidP="000D59C5">
      <w:pPr>
        <w:numPr>
          <w:ilvl w:val="0"/>
          <w:numId w:val="1"/>
        </w:numPr>
        <w:tabs>
          <w:tab w:val="left" w:pos="360"/>
        </w:tabs>
        <w:spacing w:after="120"/>
        <w:jc w:val="both"/>
        <w:rPr>
          <w:rFonts w:eastAsia="MS Mincho"/>
          <w:lang w:val="en-US" w:eastAsia="ja-JP"/>
        </w:rPr>
      </w:pPr>
      <w:bookmarkStart w:id="19" w:name="_Ref60822310"/>
      <w:r>
        <w:rPr>
          <w:rFonts w:eastAsia="MS Mincho"/>
          <w:lang w:val="en-US" w:eastAsia="ja-JP"/>
        </w:rPr>
        <w:t>R1-2008068,</w:t>
      </w:r>
      <w:r w:rsidRPr="00CB3152">
        <w:rPr>
          <w:rFonts w:eastAsia="MS Mincho"/>
          <w:lang w:val="en-US" w:eastAsia="ja-JP"/>
        </w:rPr>
        <w:t xml:space="preserve"> “</w:t>
      </w:r>
      <w:r w:rsidR="000D59C5" w:rsidRPr="000D59C5">
        <w:rPr>
          <w:lang w:eastAsia="x-none"/>
        </w:rPr>
        <w:t>UE Complexity Reduction Features</w:t>
      </w:r>
      <w:r>
        <w:rPr>
          <w:lang w:eastAsia="x-none"/>
        </w:rPr>
        <w:t>,</w:t>
      </w:r>
      <w:r w:rsidRPr="00CB3152">
        <w:rPr>
          <w:rFonts w:eastAsia="MS Mincho"/>
          <w:lang w:val="en-US" w:eastAsia="ja-JP"/>
        </w:rPr>
        <w:t xml:space="preserve">” </w:t>
      </w:r>
      <w:r>
        <w:rPr>
          <w:lang w:val="en-US"/>
        </w:rPr>
        <w:t>Nokia, Nokia Shanghai Bell, RAN1#103-e, electronic meeting</w:t>
      </w:r>
      <w:r>
        <w:rPr>
          <w:rFonts w:eastAsia="MS Mincho"/>
          <w:lang w:val="en-US" w:eastAsia="ja-JP"/>
        </w:rPr>
        <w:t>.</w:t>
      </w:r>
      <w:bookmarkEnd w:id="19"/>
    </w:p>
    <w:sectPr w:rsidR="004D5BE2" w:rsidRPr="000D59C5"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B9E84" w14:textId="77777777" w:rsidR="00907349" w:rsidRDefault="00907349">
      <w:r>
        <w:separator/>
      </w:r>
    </w:p>
  </w:endnote>
  <w:endnote w:type="continuationSeparator" w:id="0">
    <w:p w14:paraId="500A1C38" w14:textId="77777777" w:rsidR="00907349" w:rsidRDefault="0090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FE816" w14:textId="77777777" w:rsidR="00907349" w:rsidRDefault="00907349">
      <w:r>
        <w:separator/>
      </w:r>
    </w:p>
  </w:footnote>
  <w:footnote w:type="continuationSeparator" w:id="0">
    <w:p w14:paraId="2FDB19D2" w14:textId="77777777" w:rsidR="00907349" w:rsidRDefault="00907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444C84"/>
    <w:multiLevelType w:val="hybridMultilevel"/>
    <w:tmpl w:val="46EC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4C3556"/>
    <w:multiLevelType w:val="hybridMultilevel"/>
    <w:tmpl w:val="BE985B2A"/>
    <w:lvl w:ilvl="0" w:tplc="E1729452">
      <w:start w:val="1"/>
      <w:numFmt w:val="bullet"/>
      <w:lvlText w:val=""/>
      <w:lvlJc w:val="left"/>
      <w:pPr>
        <w:tabs>
          <w:tab w:val="num" w:pos="720"/>
        </w:tabs>
        <w:ind w:left="720" w:hanging="360"/>
      </w:pPr>
      <w:rPr>
        <w:rFonts w:ascii="Symbol" w:hAnsi="Symbol" w:hint="default"/>
      </w:rPr>
    </w:lvl>
    <w:lvl w:ilvl="1" w:tplc="72E06A9A">
      <w:numFmt w:val="bullet"/>
      <w:lvlText w:val=""/>
      <w:lvlJc w:val="left"/>
      <w:pPr>
        <w:tabs>
          <w:tab w:val="num" w:pos="1440"/>
        </w:tabs>
        <w:ind w:left="1440" w:hanging="360"/>
      </w:pPr>
      <w:rPr>
        <w:rFonts w:ascii="Symbol" w:hAnsi="Symbol" w:hint="default"/>
      </w:rPr>
    </w:lvl>
    <w:lvl w:ilvl="2" w:tplc="277C2C16" w:tentative="1">
      <w:start w:val="1"/>
      <w:numFmt w:val="bullet"/>
      <w:lvlText w:val=""/>
      <w:lvlJc w:val="left"/>
      <w:pPr>
        <w:tabs>
          <w:tab w:val="num" w:pos="2160"/>
        </w:tabs>
        <w:ind w:left="2160" w:hanging="360"/>
      </w:pPr>
      <w:rPr>
        <w:rFonts w:ascii="Symbol" w:hAnsi="Symbol" w:hint="default"/>
      </w:rPr>
    </w:lvl>
    <w:lvl w:ilvl="3" w:tplc="D27EED4E" w:tentative="1">
      <w:start w:val="1"/>
      <w:numFmt w:val="bullet"/>
      <w:lvlText w:val=""/>
      <w:lvlJc w:val="left"/>
      <w:pPr>
        <w:tabs>
          <w:tab w:val="num" w:pos="2880"/>
        </w:tabs>
        <w:ind w:left="2880" w:hanging="360"/>
      </w:pPr>
      <w:rPr>
        <w:rFonts w:ascii="Symbol" w:hAnsi="Symbol" w:hint="default"/>
      </w:rPr>
    </w:lvl>
    <w:lvl w:ilvl="4" w:tplc="4FE6B43A" w:tentative="1">
      <w:start w:val="1"/>
      <w:numFmt w:val="bullet"/>
      <w:lvlText w:val=""/>
      <w:lvlJc w:val="left"/>
      <w:pPr>
        <w:tabs>
          <w:tab w:val="num" w:pos="3600"/>
        </w:tabs>
        <w:ind w:left="3600" w:hanging="360"/>
      </w:pPr>
      <w:rPr>
        <w:rFonts w:ascii="Symbol" w:hAnsi="Symbol" w:hint="default"/>
      </w:rPr>
    </w:lvl>
    <w:lvl w:ilvl="5" w:tplc="949EE02A" w:tentative="1">
      <w:start w:val="1"/>
      <w:numFmt w:val="bullet"/>
      <w:lvlText w:val=""/>
      <w:lvlJc w:val="left"/>
      <w:pPr>
        <w:tabs>
          <w:tab w:val="num" w:pos="4320"/>
        </w:tabs>
        <w:ind w:left="4320" w:hanging="360"/>
      </w:pPr>
      <w:rPr>
        <w:rFonts w:ascii="Symbol" w:hAnsi="Symbol" w:hint="default"/>
      </w:rPr>
    </w:lvl>
    <w:lvl w:ilvl="6" w:tplc="5E7E7008" w:tentative="1">
      <w:start w:val="1"/>
      <w:numFmt w:val="bullet"/>
      <w:lvlText w:val=""/>
      <w:lvlJc w:val="left"/>
      <w:pPr>
        <w:tabs>
          <w:tab w:val="num" w:pos="5040"/>
        </w:tabs>
        <w:ind w:left="5040" w:hanging="360"/>
      </w:pPr>
      <w:rPr>
        <w:rFonts w:ascii="Symbol" w:hAnsi="Symbol" w:hint="default"/>
      </w:rPr>
    </w:lvl>
    <w:lvl w:ilvl="7" w:tplc="800AA186" w:tentative="1">
      <w:start w:val="1"/>
      <w:numFmt w:val="bullet"/>
      <w:lvlText w:val=""/>
      <w:lvlJc w:val="left"/>
      <w:pPr>
        <w:tabs>
          <w:tab w:val="num" w:pos="5760"/>
        </w:tabs>
        <w:ind w:left="5760" w:hanging="360"/>
      </w:pPr>
      <w:rPr>
        <w:rFonts w:ascii="Symbol" w:hAnsi="Symbol" w:hint="default"/>
      </w:rPr>
    </w:lvl>
    <w:lvl w:ilvl="8" w:tplc="322C17B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95A3C70"/>
    <w:multiLevelType w:val="hybridMultilevel"/>
    <w:tmpl w:val="A82A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CB4203"/>
    <w:multiLevelType w:val="hybridMultilevel"/>
    <w:tmpl w:val="4B08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7"/>
  </w:num>
  <w:num w:numId="3">
    <w:abstractNumId w:val="11"/>
  </w:num>
  <w:num w:numId="4">
    <w:abstractNumId w:val="17"/>
  </w:num>
  <w:num w:numId="5">
    <w:abstractNumId w:val="30"/>
  </w:num>
  <w:num w:numId="6">
    <w:abstractNumId w:val="18"/>
  </w:num>
  <w:num w:numId="7">
    <w:abstractNumId w:val="15"/>
  </w:num>
  <w:num w:numId="8">
    <w:abstractNumId w:val="2"/>
  </w:num>
  <w:num w:numId="9">
    <w:abstractNumId w:val="27"/>
  </w:num>
  <w:num w:numId="10">
    <w:abstractNumId w:val="12"/>
  </w:num>
  <w:num w:numId="11">
    <w:abstractNumId w:val="29"/>
  </w:num>
  <w:num w:numId="12">
    <w:abstractNumId w:val="24"/>
  </w:num>
  <w:num w:numId="13">
    <w:abstractNumId w:val="25"/>
  </w:num>
  <w:num w:numId="14">
    <w:abstractNumId w:val="22"/>
  </w:num>
  <w:num w:numId="15">
    <w:abstractNumId w:val="14"/>
  </w:num>
  <w:num w:numId="16">
    <w:abstractNumId w:val="5"/>
  </w:num>
  <w:num w:numId="17">
    <w:abstractNumId w:val="23"/>
  </w:num>
  <w:num w:numId="18">
    <w:abstractNumId w:val="19"/>
  </w:num>
  <w:num w:numId="19">
    <w:abstractNumId w:val="3"/>
  </w:num>
  <w:num w:numId="20">
    <w:abstractNumId w:val="8"/>
  </w:num>
  <w:num w:numId="21">
    <w:abstractNumId w:val="0"/>
  </w:num>
  <w:num w:numId="22">
    <w:abstractNumId w:val="28"/>
  </w:num>
  <w:num w:numId="23">
    <w:abstractNumId w:val="13"/>
  </w:num>
  <w:num w:numId="24">
    <w:abstractNumId w:val="26"/>
  </w:num>
  <w:num w:numId="25">
    <w:abstractNumId w:val="9"/>
  </w:num>
  <w:num w:numId="26">
    <w:abstractNumId w:val="6"/>
  </w:num>
  <w:num w:numId="27">
    <w:abstractNumId w:val="10"/>
  </w:num>
  <w:num w:numId="28">
    <w:abstractNumId w:val="4"/>
  </w:num>
  <w:num w:numId="29">
    <w:abstractNumId w:val="21"/>
  </w:num>
  <w:num w:numId="30">
    <w:abstractNumId w:val="20"/>
  </w:num>
  <w:num w:numId="31">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3FF2"/>
    <w:rsid w:val="000144F8"/>
    <w:rsid w:val="00014945"/>
    <w:rsid w:val="00014A49"/>
    <w:rsid w:val="00014A77"/>
    <w:rsid w:val="00015842"/>
    <w:rsid w:val="00015BFE"/>
    <w:rsid w:val="0001644E"/>
    <w:rsid w:val="000166E2"/>
    <w:rsid w:val="00016AA0"/>
    <w:rsid w:val="00016D5F"/>
    <w:rsid w:val="0001715F"/>
    <w:rsid w:val="00017291"/>
    <w:rsid w:val="0001756A"/>
    <w:rsid w:val="00017E2E"/>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721"/>
    <w:rsid w:val="000667E7"/>
    <w:rsid w:val="00067092"/>
    <w:rsid w:val="000675E5"/>
    <w:rsid w:val="00067924"/>
    <w:rsid w:val="00070723"/>
    <w:rsid w:val="00070806"/>
    <w:rsid w:val="00070B74"/>
    <w:rsid w:val="00072FD4"/>
    <w:rsid w:val="00072FFC"/>
    <w:rsid w:val="00073503"/>
    <w:rsid w:val="0007444E"/>
    <w:rsid w:val="00074659"/>
    <w:rsid w:val="00074AE4"/>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F30"/>
    <w:rsid w:val="000A06A1"/>
    <w:rsid w:val="000A0782"/>
    <w:rsid w:val="000A07FC"/>
    <w:rsid w:val="000A0815"/>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A1C"/>
    <w:rsid w:val="000B6C7C"/>
    <w:rsid w:val="000B7063"/>
    <w:rsid w:val="000B766E"/>
    <w:rsid w:val="000B7FDB"/>
    <w:rsid w:val="000C0167"/>
    <w:rsid w:val="000C09E8"/>
    <w:rsid w:val="000C0E65"/>
    <w:rsid w:val="000C1666"/>
    <w:rsid w:val="000C1CC9"/>
    <w:rsid w:val="000C27AA"/>
    <w:rsid w:val="000C28E7"/>
    <w:rsid w:val="000C31C0"/>
    <w:rsid w:val="000C3434"/>
    <w:rsid w:val="000C355D"/>
    <w:rsid w:val="000C379A"/>
    <w:rsid w:val="000C3C7A"/>
    <w:rsid w:val="000C3DCB"/>
    <w:rsid w:val="000C3DD8"/>
    <w:rsid w:val="000C3E11"/>
    <w:rsid w:val="000C421D"/>
    <w:rsid w:val="000C4399"/>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879"/>
    <w:rsid w:val="000D59C5"/>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FB6"/>
    <w:rsid w:val="000F6167"/>
    <w:rsid w:val="000F666C"/>
    <w:rsid w:val="000F66EF"/>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C80"/>
    <w:rsid w:val="00115EB2"/>
    <w:rsid w:val="0011601E"/>
    <w:rsid w:val="00116EF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982"/>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AD5"/>
    <w:rsid w:val="00151C8D"/>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6394"/>
    <w:rsid w:val="001563B7"/>
    <w:rsid w:val="00156F8B"/>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4E99"/>
    <w:rsid w:val="00165033"/>
    <w:rsid w:val="0016525C"/>
    <w:rsid w:val="00165A7E"/>
    <w:rsid w:val="001661BC"/>
    <w:rsid w:val="00166AE1"/>
    <w:rsid w:val="001670E0"/>
    <w:rsid w:val="001670EA"/>
    <w:rsid w:val="001674A0"/>
    <w:rsid w:val="0017070D"/>
    <w:rsid w:val="001707D2"/>
    <w:rsid w:val="00170A88"/>
    <w:rsid w:val="00170B3C"/>
    <w:rsid w:val="00170CE6"/>
    <w:rsid w:val="00170DC1"/>
    <w:rsid w:val="001719F8"/>
    <w:rsid w:val="0017208D"/>
    <w:rsid w:val="0017222D"/>
    <w:rsid w:val="001728E6"/>
    <w:rsid w:val="00172F84"/>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3279"/>
    <w:rsid w:val="001834F4"/>
    <w:rsid w:val="00183C4F"/>
    <w:rsid w:val="001842AF"/>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175"/>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9ED"/>
    <w:rsid w:val="00197BDF"/>
    <w:rsid w:val="001A0734"/>
    <w:rsid w:val="001A0B09"/>
    <w:rsid w:val="001A103E"/>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2BE"/>
    <w:rsid w:val="001D6350"/>
    <w:rsid w:val="001D64B9"/>
    <w:rsid w:val="001D6C2E"/>
    <w:rsid w:val="001E0242"/>
    <w:rsid w:val="001E0801"/>
    <w:rsid w:val="001E1406"/>
    <w:rsid w:val="001E22A3"/>
    <w:rsid w:val="001E2449"/>
    <w:rsid w:val="001E2698"/>
    <w:rsid w:val="001E2BCB"/>
    <w:rsid w:val="001E3C32"/>
    <w:rsid w:val="001E4473"/>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A21"/>
    <w:rsid w:val="001F1951"/>
    <w:rsid w:val="001F19F5"/>
    <w:rsid w:val="001F1EC6"/>
    <w:rsid w:val="001F2372"/>
    <w:rsid w:val="001F2A23"/>
    <w:rsid w:val="001F2DDD"/>
    <w:rsid w:val="001F30EF"/>
    <w:rsid w:val="001F3BB5"/>
    <w:rsid w:val="001F3FAB"/>
    <w:rsid w:val="001F3FC1"/>
    <w:rsid w:val="001F4259"/>
    <w:rsid w:val="001F4940"/>
    <w:rsid w:val="001F5019"/>
    <w:rsid w:val="001F53D5"/>
    <w:rsid w:val="001F59C4"/>
    <w:rsid w:val="001F5DE1"/>
    <w:rsid w:val="001F7729"/>
    <w:rsid w:val="002004FC"/>
    <w:rsid w:val="00200870"/>
    <w:rsid w:val="00200CBF"/>
    <w:rsid w:val="002010E5"/>
    <w:rsid w:val="002010EB"/>
    <w:rsid w:val="00201B56"/>
    <w:rsid w:val="00201BD4"/>
    <w:rsid w:val="00202151"/>
    <w:rsid w:val="00202231"/>
    <w:rsid w:val="00202ABC"/>
    <w:rsid w:val="00202B39"/>
    <w:rsid w:val="00202F91"/>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CAC"/>
    <w:rsid w:val="00212D43"/>
    <w:rsid w:val="002132F4"/>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5534"/>
    <w:rsid w:val="00255ADC"/>
    <w:rsid w:val="002569F3"/>
    <w:rsid w:val="00256C14"/>
    <w:rsid w:val="002572CF"/>
    <w:rsid w:val="0025735C"/>
    <w:rsid w:val="00257B07"/>
    <w:rsid w:val="00257DC5"/>
    <w:rsid w:val="002600C2"/>
    <w:rsid w:val="002600D8"/>
    <w:rsid w:val="002600E1"/>
    <w:rsid w:val="002604B1"/>
    <w:rsid w:val="00260831"/>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686"/>
    <w:rsid w:val="00267A49"/>
    <w:rsid w:val="00267B86"/>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C0F"/>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132E"/>
    <w:rsid w:val="002B1560"/>
    <w:rsid w:val="002B180F"/>
    <w:rsid w:val="002B21CE"/>
    <w:rsid w:val="002B2593"/>
    <w:rsid w:val="002B2767"/>
    <w:rsid w:val="002B2813"/>
    <w:rsid w:val="002B309A"/>
    <w:rsid w:val="002B3667"/>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8D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71F"/>
    <w:rsid w:val="003179C3"/>
    <w:rsid w:val="00317BF6"/>
    <w:rsid w:val="00317F47"/>
    <w:rsid w:val="003206C6"/>
    <w:rsid w:val="00320DCD"/>
    <w:rsid w:val="00320E94"/>
    <w:rsid w:val="0032119C"/>
    <w:rsid w:val="003213B9"/>
    <w:rsid w:val="003218F9"/>
    <w:rsid w:val="00321A6B"/>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3300"/>
    <w:rsid w:val="00383AEA"/>
    <w:rsid w:val="00383F09"/>
    <w:rsid w:val="003840EA"/>
    <w:rsid w:val="00384DA6"/>
    <w:rsid w:val="0038501D"/>
    <w:rsid w:val="00385095"/>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5A0"/>
    <w:rsid w:val="003A75F1"/>
    <w:rsid w:val="003A7966"/>
    <w:rsid w:val="003B030B"/>
    <w:rsid w:val="003B0ABB"/>
    <w:rsid w:val="003B1161"/>
    <w:rsid w:val="003B1788"/>
    <w:rsid w:val="003B2C90"/>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20A5"/>
    <w:rsid w:val="003C23B7"/>
    <w:rsid w:val="003C28D3"/>
    <w:rsid w:val="003C2C35"/>
    <w:rsid w:val="003C34F0"/>
    <w:rsid w:val="003C42C7"/>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2396"/>
    <w:rsid w:val="003E2A36"/>
    <w:rsid w:val="003E3F38"/>
    <w:rsid w:val="003E42DD"/>
    <w:rsid w:val="003E4580"/>
    <w:rsid w:val="003E521B"/>
    <w:rsid w:val="003E5428"/>
    <w:rsid w:val="003E5AD0"/>
    <w:rsid w:val="003E5B0C"/>
    <w:rsid w:val="003E5B29"/>
    <w:rsid w:val="003E5E46"/>
    <w:rsid w:val="003E6282"/>
    <w:rsid w:val="003E6A4B"/>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D6"/>
    <w:rsid w:val="00422886"/>
    <w:rsid w:val="0042293D"/>
    <w:rsid w:val="00422BBE"/>
    <w:rsid w:val="00422DA2"/>
    <w:rsid w:val="00423108"/>
    <w:rsid w:val="004231E8"/>
    <w:rsid w:val="004234F9"/>
    <w:rsid w:val="004241D0"/>
    <w:rsid w:val="0042457E"/>
    <w:rsid w:val="004247C2"/>
    <w:rsid w:val="00424FA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A9"/>
    <w:rsid w:val="004674D2"/>
    <w:rsid w:val="004676CE"/>
    <w:rsid w:val="00467E1A"/>
    <w:rsid w:val="00467E90"/>
    <w:rsid w:val="00467FA5"/>
    <w:rsid w:val="004701AA"/>
    <w:rsid w:val="004708CA"/>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1E7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239"/>
    <w:rsid w:val="00493584"/>
    <w:rsid w:val="00493C49"/>
    <w:rsid w:val="00493F9C"/>
    <w:rsid w:val="004946A5"/>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6DB"/>
    <w:rsid w:val="004A5EB9"/>
    <w:rsid w:val="004A64E1"/>
    <w:rsid w:val="004A67FF"/>
    <w:rsid w:val="004A6EBC"/>
    <w:rsid w:val="004A7604"/>
    <w:rsid w:val="004A7854"/>
    <w:rsid w:val="004A7E64"/>
    <w:rsid w:val="004B0582"/>
    <w:rsid w:val="004B1085"/>
    <w:rsid w:val="004B1312"/>
    <w:rsid w:val="004B1CDA"/>
    <w:rsid w:val="004B1F73"/>
    <w:rsid w:val="004B2CE0"/>
    <w:rsid w:val="004B3259"/>
    <w:rsid w:val="004B3355"/>
    <w:rsid w:val="004B37EF"/>
    <w:rsid w:val="004B3F34"/>
    <w:rsid w:val="004B475A"/>
    <w:rsid w:val="004B47C7"/>
    <w:rsid w:val="004B529D"/>
    <w:rsid w:val="004B5AC0"/>
    <w:rsid w:val="004B6209"/>
    <w:rsid w:val="004B74FF"/>
    <w:rsid w:val="004B76E7"/>
    <w:rsid w:val="004B7DFD"/>
    <w:rsid w:val="004B7E88"/>
    <w:rsid w:val="004B7FED"/>
    <w:rsid w:val="004C00A3"/>
    <w:rsid w:val="004C07CD"/>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5FFA"/>
    <w:rsid w:val="004C6DCF"/>
    <w:rsid w:val="004C7072"/>
    <w:rsid w:val="004C7101"/>
    <w:rsid w:val="004C795A"/>
    <w:rsid w:val="004C7A28"/>
    <w:rsid w:val="004D006C"/>
    <w:rsid w:val="004D0803"/>
    <w:rsid w:val="004D09AD"/>
    <w:rsid w:val="004D0A0D"/>
    <w:rsid w:val="004D13F2"/>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B4"/>
    <w:rsid w:val="004F1D7D"/>
    <w:rsid w:val="004F1F16"/>
    <w:rsid w:val="004F2C55"/>
    <w:rsid w:val="004F3191"/>
    <w:rsid w:val="004F33AA"/>
    <w:rsid w:val="004F359C"/>
    <w:rsid w:val="004F43EA"/>
    <w:rsid w:val="004F47C6"/>
    <w:rsid w:val="004F542A"/>
    <w:rsid w:val="004F5460"/>
    <w:rsid w:val="004F5835"/>
    <w:rsid w:val="004F5F2B"/>
    <w:rsid w:val="004F6DAF"/>
    <w:rsid w:val="004F75CE"/>
    <w:rsid w:val="004F7B4B"/>
    <w:rsid w:val="004F7EFB"/>
    <w:rsid w:val="005000CF"/>
    <w:rsid w:val="00500537"/>
    <w:rsid w:val="00500684"/>
    <w:rsid w:val="0050146A"/>
    <w:rsid w:val="00501857"/>
    <w:rsid w:val="005019AD"/>
    <w:rsid w:val="00501CBA"/>
    <w:rsid w:val="005021E2"/>
    <w:rsid w:val="00502A5B"/>
    <w:rsid w:val="00502F6A"/>
    <w:rsid w:val="005039D8"/>
    <w:rsid w:val="00505035"/>
    <w:rsid w:val="005054D9"/>
    <w:rsid w:val="0050588B"/>
    <w:rsid w:val="00506238"/>
    <w:rsid w:val="005063B0"/>
    <w:rsid w:val="00506692"/>
    <w:rsid w:val="005072C4"/>
    <w:rsid w:val="00507DC3"/>
    <w:rsid w:val="005101C8"/>
    <w:rsid w:val="00510975"/>
    <w:rsid w:val="00510AFC"/>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4277"/>
    <w:rsid w:val="0052455E"/>
    <w:rsid w:val="0052468E"/>
    <w:rsid w:val="00524AD1"/>
    <w:rsid w:val="00524FA9"/>
    <w:rsid w:val="005252B8"/>
    <w:rsid w:val="0052543F"/>
    <w:rsid w:val="0052565A"/>
    <w:rsid w:val="005256FD"/>
    <w:rsid w:val="00525D5F"/>
    <w:rsid w:val="005265A7"/>
    <w:rsid w:val="00526BD8"/>
    <w:rsid w:val="005276BC"/>
    <w:rsid w:val="00527E6D"/>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A30"/>
    <w:rsid w:val="00536B4D"/>
    <w:rsid w:val="005377D0"/>
    <w:rsid w:val="00537A3D"/>
    <w:rsid w:val="00537ACE"/>
    <w:rsid w:val="00537CD7"/>
    <w:rsid w:val="00537F43"/>
    <w:rsid w:val="00540809"/>
    <w:rsid w:val="005412E8"/>
    <w:rsid w:val="00541837"/>
    <w:rsid w:val="00541A1B"/>
    <w:rsid w:val="00541A68"/>
    <w:rsid w:val="00541E64"/>
    <w:rsid w:val="00541EB5"/>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E7F"/>
    <w:rsid w:val="005561EB"/>
    <w:rsid w:val="005569D8"/>
    <w:rsid w:val="00556AA8"/>
    <w:rsid w:val="00556BE7"/>
    <w:rsid w:val="005577E9"/>
    <w:rsid w:val="00557A88"/>
    <w:rsid w:val="00557C19"/>
    <w:rsid w:val="00561528"/>
    <w:rsid w:val="0056162A"/>
    <w:rsid w:val="005617FA"/>
    <w:rsid w:val="00561812"/>
    <w:rsid w:val="005619C5"/>
    <w:rsid w:val="00561D0A"/>
    <w:rsid w:val="005623AE"/>
    <w:rsid w:val="00562675"/>
    <w:rsid w:val="00562B4D"/>
    <w:rsid w:val="00562DF2"/>
    <w:rsid w:val="005631EC"/>
    <w:rsid w:val="00563268"/>
    <w:rsid w:val="00563564"/>
    <w:rsid w:val="005636A6"/>
    <w:rsid w:val="00563831"/>
    <w:rsid w:val="00563CC2"/>
    <w:rsid w:val="00564C60"/>
    <w:rsid w:val="00564C76"/>
    <w:rsid w:val="00565157"/>
    <w:rsid w:val="005653C7"/>
    <w:rsid w:val="00565408"/>
    <w:rsid w:val="00565489"/>
    <w:rsid w:val="00565A85"/>
    <w:rsid w:val="00565B34"/>
    <w:rsid w:val="00565B86"/>
    <w:rsid w:val="00565C99"/>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33D"/>
    <w:rsid w:val="005815FD"/>
    <w:rsid w:val="005818F0"/>
    <w:rsid w:val="00581E43"/>
    <w:rsid w:val="005820C2"/>
    <w:rsid w:val="0058239E"/>
    <w:rsid w:val="00582BE6"/>
    <w:rsid w:val="00583325"/>
    <w:rsid w:val="00583631"/>
    <w:rsid w:val="00583871"/>
    <w:rsid w:val="00583C95"/>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8B0"/>
    <w:rsid w:val="005B18B2"/>
    <w:rsid w:val="005B2625"/>
    <w:rsid w:val="005B2AE9"/>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31D5"/>
    <w:rsid w:val="005E3253"/>
    <w:rsid w:val="005E34A5"/>
    <w:rsid w:val="005E390A"/>
    <w:rsid w:val="005E3AEF"/>
    <w:rsid w:val="005E3D09"/>
    <w:rsid w:val="005E4F2B"/>
    <w:rsid w:val="005E5021"/>
    <w:rsid w:val="005E58DE"/>
    <w:rsid w:val="005E6613"/>
    <w:rsid w:val="005E6953"/>
    <w:rsid w:val="005E701C"/>
    <w:rsid w:val="005E778E"/>
    <w:rsid w:val="005E7A9F"/>
    <w:rsid w:val="005E7F0A"/>
    <w:rsid w:val="005F0586"/>
    <w:rsid w:val="005F0E4E"/>
    <w:rsid w:val="005F1906"/>
    <w:rsid w:val="005F1B1A"/>
    <w:rsid w:val="005F1F9D"/>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F34"/>
    <w:rsid w:val="006125A3"/>
    <w:rsid w:val="006139CC"/>
    <w:rsid w:val="00614CD1"/>
    <w:rsid w:val="00614FCF"/>
    <w:rsid w:val="0061505B"/>
    <w:rsid w:val="0061512E"/>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62"/>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469"/>
    <w:rsid w:val="00656DB7"/>
    <w:rsid w:val="0065728D"/>
    <w:rsid w:val="00657297"/>
    <w:rsid w:val="006575CB"/>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58B"/>
    <w:rsid w:val="006A4E28"/>
    <w:rsid w:val="006A59CB"/>
    <w:rsid w:val="006A5E1B"/>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D74"/>
    <w:rsid w:val="006E421D"/>
    <w:rsid w:val="006E50C2"/>
    <w:rsid w:val="006E52A1"/>
    <w:rsid w:val="006E54FC"/>
    <w:rsid w:val="006E65D0"/>
    <w:rsid w:val="006E6693"/>
    <w:rsid w:val="006E671C"/>
    <w:rsid w:val="006E6918"/>
    <w:rsid w:val="006E6A0C"/>
    <w:rsid w:val="006E6AB2"/>
    <w:rsid w:val="006E6BA3"/>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F0B"/>
    <w:rsid w:val="006F63D1"/>
    <w:rsid w:val="006F64A4"/>
    <w:rsid w:val="006F670F"/>
    <w:rsid w:val="00700297"/>
    <w:rsid w:val="007003C4"/>
    <w:rsid w:val="007004E7"/>
    <w:rsid w:val="00700503"/>
    <w:rsid w:val="007012DE"/>
    <w:rsid w:val="00701381"/>
    <w:rsid w:val="007013CA"/>
    <w:rsid w:val="007013E1"/>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452"/>
    <w:rsid w:val="00710BCC"/>
    <w:rsid w:val="00711E13"/>
    <w:rsid w:val="007120BA"/>
    <w:rsid w:val="00712765"/>
    <w:rsid w:val="0071295E"/>
    <w:rsid w:val="00712EDA"/>
    <w:rsid w:val="00714554"/>
    <w:rsid w:val="007152C6"/>
    <w:rsid w:val="00715B3C"/>
    <w:rsid w:val="00715B8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480"/>
    <w:rsid w:val="00756547"/>
    <w:rsid w:val="00756832"/>
    <w:rsid w:val="0075687E"/>
    <w:rsid w:val="007569E5"/>
    <w:rsid w:val="007577E5"/>
    <w:rsid w:val="007579BB"/>
    <w:rsid w:val="00760050"/>
    <w:rsid w:val="0076010D"/>
    <w:rsid w:val="007603C9"/>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DE8"/>
    <w:rsid w:val="00767208"/>
    <w:rsid w:val="0076783D"/>
    <w:rsid w:val="00770437"/>
    <w:rsid w:val="00770C37"/>
    <w:rsid w:val="007710E9"/>
    <w:rsid w:val="007718F8"/>
    <w:rsid w:val="00771A89"/>
    <w:rsid w:val="0077237F"/>
    <w:rsid w:val="0077288A"/>
    <w:rsid w:val="00772A48"/>
    <w:rsid w:val="00773654"/>
    <w:rsid w:val="007739FC"/>
    <w:rsid w:val="0077447B"/>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C7A"/>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4"/>
    <w:rsid w:val="00834A98"/>
    <w:rsid w:val="00834B77"/>
    <w:rsid w:val="00834C45"/>
    <w:rsid w:val="00835883"/>
    <w:rsid w:val="00836FA9"/>
    <w:rsid w:val="00837C36"/>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B50"/>
    <w:rsid w:val="008632B9"/>
    <w:rsid w:val="0086362F"/>
    <w:rsid w:val="00864320"/>
    <w:rsid w:val="008644EC"/>
    <w:rsid w:val="00864BD9"/>
    <w:rsid w:val="00864D59"/>
    <w:rsid w:val="00865910"/>
    <w:rsid w:val="0086651B"/>
    <w:rsid w:val="00866F53"/>
    <w:rsid w:val="0086731A"/>
    <w:rsid w:val="00867567"/>
    <w:rsid w:val="00867B2B"/>
    <w:rsid w:val="00867BDE"/>
    <w:rsid w:val="00867F69"/>
    <w:rsid w:val="00870172"/>
    <w:rsid w:val="008706DF"/>
    <w:rsid w:val="008710CA"/>
    <w:rsid w:val="0087117E"/>
    <w:rsid w:val="008714D5"/>
    <w:rsid w:val="008714EF"/>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7DDE"/>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27BA"/>
    <w:rsid w:val="00893131"/>
    <w:rsid w:val="00893408"/>
    <w:rsid w:val="008935B2"/>
    <w:rsid w:val="0089365F"/>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415D"/>
    <w:rsid w:val="008A4316"/>
    <w:rsid w:val="008A4614"/>
    <w:rsid w:val="008A57E5"/>
    <w:rsid w:val="008A6D42"/>
    <w:rsid w:val="008A6FDE"/>
    <w:rsid w:val="008A71F3"/>
    <w:rsid w:val="008A7340"/>
    <w:rsid w:val="008B016F"/>
    <w:rsid w:val="008B01EE"/>
    <w:rsid w:val="008B0B98"/>
    <w:rsid w:val="008B1B15"/>
    <w:rsid w:val="008B1E26"/>
    <w:rsid w:val="008B1EAD"/>
    <w:rsid w:val="008B1F69"/>
    <w:rsid w:val="008B2239"/>
    <w:rsid w:val="008B275B"/>
    <w:rsid w:val="008B3240"/>
    <w:rsid w:val="008B3375"/>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375E"/>
    <w:rsid w:val="008C44CD"/>
    <w:rsid w:val="008C4C4D"/>
    <w:rsid w:val="008C53A7"/>
    <w:rsid w:val="008C57DF"/>
    <w:rsid w:val="008C606E"/>
    <w:rsid w:val="008C62C8"/>
    <w:rsid w:val="008C685E"/>
    <w:rsid w:val="008C6EF2"/>
    <w:rsid w:val="008C72ED"/>
    <w:rsid w:val="008D0543"/>
    <w:rsid w:val="008D0B2D"/>
    <w:rsid w:val="008D137D"/>
    <w:rsid w:val="008D1688"/>
    <w:rsid w:val="008D18C0"/>
    <w:rsid w:val="008D19DF"/>
    <w:rsid w:val="008D20FF"/>
    <w:rsid w:val="008D3935"/>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BA8"/>
    <w:rsid w:val="008E785F"/>
    <w:rsid w:val="008E79D3"/>
    <w:rsid w:val="008F0300"/>
    <w:rsid w:val="008F0360"/>
    <w:rsid w:val="008F0580"/>
    <w:rsid w:val="008F06A6"/>
    <w:rsid w:val="008F0A7D"/>
    <w:rsid w:val="008F0D60"/>
    <w:rsid w:val="008F0EB6"/>
    <w:rsid w:val="008F15C3"/>
    <w:rsid w:val="008F1897"/>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4340"/>
    <w:rsid w:val="00904ED8"/>
    <w:rsid w:val="00905AC8"/>
    <w:rsid w:val="00905BF2"/>
    <w:rsid w:val="00905C1E"/>
    <w:rsid w:val="00905E34"/>
    <w:rsid w:val="00905F83"/>
    <w:rsid w:val="0090606E"/>
    <w:rsid w:val="009062EB"/>
    <w:rsid w:val="009068FB"/>
    <w:rsid w:val="00906AFD"/>
    <w:rsid w:val="00906F1D"/>
    <w:rsid w:val="00906FEA"/>
    <w:rsid w:val="00907349"/>
    <w:rsid w:val="0090741F"/>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99D"/>
    <w:rsid w:val="00925E77"/>
    <w:rsid w:val="00926519"/>
    <w:rsid w:val="009266D3"/>
    <w:rsid w:val="00926E6D"/>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B6"/>
    <w:rsid w:val="00936E7E"/>
    <w:rsid w:val="0093717E"/>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92B"/>
    <w:rsid w:val="00984E48"/>
    <w:rsid w:val="009857AA"/>
    <w:rsid w:val="00985CEC"/>
    <w:rsid w:val="00985EF7"/>
    <w:rsid w:val="00985F6E"/>
    <w:rsid w:val="009864B1"/>
    <w:rsid w:val="00986573"/>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72A3"/>
    <w:rsid w:val="009A7D0A"/>
    <w:rsid w:val="009B005B"/>
    <w:rsid w:val="009B021A"/>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05DF"/>
    <w:rsid w:val="009D1D92"/>
    <w:rsid w:val="009D276C"/>
    <w:rsid w:val="009D444F"/>
    <w:rsid w:val="009D4D68"/>
    <w:rsid w:val="009D5107"/>
    <w:rsid w:val="009D544F"/>
    <w:rsid w:val="009D594D"/>
    <w:rsid w:val="009D5976"/>
    <w:rsid w:val="009D698E"/>
    <w:rsid w:val="009D788F"/>
    <w:rsid w:val="009D79C1"/>
    <w:rsid w:val="009D79DE"/>
    <w:rsid w:val="009E0B04"/>
    <w:rsid w:val="009E0F35"/>
    <w:rsid w:val="009E1143"/>
    <w:rsid w:val="009E17E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BD3"/>
    <w:rsid w:val="009F3421"/>
    <w:rsid w:val="009F36A4"/>
    <w:rsid w:val="009F376A"/>
    <w:rsid w:val="009F3A06"/>
    <w:rsid w:val="009F3C53"/>
    <w:rsid w:val="009F3D84"/>
    <w:rsid w:val="009F409E"/>
    <w:rsid w:val="009F42DF"/>
    <w:rsid w:val="009F44EB"/>
    <w:rsid w:val="009F4B9B"/>
    <w:rsid w:val="009F5041"/>
    <w:rsid w:val="009F50A2"/>
    <w:rsid w:val="009F554D"/>
    <w:rsid w:val="009F55C9"/>
    <w:rsid w:val="009F58FE"/>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14"/>
    <w:rsid w:val="00A01903"/>
    <w:rsid w:val="00A01970"/>
    <w:rsid w:val="00A02FCE"/>
    <w:rsid w:val="00A038DE"/>
    <w:rsid w:val="00A0394F"/>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32A"/>
    <w:rsid w:val="00A22A57"/>
    <w:rsid w:val="00A22AC3"/>
    <w:rsid w:val="00A22F6C"/>
    <w:rsid w:val="00A2310A"/>
    <w:rsid w:val="00A23398"/>
    <w:rsid w:val="00A2406C"/>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7AD"/>
    <w:rsid w:val="00A53874"/>
    <w:rsid w:val="00A539D1"/>
    <w:rsid w:val="00A53A07"/>
    <w:rsid w:val="00A53B9D"/>
    <w:rsid w:val="00A53CB5"/>
    <w:rsid w:val="00A53E89"/>
    <w:rsid w:val="00A53ED0"/>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959"/>
    <w:rsid w:val="00A630DE"/>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8025E"/>
    <w:rsid w:val="00A80E7E"/>
    <w:rsid w:val="00A81217"/>
    <w:rsid w:val="00A81A35"/>
    <w:rsid w:val="00A81A85"/>
    <w:rsid w:val="00A81CC3"/>
    <w:rsid w:val="00A82422"/>
    <w:rsid w:val="00A82697"/>
    <w:rsid w:val="00A82B61"/>
    <w:rsid w:val="00A830EA"/>
    <w:rsid w:val="00A83632"/>
    <w:rsid w:val="00A83844"/>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AA8"/>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EB2"/>
    <w:rsid w:val="00A95682"/>
    <w:rsid w:val="00A95937"/>
    <w:rsid w:val="00A95DE4"/>
    <w:rsid w:val="00A9789A"/>
    <w:rsid w:val="00A97B18"/>
    <w:rsid w:val="00A97DC5"/>
    <w:rsid w:val="00AA02BA"/>
    <w:rsid w:val="00AA0AFC"/>
    <w:rsid w:val="00AA137E"/>
    <w:rsid w:val="00AA1440"/>
    <w:rsid w:val="00AA15EE"/>
    <w:rsid w:val="00AA2654"/>
    <w:rsid w:val="00AA33A6"/>
    <w:rsid w:val="00AA4027"/>
    <w:rsid w:val="00AA447E"/>
    <w:rsid w:val="00AA4621"/>
    <w:rsid w:val="00AA57A4"/>
    <w:rsid w:val="00AA59B5"/>
    <w:rsid w:val="00AA665B"/>
    <w:rsid w:val="00AA686C"/>
    <w:rsid w:val="00AA758B"/>
    <w:rsid w:val="00AA7819"/>
    <w:rsid w:val="00AA7FA4"/>
    <w:rsid w:val="00AB0E52"/>
    <w:rsid w:val="00AB1584"/>
    <w:rsid w:val="00AB1A72"/>
    <w:rsid w:val="00AB1D3F"/>
    <w:rsid w:val="00AB2574"/>
    <w:rsid w:val="00AB2697"/>
    <w:rsid w:val="00AB2E67"/>
    <w:rsid w:val="00AB2FE2"/>
    <w:rsid w:val="00AB3462"/>
    <w:rsid w:val="00AB4B95"/>
    <w:rsid w:val="00AB5094"/>
    <w:rsid w:val="00AB5576"/>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AF3"/>
    <w:rsid w:val="00AC7B39"/>
    <w:rsid w:val="00AC7DED"/>
    <w:rsid w:val="00AD03AB"/>
    <w:rsid w:val="00AD0502"/>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D"/>
    <w:rsid w:val="00AE776C"/>
    <w:rsid w:val="00AE7A30"/>
    <w:rsid w:val="00AF0CC9"/>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FB4"/>
    <w:rsid w:val="00B617FE"/>
    <w:rsid w:val="00B61D08"/>
    <w:rsid w:val="00B621BB"/>
    <w:rsid w:val="00B62680"/>
    <w:rsid w:val="00B62E7E"/>
    <w:rsid w:val="00B63337"/>
    <w:rsid w:val="00B64201"/>
    <w:rsid w:val="00B6429A"/>
    <w:rsid w:val="00B643B5"/>
    <w:rsid w:val="00B645CE"/>
    <w:rsid w:val="00B6486F"/>
    <w:rsid w:val="00B6498B"/>
    <w:rsid w:val="00B64BF5"/>
    <w:rsid w:val="00B65868"/>
    <w:rsid w:val="00B66127"/>
    <w:rsid w:val="00B66356"/>
    <w:rsid w:val="00B663F9"/>
    <w:rsid w:val="00B669BE"/>
    <w:rsid w:val="00B66AD9"/>
    <w:rsid w:val="00B66C99"/>
    <w:rsid w:val="00B66D8E"/>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3055"/>
    <w:rsid w:val="00BB33C3"/>
    <w:rsid w:val="00BB38E7"/>
    <w:rsid w:val="00BB3E2B"/>
    <w:rsid w:val="00BB4331"/>
    <w:rsid w:val="00BB4B42"/>
    <w:rsid w:val="00BB4C0F"/>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E4B"/>
    <w:rsid w:val="00BF65C7"/>
    <w:rsid w:val="00BF69B8"/>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50C6"/>
    <w:rsid w:val="00C15350"/>
    <w:rsid w:val="00C15728"/>
    <w:rsid w:val="00C15C40"/>
    <w:rsid w:val="00C15EDB"/>
    <w:rsid w:val="00C1675B"/>
    <w:rsid w:val="00C16906"/>
    <w:rsid w:val="00C16C4F"/>
    <w:rsid w:val="00C1770D"/>
    <w:rsid w:val="00C17FCF"/>
    <w:rsid w:val="00C20531"/>
    <w:rsid w:val="00C20BEA"/>
    <w:rsid w:val="00C21016"/>
    <w:rsid w:val="00C21368"/>
    <w:rsid w:val="00C21D22"/>
    <w:rsid w:val="00C2255D"/>
    <w:rsid w:val="00C22776"/>
    <w:rsid w:val="00C22B9D"/>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77D"/>
    <w:rsid w:val="00C53BDB"/>
    <w:rsid w:val="00C53BE7"/>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307"/>
    <w:rsid w:val="00C70400"/>
    <w:rsid w:val="00C70CCC"/>
    <w:rsid w:val="00C7199C"/>
    <w:rsid w:val="00C71FE3"/>
    <w:rsid w:val="00C72196"/>
    <w:rsid w:val="00C7233D"/>
    <w:rsid w:val="00C7238D"/>
    <w:rsid w:val="00C7297B"/>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69F"/>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4191"/>
    <w:rsid w:val="00CA4730"/>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80D"/>
    <w:rsid w:val="00CC0B1D"/>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632"/>
    <w:rsid w:val="00CC7DBA"/>
    <w:rsid w:val="00CD0686"/>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659"/>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39C"/>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51F"/>
    <w:rsid w:val="00D34903"/>
    <w:rsid w:val="00D35511"/>
    <w:rsid w:val="00D36010"/>
    <w:rsid w:val="00D3626A"/>
    <w:rsid w:val="00D3683C"/>
    <w:rsid w:val="00D37204"/>
    <w:rsid w:val="00D37AD5"/>
    <w:rsid w:val="00D37DC4"/>
    <w:rsid w:val="00D40835"/>
    <w:rsid w:val="00D41349"/>
    <w:rsid w:val="00D41A12"/>
    <w:rsid w:val="00D42DE5"/>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43BE"/>
    <w:rsid w:val="00D84860"/>
    <w:rsid w:val="00D84A7D"/>
    <w:rsid w:val="00D85866"/>
    <w:rsid w:val="00D85B95"/>
    <w:rsid w:val="00D85FD2"/>
    <w:rsid w:val="00D861F1"/>
    <w:rsid w:val="00D8628D"/>
    <w:rsid w:val="00D86772"/>
    <w:rsid w:val="00D869B9"/>
    <w:rsid w:val="00D86ED8"/>
    <w:rsid w:val="00D86F68"/>
    <w:rsid w:val="00D8718A"/>
    <w:rsid w:val="00D871A8"/>
    <w:rsid w:val="00D874DF"/>
    <w:rsid w:val="00D87524"/>
    <w:rsid w:val="00D8790F"/>
    <w:rsid w:val="00D87B29"/>
    <w:rsid w:val="00D90FE5"/>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915"/>
    <w:rsid w:val="00DB3A47"/>
    <w:rsid w:val="00DB3FC7"/>
    <w:rsid w:val="00DB444C"/>
    <w:rsid w:val="00DB449C"/>
    <w:rsid w:val="00DB47E8"/>
    <w:rsid w:val="00DB50ED"/>
    <w:rsid w:val="00DB5380"/>
    <w:rsid w:val="00DB5789"/>
    <w:rsid w:val="00DB64C0"/>
    <w:rsid w:val="00DB6528"/>
    <w:rsid w:val="00DB68D5"/>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5E0"/>
    <w:rsid w:val="00DD572D"/>
    <w:rsid w:val="00DD58AE"/>
    <w:rsid w:val="00DD5A71"/>
    <w:rsid w:val="00DD603D"/>
    <w:rsid w:val="00DD62A3"/>
    <w:rsid w:val="00DD75DD"/>
    <w:rsid w:val="00DD78CA"/>
    <w:rsid w:val="00DE0C19"/>
    <w:rsid w:val="00DE0D40"/>
    <w:rsid w:val="00DE16C2"/>
    <w:rsid w:val="00DE1FBC"/>
    <w:rsid w:val="00DE20BB"/>
    <w:rsid w:val="00DE22B5"/>
    <w:rsid w:val="00DE259A"/>
    <w:rsid w:val="00DE25D7"/>
    <w:rsid w:val="00DE3035"/>
    <w:rsid w:val="00DE335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32F0"/>
    <w:rsid w:val="00E13A07"/>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6C3"/>
    <w:rsid w:val="00E257A7"/>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AB4"/>
    <w:rsid w:val="00E72B9C"/>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FF"/>
    <w:rsid w:val="00E946A6"/>
    <w:rsid w:val="00E94823"/>
    <w:rsid w:val="00E9575B"/>
    <w:rsid w:val="00E95D28"/>
    <w:rsid w:val="00E96219"/>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9F9"/>
    <w:rsid w:val="00EB1E70"/>
    <w:rsid w:val="00EB241D"/>
    <w:rsid w:val="00EB2CA2"/>
    <w:rsid w:val="00EB2D87"/>
    <w:rsid w:val="00EB2EFE"/>
    <w:rsid w:val="00EB3773"/>
    <w:rsid w:val="00EB3F39"/>
    <w:rsid w:val="00EB4456"/>
    <w:rsid w:val="00EB4523"/>
    <w:rsid w:val="00EB53AC"/>
    <w:rsid w:val="00EB584A"/>
    <w:rsid w:val="00EB5DE7"/>
    <w:rsid w:val="00EB5EEA"/>
    <w:rsid w:val="00EB6399"/>
    <w:rsid w:val="00EB6B73"/>
    <w:rsid w:val="00EB6FAC"/>
    <w:rsid w:val="00EB7013"/>
    <w:rsid w:val="00EB763C"/>
    <w:rsid w:val="00EB7EBC"/>
    <w:rsid w:val="00EC0140"/>
    <w:rsid w:val="00EC1221"/>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4563"/>
    <w:rsid w:val="00F04725"/>
    <w:rsid w:val="00F05F75"/>
    <w:rsid w:val="00F0656D"/>
    <w:rsid w:val="00F0670C"/>
    <w:rsid w:val="00F071A8"/>
    <w:rsid w:val="00F072C2"/>
    <w:rsid w:val="00F073BA"/>
    <w:rsid w:val="00F07B59"/>
    <w:rsid w:val="00F07F7B"/>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93A"/>
    <w:rsid w:val="00F55CF6"/>
    <w:rsid w:val="00F5645D"/>
    <w:rsid w:val="00F56EA0"/>
    <w:rsid w:val="00F570E9"/>
    <w:rsid w:val="00F57C96"/>
    <w:rsid w:val="00F57D1E"/>
    <w:rsid w:val="00F57DF7"/>
    <w:rsid w:val="00F6050C"/>
    <w:rsid w:val="00F608D4"/>
    <w:rsid w:val="00F60950"/>
    <w:rsid w:val="00F60A52"/>
    <w:rsid w:val="00F60D89"/>
    <w:rsid w:val="00F61066"/>
    <w:rsid w:val="00F61199"/>
    <w:rsid w:val="00F61E24"/>
    <w:rsid w:val="00F6202E"/>
    <w:rsid w:val="00F625CD"/>
    <w:rsid w:val="00F6264A"/>
    <w:rsid w:val="00F62738"/>
    <w:rsid w:val="00F62C49"/>
    <w:rsid w:val="00F63DBC"/>
    <w:rsid w:val="00F63E82"/>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14ED"/>
    <w:rsid w:val="00F71920"/>
    <w:rsid w:val="00F71944"/>
    <w:rsid w:val="00F719CA"/>
    <w:rsid w:val="00F71BD1"/>
    <w:rsid w:val="00F71CA8"/>
    <w:rsid w:val="00F71DDD"/>
    <w:rsid w:val="00F72465"/>
    <w:rsid w:val="00F73352"/>
    <w:rsid w:val="00F73E36"/>
    <w:rsid w:val="00F744C7"/>
    <w:rsid w:val="00F74EB5"/>
    <w:rsid w:val="00F75A76"/>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A73"/>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9A7"/>
    <w:rsid w:val="00FA302E"/>
    <w:rsid w:val="00FA3264"/>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474"/>
    <w:rsid w:val="00FB477A"/>
    <w:rsid w:val="00FB4A07"/>
    <w:rsid w:val="00FB4D6F"/>
    <w:rsid w:val="00FB5018"/>
    <w:rsid w:val="00FB52FA"/>
    <w:rsid w:val="00FB5C3C"/>
    <w:rsid w:val="00FB5D5E"/>
    <w:rsid w:val="00FB5EB4"/>
    <w:rsid w:val="00FB5FEE"/>
    <w:rsid w:val="00FB6659"/>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325"/>
    <w:rsid w:val="00FD69BA"/>
    <w:rsid w:val="00FD6C26"/>
    <w:rsid w:val="00FE002E"/>
    <w:rsid w:val="00FE089B"/>
    <w:rsid w:val="00FE1696"/>
    <w:rsid w:val="00FE1943"/>
    <w:rsid w:val="00FE1AA0"/>
    <w:rsid w:val="00FE2022"/>
    <w:rsid w:val="00FE2AF4"/>
    <w:rsid w:val="00FE3AFA"/>
    <w:rsid w:val="00FE3E38"/>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F06"/>
    <w:rsid w:val="00FF16F2"/>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uiPriority w:val="99"/>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1" ma:contentTypeDescription="Create a new document." ma:contentTypeScope="" ma:versionID="a4fc01ecf2a5395c6d7c2ad97920b7ec">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2adcd03dc7c08c0cacd4d62d2311f173"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77D67E9B-21F7-47F2-B9D3-5B92D4DAD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04CC89A-8886-4562-B443-07E9BAC96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TotalTime>
  <Pages>7</Pages>
  <Words>3223</Words>
  <Characters>18376</Characters>
  <Application>Microsoft Office Word</Application>
  <DocSecurity>0</DocSecurity>
  <Lines>153</Lines>
  <Paragraphs>43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Introduction</vt:lpstr>
      <vt:lpstr>Reduced maximum UE bandwidth</vt:lpstr>
      <vt:lpstr>Reduced minimum number of Rx branches</vt:lpstr>
      <vt:lpstr>Maximum number of DL MIMO layers</vt:lpstr>
      <vt:lpstr>Relaxed maximum modulation order</vt:lpstr>
      <vt:lpstr>Half-duplex operation</vt:lpstr>
      <vt:lpstr>Conclusions</vt:lpstr>
      <vt:lpstr>References</vt:lpstr>
    </vt:vector>
  </TitlesOfParts>
  <Company>Nokia Siemens Networks</Company>
  <LinksUpToDate>false</LinksUpToDate>
  <CharactersWithSpaces>21556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21</cp:revision>
  <cp:lastPrinted>2019-04-30T02:45:00Z</cp:lastPrinted>
  <dcterms:created xsi:type="dcterms:W3CDTF">2021-01-12T23:37:00Z</dcterms:created>
  <dcterms:modified xsi:type="dcterms:W3CDTF">2021-01-18T16:02:00Z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ies>
</file>