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051DFD64"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5F5389A7"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AC0B98">
        <w:rPr>
          <w:rFonts w:ascii="Arial" w:hAnsi="Arial" w:cs="Arial"/>
          <w:b/>
          <w:noProof/>
          <w:kern w:val="2"/>
          <w:lang w:eastAsia="zh-CN"/>
        </w:rPr>
        <w:t>4</w:t>
      </w:r>
      <w:r w:rsidR="00A259AC">
        <w:rPr>
          <w:rFonts w:ascii="Arial" w:hAnsi="Arial" w:cs="Arial"/>
          <w:b/>
          <w:noProof/>
          <w:kern w:val="2"/>
          <w:lang w:eastAsia="zh-CN"/>
        </w:rPr>
        <w:t>-e</w:t>
      </w:r>
      <w:r w:rsidR="00972929" w:rsidRPr="00D74B92">
        <w:rPr>
          <w:rFonts w:ascii="Arial" w:hAnsi="Arial" w:cs="Arial"/>
          <w:b/>
          <w:kern w:val="2"/>
          <w:lang w:eastAsia="zh-CN"/>
        </w:rPr>
        <w:tab/>
      </w:r>
      <w:r w:rsidR="00EE17C0" w:rsidRPr="00EE17C0">
        <w:rPr>
          <w:rFonts w:ascii="Arial" w:hAnsi="Arial" w:cs="Arial"/>
          <w:b/>
          <w:kern w:val="2"/>
          <w:lang w:eastAsia="zh-CN"/>
        </w:rPr>
        <w:t>R1-</w:t>
      </w:r>
      <w:r w:rsidR="001215CA">
        <w:rPr>
          <w:rFonts w:ascii="Arial" w:hAnsi="Arial" w:cs="Arial"/>
          <w:b/>
          <w:kern w:val="2"/>
          <w:lang w:eastAsia="zh-CN"/>
        </w:rPr>
        <w:t>2100053</w:t>
      </w:r>
    </w:p>
    <w:p w14:paraId="2A9D85E6" w14:textId="60C4F4FB"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AC0B98">
        <w:rPr>
          <w:rFonts w:ascii="Arial" w:hAnsi="Arial" w:cs="Arial"/>
          <w:b/>
          <w:kern w:val="2"/>
          <w:lang w:eastAsia="zh-CN"/>
        </w:rPr>
        <w:t>J</w:t>
      </w:r>
      <w:r w:rsidR="00AC0B98">
        <w:rPr>
          <w:rFonts w:ascii="Arial" w:hAnsi="Arial" w:cs="Arial" w:hint="eastAsia"/>
          <w:b/>
          <w:kern w:val="2"/>
          <w:lang w:eastAsia="zh-CN"/>
        </w:rPr>
        <w:t>anuary</w:t>
      </w:r>
      <w:r w:rsidR="00AC0B98">
        <w:rPr>
          <w:rFonts w:ascii="Arial" w:hAnsi="Arial" w:cs="Arial"/>
          <w:b/>
          <w:kern w:val="2"/>
          <w:lang w:eastAsia="zh-CN"/>
        </w:rPr>
        <w:t xml:space="preserve"> </w:t>
      </w:r>
      <w:r w:rsidRPr="000F75A1">
        <w:rPr>
          <w:rFonts w:ascii="Arial" w:hAnsi="Arial" w:cs="Arial"/>
          <w:b/>
          <w:kern w:val="2"/>
          <w:lang w:eastAsia="zh-CN"/>
        </w:rPr>
        <w:t>2</w:t>
      </w:r>
      <w:r w:rsidR="00AC0B98">
        <w:rPr>
          <w:rFonts w:ascii="Arial" w:hAnsi="Arial" w:cs="Arial"/>
          <w:b/>
          <w:kern w:val="2"/>
          <w:lang w:eastAsia="zh-CN"/>
        </w:rPr>
        <w:t>5</w:t>
      </w:r>
      <w:r w:rsidRPr="000F75A1">
        <w:rPr>
          <w:rFonts w:ascii="Arial" w:hAnsi="Arial" w:cs="Arial"/>
          <w:b/>
          <w:kern w:val="2"/>
          <w:lang w:eastAsia="zh-CN"/>
        </w:rPr>
        <w:t xml:space="preserve">th – </w:t>
      </w:r>
      <w:r w:rsidR="00AC0B98">
        <w:rPr>
          <w:rFonts w:ascii="Arial" w:hAnsi="Arial" w:cs="Arial"/>
          <w:b/>
          <w:kern w:val="2"/>
          <w:lang w:eastAsia="zh-CN"/>
        </w:rPr>
        <w:t>F</w:t>
      </w:r>
      <w:r w:rsidR="00AC0B98">
        <w:rPr>
          <w:rFonts w:ascii="Arial" w:hAnsi="Arial" w:cs="Arial" w:hint="eastAsia"/>
          <w:b/>
          <w:kern w:val="2"/>
          <w:lang w:eastAsia="zh-CN"/>
        </w:rPr>
        <w:t>eb</w:t>
      </w:r>
      <w:r w:rsidR="00AC0B98">
        <w:rPr>
          <w:rFonts w:ascii="Arial" w:hAnsi="Arial" w:cs="Arial"/>
          <w:b/>
          <w:kern w:val="2"/>
          <w:lang w:eastAsia="zh-CN"/>
        </w:rPr>
        <w:t>ruary</w:t>
      </w:r>
      <w:r w:rsidR="00B64AEF">
        <w:rPr>
          <w:rFonts w:ascii="Arial" w:hAnsi="Arial" w:cs="Arial"/>
          <w:b/>
          <w:kern w:val="2"/>
          <w:lang w:eastAsia="zh-CN"/>
        </w:rPr>
        <w:t xml:space="preserve"> </w:t>
      </w:r>
      <w:r w:rsidR="00AC0B98">
        <w:rPr>
          <w:rFonts w:ascii="Arial" w:hAnsi="Arial" w:cs="Arial"/>
          <w:b/>
          <w:kern w:val="2"/>
          <w:lang w:eastAsia="zh-CN"/>
        </w:rPr>
        <w:t>5</w:t>
      </w:r>
      <w:r w:rsidRPr="000F75A1">
        <w:rPr>
          <w:rFonts w:ascii="Arial" w:hAnsi="Arial" w:cs="Arial"/>
          <w:b/>
          <w:kern w:val="2"/>
          <w:lang w:eastAsia="zh-CN"/>
        </w:rPr>
        <w:t>th, 202</w:t>
      </w:r>
      <w:r w:rsidR="00AC0B98">
        <w:rPr>
          <w:rFonts w:ascii="Arial" w:hAnsi="Arial" w:cs="Arial"/>
          <w:b/>
          <w:kern w:val="2"/>
          <w:lang w:eastAsia="zh-CN"/>
        </w:rPr>
        <w:t>1</w:t>
      </w:r>
    </w:p>
    <w:p w14:paraId="7826937B" w14:textId="16E776E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6A0BBE">
        <w:rPr>
          <w:rFonts w:ascii="Arial" w:hAnsi="Arial" w:cs="Arial"/>
          <w:b/>
          <w:lang w:eastAsia="zh-CN"/>
        </w:rPr>
        <w:t>6</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363579AF"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A0BBE" w:rsidRPr="006A0BBE">
        <w:rPr>
          <w:rFonts w:ascii="Arial" w:hAnsi="Arial" w:cs="Arial"/>
          <w:b/>
          <w:lang w:eastAsia="zh-CN"/>
        </w:rPr>
        <w:t>Considerations on channel access for shared spectrum Beyond 52.6 GHz</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4CA1BD16" w:rsidR="004D0B3E" w:rsidRDefault="00531C1A" w:rsidP="00182F43">
      <w:pPr>
        <w:spacing w:after="0"/>
        <w:rPr>
          <w:bCs/>
        </w:rPr>
      </w:pPr>
      <w:r>
        <w:rPr>
          <w:bCs/>
        </w:rPr>
        <w:t xml:space="preserve">In RAN # 90 the extensions to </w:t>
      </w:r>
      <w:r w:rsidR="00182F43">
        <w:rPr>
          <w:bCs/>
        </w:rPr>
        <w:t xml:space="preserve">WI </w:t>
      </w:r>
      <w:r>
        <w:rPr>
          <w:bCs/>
        </w:rPr>
        <w:t>[1] for</w:t>
      </w:r>
      <w:r w:rsidR="00182F43">
        <w:rPr>
          <w:bCs/>
        </w:rPr>
        <w:t xml:space="preserve"> NR operation up to 71GHz </w:t>
      </w:r>
      <w:r>
        <w:rPr>
          <w:bCs/>
        </w:rPr>
        <w:t>were approved. According to [1</w:t>
      </w:r>
      <w:r w:rsidR="009136BE">
        <w:rPr>
          <w:bCs/>
        </w:rPr>
        <w:t>] RAN1 should define:</w:t>
      </w:r>
    </w:p>
    <w:p w14:paraId="55C545F8" w14:textId="722E61C4" w:rsidR="009136BE" w:rsidRPr="009136BE" w:rsidRDefault="009136BE" w:rsidP="009136BE">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0C1A11B7" w14:textId="77777777" w:rsidR="009136BE" w:rsidRPr="009136BE" w:rsidRDefault="009136BE" w:rsidP="009136BE">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5F264C0E" w14:textId="77777777" w:rsidR="009136BE" w:rsidRPr="009136BE" w:rsidRDefault="009136BE" w:rsidP="009136BE">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5B40A63A" w14:textId="008A09B3" w:rsidR="009136BE" w:rsidRPr="00503139" w:rsidRDefault="009136BE" w:rsidP="009136BE">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sidR="005C14CA">
        <w:rPr>
          <w:rFonts w:eastAsia="Times New Roman"/>
          <w:i/>
          <w:iCs/>
          <w:lang w:eastAsia="ja-JP"/>
        </w:rPr>
        <w:t>.</w:t>
      </w:r>
    </w:p>
    <w:p w14:paraId="5A35E38C" w14:textId="7133AC75" w:rsidR="009136BE" w:rsidRPr="009136BE" w:rsidRDefault="009136BE" w:rsidP="009136BE">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1A5D9CC5" w14:textId="6D9ABE0A" w:rsidR="00AF4017" w:rsidRPr="00AF4017" w:rsidRDefault="009136BE" w:rsidP="00AF4017">
      <w:pPr>
        <w:spacing w:before="120"/>
        <w:rPr>
          <w:color w:val="000000" w:themeColor="text1"/>
        </w:rPr>
      </w:pPr>
      <w:r>
        <w:t>We note that the WID will focus on the shared spectrum (unlicensed spectrum) in 60 GHz band. Therefore</w:t>
      </w:r>
      <w:r w:rsidR="00707365">
        <w:t>,</w:t>
      </w:r>
      <w:r>
        <w:t xml:space="preserve"> </w:t>
      </w:r>
      <w:r w:rsidR="00707365">
        <w:t>for</w:t>
      </w:r>
      <w:r>
        <w:t xml:space="preserve"> the</w:t>
      </w:r>
      <w:r w:rsidR="00AF4017" w:rsidRPr="00AF4017">
        <w:rPr>
          <w:color w:val="000000" w:themeColor="text1"/>
        </w:rPr>
        <w:t xml:space="preserve"> design </w:t>
      </w:r>
      <w:r>
        <w:rPr>
          <w:color w:val="000000" w:themeColor="text1"/>
        </w:rPr>
        <w:t>we propose to use the following principle</w:t>
      </w:r>
      <w:r w:rsidR="00AF4017" w:rsidRPr="00AF4017">
        <w:rPr>
          <w:color w:val="000000" w:themeColor="text1"/>
        </w:rPr>
        <w:t>:</w:t>
      </w:r>
    </w:p>
    <w:p w14:paraId="7349F45C" w14:textId="77777777" w:rsidR="00AF4017" w:rsidRPr="00AF4017" w:rsidRDefault="00AF4017" w:rsidP="00AF4017">
      <w:pPr>
        <w:pStyle w:val="ListParagraph"/>
        <w:numPr>
          <w:ilvl w:val="0"/>
          <w:numId w:val="23"/>
        </w:numPr>
        <w:spacing w:before="120"/>
        <w:rPr>
          <w:i/>
          <w:iCs/>
          <w:color w:val="000000" w:themeColor="text1"/>
          <w:sz w:val="24"/>
          <w:szCs w:val="24"/>
        </w:rPr>
      </w:pPr>
      <w:r w:rsidRPr="00AF4017">
        <w:rPr>
          <w:i/>
          <w:iCs/>
          <w:color w:val="000000" w:themeColor="text1"/>
          <w:sz w:val="24"/>
          <w:szCs w:val="24"/>
        </w:rPr>
        <w:t xml:space="preserve">Reuse as much as possible the existing 5-6GHz NR-U design for 60 GHz shared spectrum </w:t>
      </w:r>
    </w:p>
    <w:p w14:paraId="77307257" w14:textId="77777777" w:rsidR="00AF4017" w:rsidRPr="00AF4017" w:rsidRDefault="00AF4017" w:rsidP="00AF4017">
      <w:pPr>
        <w:pStyle w:val="ListParagraph"/>
        <w:numPr>
          <w:ilvl w:val="0"/>
          <w:numId w:val="23"/>
        </w:numPr>
        <w:spacing w:before="120"/>
        <w:rPr>
          <w:i/>
          <w:iCs/>
          <w:color w:val="000000" w:themeColor="text1"/>
          <w:sz w:val="24"/>
          <w:szCs w:val="24"/>
        </w:rPr>
      </w:pPr>
      <w:r w:rsidRPr="00AF4017">
        <w:rPr>
          <w:i/>
          <w:iCs/>
          <w:color w:val="000000" w:themeColor="text1"/>
          <w:sz w:val="24"/>
          <w:szCs w:val="24"/>
        </w:rPr>
        <w:t xml:space="preserve">Reuse as much as possible the existing FR2 design </w:t>
      </w:r>
    </w:p>
    <w:p w14:paraId="4A1A4629" w14:textId="0F4184DB" w:rsidR="00D1456F" w:rsidRPr="009136BE" w:rsidRDefault="00AF4017" w:rsidP="00D1456F">
      <w:pPr>
        <w:spacing w:before="120"/>
        <w:rPr>
          <w:color w:val="000000" w:themeColor="text1"/>
          <w:sz w:val="24"/>
          <w:szCs w:val="24"/>
        </w:rPr>
      </w:pPr>
      <w:r w:rsidRPr="009136BE">
        <w:rPr>
          <w:color w:val="000000" w:themeColor="text1"/>
          <w:sz w:val="24"/>
          <w:szCs w:val="24"/>
        </w:rPr>
        <w:t>Based on the above principles, t</w:t>
      </w:r>
      <w:r w:rsidR="002E6FC6" w:rsidRPr="009136BE">
        <w:rPr>
          <w:color w:val="000000" w:themeColor="text1"/>
          <w:sz w:val="24"/>
          <w:szCs w:val="24"/>
        </w:rPr>
        <w:t xml:space="preserve">he potential issues </w:t>
      </w:r>
      <w:r w:rsidRPr="009136BE">
        <w:rPr>
          <w:color w:val="000000" w:themeColor="text1"/>
          <w:sz w:val="24"/>
          <w:szCs w:val="24"/>
        </w:rPr>
        <w:t>and solutions</w:t>
      </w:r>
      <w:r w:rsidR="002E6FC6" w:rsidRPr="009136BE">
        <w:rPr>
          <w:color w:val="000000" w:themeColor="text1"/>
          <w:sz w:val="24"/>
          <w:szCs w:val="24"/>
        </w:rPr>
        <w:t xml:space="preserve"> for </w:t>
      </w:r>
      <w:r w:rsidR="009136BE" w:rsidRPr="009136BE">
        <w:rPr>
          <w:color w:val="000000" w:themeColor="text1"/>
          <w:sz w:val="24"/>
          <w:szCs w:val="24"/>
        </w:rPr>
        <w:t xml:space="preserve">shared </w:t>
      </w:r>
      <w:r w:rsidR="002E6FC6" w:rsidRPr="009136BE">
        <w:rPr>
          <w:color w:val="000000" w:themeColor="text1"/>
          <w:sz w:val="24"/>
          <w:szCs w:val="24"/>
        </w:rPr>
        <w:t xml:space="preserve">channel access </w:t>
      </w:r>
      <w:r w:rsidR="00707365">
        <w:rPr>
          <w:color w:val="000000" w:themeColor="text1"/>
          <w:sz w:val="24"/>
          <w:szCs w:val="24"/>
        </w:rPr>
        <w:t xml:space="preserve">in 60 GHz unlicensed spectrum </w:t>
      </w:r>
      <w:r w:rsidR="002E6FC6" w:rsidRPr="009136BE">
        <w:rPr>
          <w:color w:val="000000" w:themeColor="text1"/>
          <w:sz w:val="24"/>
          <w:szCs w:val="24"/>
        </w:rPr>
        <w:t xml:space="preserve">are </w:t>
      </w:r>
      <w:r w:rsidR="00A41B4F">
        <w:rPr>
          <w:color w:val="000000" w:themeColor="text1"/>
          <w:sz w:val="24"/>
          <w:szCs w:val="24"/>
        </w:rPr>
        <w:t>considered</w:t>
      </w:r>
      <w:r w:rsidR="002E6FC6" w:rsidRPr="009136BE">
        <w:rPr>
          <w:color w:val="000000" w:themeColor="text1"/>
          <w:sz w:val="24"/>
          <w:szCs w:val="24"/>
        </w:rPr>
        <w:t>.</w:t>
      </w:r>
    </w:p>
    <w:p w14:paraId="0F817919" w14:textId="614138BC" w:rsidR="00DD5662" w:rsidRDefault="009136BE" w:rsidP="00DD5662">
      <w:pPr>
        <w:pStyle w:val="Heading1"/>
        <w:tabs>
          <w:tab w:val="clear" w:pos="432"/>
        </w:tabs>
        <w:rPr>
          <w:rFonts w:eastAsia="Times New Roman"/>
          <w:color w:val="000000"/>
        </w:rPr>
      </w:pPr>
      <w:r>
        <w:rPr>
          <w:rFonts w:eastAsia="Times New Roman"/>
          <w:color w:val="000000"/>
        </w:rPr>
        <w:t>Channel Access</w:t>
      </w:r>
    </w:p>
    <w:p w14:paraId="54CCA532" w14:textId="1D3FF289" w:rsidR="00707365" w:rsidRDefault="00707365" w:rsidP="00707365">
      <w:pPr>
        <w:pStyle w:val="Heading2"/>
      </w:pPr>
      <w:bookmarkStart w:id="2" w:name="_Ref129681832"/>
      <w:r>
        <w:t>Regulations</w:t>
      </w:r>
    </w:p>
    <w:p w14:paraId="69786735" w14:textId="39E99ADB" w:rsidR="005A77C2" w:rsidRDefault="005A77C2" w:rsidP="00DE57FA">
      <w:r>
        <w:t>The channel access in 5GHz shared spectrum is specified in TS 37.213 and it is compliant with the spectrum regulations specified by ETSI EN 301 893</w:t>
      </w:r>
      <w:r w:rsidR="003164B0">
        <w:t xml:space="preserve"> [</w:t>
      </w:r>
      <w:r w:rsidR="00503139">
        <w:t>4</w:t>
      </w:r>
      <w:r w:rsidR="003164B0">
        <w:t>]</w:t>
      </w:r>
      <w:r>
        <w:t>. The access in the EU 60GHz unlicensed band is specified in ETSI EN 302 567</w:t>
      </w:r>
      <w:r w:rsidR="003164B0">
        <w:t xml:space="preserve"> [</w:t>
      </w:r>
      <w:r w:rsidR="00503139">
        <w:t>5</w:t>
      </w:r>
      <w:r w:rsidR="003164B0">
        <w:t>]</w:t>
      </w:r>
      <w:r>
        <w:t xml:space="preserve">, </w:t>
      </w:r>
      <w:r w:rsidRPr="005A77C2">
        <w:rPr>
          <w:i/>
          <w:iCs/>
        </w:rPr>
        <w:t>Multiple-Gigabit/s radio equipment operating in the 60 GHz band; Harmonized Standard for access to radio spectrum</w:t>
      </w:r>
      <w:r>
        <w:rPr>
          <w:i/>
          <w:iCs/>
        </w:rPr>
        <w:t>.</w:t>
      </w:r>
      <w:r>
        <w:t xml:space="preserve"> The </w:t>
      </w:r>
      <w:r w:rsidRPr="005A77C2">
        <w:t>FCC 13-112</w:t>
      </w:r>
      <w:r>
        <w:t xml:space="preserve"> modifies Part 15 of its rules for intentional radiators operating on an unlicensed basis in the 57-64 GHz frequency range (60 GHz) </w:t>
      </w:r>
      <w:r w:rsidR="00DE57FA">
        <w:t xml:space="preserve">and specifies the emission limit for 60 GHz devices as EIRP. In addition to emission limits, the ETSI regulations do specify clear channel access rules, while the FCC do not. </w:t>
      </w:r>
    </w:p>
    <w:p w14:paraId="7762184F" w14:textId="51E68DF6" w:rsidR="00DE57FA" w:rsidRDefault="00DE57FA" w:rsidP="005A77C2">
      <w:r w:rsidRPr="00DE57FA">
        <w:t>The ETSI [</w:t>
      </w:r>
      <w:r w:rsidR="00503139">
        <w:t>5</w:t>
      </w:r>
      <w:r w:rsidRPr="00DE57FA">
        <w:t xml:space="preserve">] specifies the medium access protocol in clause 4.2.5 Adaptivity. The channel access relies on Listen Before Talk (LBT) mechanisms which consists of a Clear Channel Assessment in the Operating Channel, an energy detect operation. The Operating Channel shall be considered occupied for a slot time of 5 </w:t>
      </w:r>
      <w:proofErr w:type="spellStart"/>
      <w:r w:rsidRPr="00DE57FA">
        <w:t>μs</w:t>
      </w:r>
      <w:proofErr w:type="spellEnd"/>
      <w:r w:rsidRPr="00DE57FA">
        <w:t xml:space="preserve"> if the energy level in the channel exceeds the threshold corresponding to the power level. Upon observing that Operating Channel was not occupied for a minimum of 8 </w:t>
      </w:r>
      <w:proofErr w:type="spellStart"/>
      <w:r w:rsidRPr="00DE57FA">
        <w:t>μs</w:t>
      </w:r>
      <w:proofErr w:type="spellEnd"/>
      <w:r w:rsidRPr="00DE57FA">
        <w:t xml:space="preserve">, transmission deferring shall occur a minimum of random (0 to </w:t>
      </w:r>
      <w:proofErr w:type="spellStart"/>
      <w:r w:rsidRPr="00DE57FA">
        <w:t>Max_number</w:t>
      </w:r>
      <w:proofErr w:type="spellEnd"/>
      <w:r w:rsidRPr="00DE57FA">
        <w:t xml:space="preserve">) number of empty slots periods. The </w:t>
      </w:r>
      <w:proofErr w:type="spellStart"/>
      <w:r w:rsidRPr="00DE57FA">
        <w:t>Max_number</w:t>
      </w:r>
      <w:proofErr w:type="spellEnd"/>
      <w:r w:rsidRPr="00DE57FA">
        <w:t xml:space="preserve"> shall not be lower than 3, which makes the shortest LBT duration 23us.</w:t>
      </w:r>
    </w:p>
    <w:p w14:paraId="5458C377" w14:textId="14E0FE5F" w:rsidR="00DE57FA" w:rsidRDefault="00DE57FA" w:rsidP="005A77C2">
      <w:r>
        <w:t>The same regulation</w:t>
      </w:r>
      <w:r w:rsidR="00707365">
        <w:t xml:space="preserve"> [</w:t>
      </w:r>
      <w:r w:rsidR="00503139">
        <w:t>5</w:t>
      </w:r>
      <w:r w:rsidR="00707365">
        <w:t>]</w:t>
      </w:r>
      <w:r>
        <w:t xml:space="preserve"> defines the energy threshold for CCA check as </w:t>
      </w:r>
      <w:r w:rsidRPr="00DE57FA">
        <w:t>-47 dBm + 10 × log10 (</w:t>
      </w:r>
      <w:proofErr w:type="spellStart"/>
      <w:r w:rsidRPr="00DE57FA">
        <w:t>PMax</w:t>
      </w:r>
      <w:proofErr w:type="spellEnd"/>
      <w:r w:rsidRPr="00DE57FA">
        <w:t xml:space="preserve"> / Pout) (</w:t>
      </w:r>
      <w:proofErr w:type="spellStart"/>
      <w:r w:rsidRPr="00DE57FA">
        <w:t>Pmax</w:t>
      </w:r>
      <w:proofErr w:type="spellEnd"/>
      <w:r w:rsidRPr="00DE57FA">
        <w:t xml:space="preserve"> and Pout in W </w:t>
      </w:r>
      <w:proofErr w:type="spellStart"/>
      <w:r w:rsidRPr="00DE57FA">
        <w:t>e.i.r.p</w:t>
      </w:r>
      <w:proofErr w:type="spellEnd"/>
      <w:r w:rsidRPr="00DE57FA">
        <w:t xml:space="preserve">.) where Pout is the RF output power (EIRP) and </w:t>
      </w:r>
      <w:proofErr w:type="spellStart"/>
      <w:r w:rsidRPr="00DE57FA">
        <w:t>Pmax</w:t>
      </w:r>
      <w:proofErr w:type="spellEnd"/>
      <w:r w:rsidRPr="00DE57FA">
        <w:t xml:space="preserve"> is the RF output power limit</w:t>
      </w:r>
      <w:r>
        <w:t>.</w:t>
      </w:r>
    </w:p>
    <w:p w14:paraId="79776FE3" w14:textId="75AB8396" w:rsidR="00C71CB4" w:rsidRPr="005A77C2" w:rsidRDefault="00707365" w:rsidP="00707365">
      <w:pPr>
        <w:pStyle w:val="Heading2"/>
      </w:pPr>
      <w:r>
        <w:lastRenderedPageBreak/>
        <w:t>Discussions</w:t>
      </w:r>
    </w:p>
    <w:p w14:paraId="0682CA4C" w14:textId="31EC4A4A" w:rsidR="00707365" w:rsidRDefault="00707365" w:rsidP="000F4F58">
      <w:r>
        <w:t>It is well known that the pathloss logarithmically increases with carrier frequency</w:t>
      </w:r>
      <w:r w:rsidR="00503139">
        <w:t xml:space="preserve"> [2, </w:t>
      </w:r>
      <w:bookmarkStart w:id="3" w:name="_GoBack"/>
      <w:bookmarkEnd w:id="3"/>
      <w:r w:rsidR="00503139">
        <w:t>3]</w:t>
      </w:r>
      <w:r>
        <w:t>. At the same time</w:t>
      </w:r>
      <w:r w:rsidR="00A41B4F">
        <w:t>,</w:t>
      </w:r>
      <w:r>
        <w:t xml:space="preserve"> at higher frequencies,</w:t>
      </w:r>
      <w:r w:rsidR="00A41B4F">
        <w:t xml:space="preserve"> due to</w:t>
      </w:r>
      <w:r>
        <w:t xml:space="preserve"> short wavelength the antennas can accommodate a higher number of </w:t>
      </w:r>
      <w:r w:rsidR="00A41B4F">
        <w:t xml:space="preserve">antenna </w:t>
      </w:r>
      <w:r>
        <w:t xml:space="preserve">elements for the same dimensions. The multi-element antennas allow larger antenna gains, which corresponds to </w:t>
      </w:r>
      <w:r w:rsidR="00A41B4F">
        <w:t xml:space="preserve">higher directionality that is </w:t>
      </w:r>
      <w:r>
        <w:t xml:space="preserve">narrower antennas </w:t>
      </w:r>
      <w:proofErr w:type="spellStart"/>
      <w:r>
        <w:t>beamwidth</w:t>
      </w:r>
      <w:proofErr w:type="spellEnd"/>
      <w:r>
        <w:t xml:space="preserve">. High gain antennas </w:t>
      </w:r>
      <w:r w:rsidR="00A41B4F">
        <w:t xml:space="preserve">are necessary to compensate the increase of pathloss and to offer larger coverage. The operation and design of NR for FR2 bands specifies on directional antenna beam management. </w:t>
      </w:r>
    </w:p>
    <w:p w14:paraId="045938ED" w14:textId="189959F2" w:rsidR="00A41B4F" w:rsidRDefault="005C14CA" w:rsidP="000F4F58">
      <w:pPr>
        <w:rPr>
          <w:b/>
          <w:bCs/>
        </w:rPr>
      </w:pPr>
      <w:r>
        <w:rPr>
          <w:b/>
          <w:bCs/>
        </w:rPr>
        <w:t>Observation</w:t>
      </w:r>
      <w:r w:rsidRPr="00A41B4F">
        <w:rPr>
          <w:b/>
          <w:bCs/>
        </w:rPr>
        <w:t xml:space="preserve"> </w:t>
      </w:r>
      <w:r w:rsidR="00A41B4F" w:rsidRPr="00A41B4F">
        <w:rPr>
          <w:b/>
          <w:bCs/>
        </w:rPr>
        <w:t xml:space="preserve">1: </w:t>
      </w:r>
      <w:r>
        <w:rPr>
          <w:b/>
          <w:bCs/>
        </w:rPr>
        <w:t>In order to compensate the high pathloss</w:t>
      </w:r>
      <w:r w:rsidR="009148E9">
        <w:rPr>
          <w:b/>
          <w:bCs/>
        </w:rPr>
        <w:t>,</w:t>
      </w:r>
      <w:r>
        <w:rPr>
          <w:b/>
          <w:bCs/>
        </w:rPr>
        <w:t xml:space="preserve"> t</w:t>
      </w:r>
      <w:r w:rsidR="00A41B4F" w:rsidRPr="00A41B4F">
        <w:rPr>
          <w:b/>
          <w:bCs/>
        </w:rPr>
        <w:t xml:space="preserve">he channel access </w:t>
      </w:r>
      <w:r>
        <w:rPr>
          <w:b/>
          <w:bCs/>
        </w:rPr>
        <w:t xml:space="preserve">in beyond 52.6 GHz </w:t>
      </w:r>
      <w:r w:rsidR="00A41B4F" w:rsidRPr="00A41B4F">
        <w:rPr>
          <w:b/>
          <w:bCs/>
        </w:rPr>
        <w:t>shall support directional transmit</w:t>
      </w:r>
      <w:r>
        <w:rPr>
          <w:b/>
          <w:bCs/>
        </w:rPr>
        <w:t>,</w:t>
      </w:r>
      <w:r w:rsidR="00A41B4F" w:rsidRPr="00A41B4F">
        <w:rPr>
          <w:b/>
          <w:bCs/>
        </w:rPr>
        <w:t xml:space="preserve"> receive</w:t>
      </w:r>
      <w:r w:rsidR="009148E9">
        <w:rPr>
          <w:b/>
          <w:bCs/>
        </w:rPr>
        <w:t>,</w:t>
      </w:r>
      <w:r w:rsidR="00A41B4F" w:rsidRPr="00A41B4F">
        <w:rPr>
          <w:b/>
          <w:bCs/>
        </w:rPr>
        <w:t xml:space="preserve"> and antenna beam management</w:t>
      </w:r>
      <w:r w:rsidR="00A41B4F">
        <w:rPr>
          <w:b/>
          <w:bCs/>
        </w:rPr>
        <w:t>.</w:t>
      </w:r>
    </w:p>
    <w:p w14:paraId="46F99D25" w14:textId="0E898743" w:rsidR="00A41B4F" w:rsidRDefault="00A41B4F" w:rsidP="000F4F58">
      <w:r w:rsidRPr="00A41B4F">
        <w:t xml:space="preserve">The LBT mechanism is </w:t>
      </w:r>
      <w:r>
        <w:t xml:space="preserve">used to improve co-existence in the same frequency channel. When the CCA is checked prior to a transmission, a device avoids interrupting (interfering) the ongoing transmissions and at the same time avoid potentially being interfered by the ongoing transmissions. </w:t>
      </w:r>
      <w:r w:rsidR="009863ED">
        <w:t xml:space="preserve"> It is obvious that the CCA should be considered for the direction of transmission, in other words a directional CCA (directional LBT). </w:t>
      </w:r>
      <w:r w:rsidR="00503139">
        <w:t>The directional channel sensing</w:t>
      </w:r>
      <w:r w:rsidR="009863ED">
        <w:t xml:space="preserve"> offers a higher range for CCA due to antenna gain, in other words farther ongoing transmissions are detected. In addition, if the CCA covers only the transmission directions (</w:t>
      </w:r>
      <w:r w:rsidR="005C14CA">
        <w:t xml:space="preserve">the field that </w:t>
      </w:r>
      <w:r w:rsidR="009148E9">
        <w:t>the beamformed</w:t>
      </w:r>
      <w:r w:rsidR="005C14CA">
        <w:t xml:space="preserve"> transmission </w:t>
      </w:r>
      <w:r w:rsidR="00503139">
        <w:t>covers)</w:t>
      </w:r>
      <w:r w:rsidR="009863ED">
        <w:t>, it avoids unnecessary transmission deferrals (a.k.a. as exposed node problem).</w:t>
      </w:r>
    </w:p>
    <w:p w14:paraId="676F4209" w14:textId="779BD3A7" w:rsidR="009863ED" w:rsidRDefault="009863ED" w:rsidP="000F4F58">
      <w:pPr>
        <w:rPr>
          <w:b/>
          <w:bCs/>
        </w:rPr>
      </w:pPr>
      <w:r w:rsidRPr="009863ED">
        <w:rPr>
          <w:b/>
          <w:bCs/>
        </w:rPr>
        <w:t xml:space="preserve">Proposal </w:t>
      </w:r>
      <w:r w:rsidR="000C0843">
        <w:rPr>
          <w:b/>
          <w:bCs/>
        </w:rPr>
        <w:t>1</w:t>
      </w:r>
      <w:r w:rsidRPr="009863ED">
        <w:rPr>
          <w:b/>
          <w:bCs/>
        </w:rPr>
        <w:t xml:space="preserve">: The 60 GHz unlicensed channel access shall support directional </w:t>
      </w:r>
      <w:r w:rsidR="005C14CA">
        <w:rPr>
          <w:b/>
          <w:bCs/>
        </w:rPr>
        <w:t>channel sensing</w:t>
      </w:r>
      <w:r w:rsidR="005C14CA" w:rsidRPr="009863ED">
        <w:rPr>
          <w:b/>
          <w:bCs/>
        </w:rPr>
        <w:t xml:space="preserve"> </w:t>
      </w:r>
      <w:r w:rsidRPr="009863ED">
        <w:rPr>
          <w:b/>
          <w:bCs/>
        </w:rPr>
        <w:t xml:space="preserve">that covers the </w:t>
      </w:r>
      <w:r>
        <w:rPr>
          <w:b/>
          <w:bCs/>
        </w:rPr>
        <w:t xml:space="preserve">next </w:t>
      </w:r>
      <w:r w:rsidRPr="009863ED">
        <w:rPr>
          <w:b/>
          <w:bCs/>
        </w:rPr>
        <w:t>transmission directions.</w:t>
      </w:r>
    </w:p>
    <w:p w14:paraId="0CBEB5B3" w14:textId="3013A362" w:rsidR="00626EAD" w:rsidRDefault="00626EAD" w:rsidP="00626EAD">
      <w:r>
        <w:t>The ETSI draft v2.1.20 of EN 302 567 specify that  “The energy detection threshold for the CCA Check shall be -47 dBm + 10 × log10 (</w:t>
      </w:r>
      <w:proofErr w:type="spellStart"/>
      <w:r>
        <w:t>Pmax</w:t>
      </w:r>
      <w:proofErr w:type="spellEnd"/>
      <w:r>
        <w:t xml:space="preserve"> /Pout) (</w:t>
      </w:r>
      <w:proofErr w:type="spellStart"/>
      <w:r>
        <w:t>Pmax</w:t>
      </w:r>
      <w:proofErr w:type="spellEnd"/>
      <w:r>
        <w:t xml:space="preserve"> and Pout in W </w:t>
      </w:r>
      <w:proofErr w:type="spellStart"/>
      <w:r>
        <w:t>e.i.r.p</w:t>
      </w:r>
      <w:proofErr w:type="spellEnd"/>
      <w:r>
        <w:t xml:space="preserve">.) where Pout is the RF output power (EIRP) and </w:t>
      </w:r>
      <w:proofErr w:type="spellStart"/>
      <w:r>
        <w:t>Pmax</w:t>
      </w:r>
      <w:proofErr w:type="spellEnd"/>
      <w:r>
        <w:t xml:space="preserve"> is the RF output power limit defined in clause 4.2.2.1.” However, this formula does not take into consideration some important aspects of the unlicensed operation at 60 GHz. For instance, CCA Check may be performed a single time before initiating a COT, while during the COT the initiat</w:t>
      </w:r>
      <w:r w:rsidR="009148E9">
        <w:t>ing</w:t>
      </w:r>
      <w:r>
        <w:t xml:space="preserve"> device can have multiple transmissions with different antenna gains (EIRP). In this case the Pout used for channel sensing is not clearly defined.  </w:t>
      </w:r>
    </w:p>
    <w:p w14:paraId="0B4D5AB0" w14:textId="7C6FA7DC" w:rsidR="00626EAD" w:rsidRPr="002B480A" w:rsidRDefault="00626EAD" w:rsidP="00626EAD">
      <w:pPr>
        <w:rPr>
          <w:b/>
          <w:bCs/>
        </w:rPr>
      </w:pPr>
      <w:r w:rsidRPr="002B480A">
        <w:rPr>
          <w:b/>
          <w:bCs/>
        </w:rPr>
        <w:t xml:space="preserve">Proposal </w:t>
      </w:r>
      <w:r w:rsidR="000C0843">
        <w:rPr>
          <w:b/>
          <w:bCs/>
        </w:rPr>
        <w:t>2</w:t>
      </w:r>
      <w:r w:rsidRPr="002B480A">
        <w:rPr>
          <w:b/>
          <w:bCs/>
        </w:rPr>
        <w:t xml:space="preserve">: The value of Pout in the CCA Check </w:t>
      </w:r>
      <w:r>
        <w:rPr>
          <w:b/>
          <w:bCs/>
        </w:rPr>
        <w:t xml:space="preserve">threshold </w:t>
      </w:r>
      <w:r w:rsidRPr="002B480A">
        <w:rPr>
          <w:b/>
          <w:bCs/>
        </w:rPr>
        <w:t>before initiating a COT should correspond to the maximum EIRP of the transmissions during that COT.</w:t>
      </w:r>
    </w:p>
    <w:p w14:paraId="319CD06E" w14:textId="37ACBD35" w:rsidR="00626EAD" w:rsidRDefault="00626EAD" w:rsidP="00626EAD">
      <w:r>
        <w:t>Another issue with the ETSI CCA Check definition is that the antenna (or receive antenna beam) used for the CCA Check may not necessarily be the transmission antenna (or transmit antenna beam) used during COT. The transmit and the receive antennas can have different gains</w:t>
      </w:r>
      <w:r w:rsidR="009148E9">
        <w:t>, directions,</w:t>
      </w:r>
      <w:r>
        <w:t xml:space="preserve"> and/or </w:t>
      </w:r>
      <w:proofErr w:type="spellStart"/>
      <w:r>
        <w:t>beamwidths</w:t>
      </w:r>
      <w:proofErr w:type="spellEnd"/>
      <w:r>
        <w:t xml:space="preserve">. The intention of having CCA Check is to avoid interfering with the ongoing communications. For this to work, it is necessary that the transmit and the sensing range are balanced respectively. An antenna used to sense the channel or to receive may be characterized by the </w:t>
      </w:r>
      <w:r w:rsidRPr="0039079A">
        <w:t>Total Isotropic Sensitivity (TIS)</w:t>
      </w:r>
      <w:r>
        <w:t xml:space="preserve">, which </w:t>
      </w:r>
      <w:r w:rsidR="00C16478">
        <w:t xml:space="preserve">is </w:t>
      </w:r>
      <w:r>
        <w:t>the sum of the minimum Effective Isotropic Sensitivity (EIS) and the directivity (D).</w:t>
      </w:r>
      <w:r w:rsidR="00A34F48">
        <w:t xml:space="preserve"> The EIS value used in TIS calculations is typically the minimum antenna sensitivity over all measured directions.  </w:t>
      </w:r>
      <w:r>
        <w:t xml:space="preserve">TIS </w:t>
      </w:r>
      <w:r w:rsidR="00B164EA">
        <w:t>is measured on an antenna test range, most often an anechoic chamber. To measure TIS the signal generator power is slowly increased until a predefined threshold of BER is achieved (the receiver sensitivity).</w:t>
      </w:r>
      <w:r>
        <w:t xml:space="preserve"> If the TIS of the antenna used for CCA sensing is different from the transmit antenna EIRP, the CCA energy detection threshold may need to be adjusted accordingly.</w:t>
      </w:r>
    </w:p>
    <w:p w14:paraId="67F4D22B" w14:textId="09BD669D" w:rsidR="00626EAD" w:rsidRPr="002B480A" w:rsidRDefault="00626EAD" w:rsidP="00626EAD">
      <w:pPr>
        <w:rPr>
          <w:b/>
          <w:bCs/>
        </w:rPr>
      </w:pPr>
      <w:r w:rsidRPr="002B480A">
        <w:rPr>
          <w:b/>
          <w:bCs/>
        </w:rPr>
        <w:t xml:space="preserve">Proposal </w:t>
      </w:r>
      <w:r w:rsidR="000C0843">
        <w:rPr>
          <w:b/>
          <w:bCs/>
        </w:rPr>
        <w:t>3</w:t>
      </w:r>
      <w:r w:rsidRPr="002B480A">
        <w:rPr>
          <w:b/>
          <w:bCs/>
        </w:rPr>
        <w:t xml:space="preserve">: NR should support solutions to address the asymmetry between </w:t>
      </w:r>
      <w:r w:rsidR="0048095D">
        <w:rPr>
          <w:b/>
          <w:bCs/>
        </w:rPr>
        <w:t>the beam (</w:t>
      </w:r>
      <w:r w:rsidRPr="002B480A">
        <w:rPr>
          <w:b/>
          <w:bCs/>
        </w:rPr>
        <w:t>antennas TIS</w:t>
      </w:r>
      <w:r w:rsidR="0048095D">
        <w:rPr>
          <w:b/>
          <w:bCs/>
        </w:rPr>
        <w:t>)</w:t>
      </w:r>
      <w:r w:rsidRPr="002B480A">
        <w:rPr>
          <w:b/>
          <w:bCs/>
        </w:rPr>
        <w:t xml:space="preserve"> used for CCA sensing and the </w:t>
      </w:r>
      <w:r w:rsidR="0048095D">
        <w:rPr>
          <w:b/>
          <w:bCs/>
        </w:rPr>
        <w:t>beam</w:t>
      </w:r>
      <w:r w:rsidR="0039079A">
        <w:rPr>
          <w:b/>
          <w:bCs/>
        </w:rPr>
        <w:t>s</w:t>
      </w:r>
      <w:r w:rsidR="0048095D">
        <w:rPr>
          <w:b/>
          <w:bCs/>
        </w:rPr>
        <w:t xml:space="preserve"> (</w:t>
      </w:r>
      <w:r w:rsidRPr="002B480A">
        <w:rPr>
          <w:b/>
          <w:bCs/>
        </w:rPr>
        <w:t>EIRP</w:t>
      </w:r>
      <w:r w:rsidR="0048095D">
        <w:rPr>
          <w:b/>
          <w:bCs/>
        </w:rPr>
        <w:t>)</w:t>
      </w:r>
      <w:r w:rsidRPr="002B480A">
        <w:rPr>
          <w:b/>
          <w:bCs/>
        </w:rPr>
        <w:t xml:space="preserve"> used for transmissions.</w:t>
      </w:r>
    </w:p>
    <w:p w14:paraId="5979D784" w14:textId="638500B6" w:rsidR="009863ED" w:rsidRDefault="009863ED" w:rsidP="000F4F58">
      <w:r w:rsidRPr="009863ED">
        <w:t>While directional antenna</w:t>
      </w:r>
      <w:r w:rsidR="00210E01">
        <w:t>s</w:t>
      </w:r>
      <w:r w:rsidRPr="009863ED">
        <w:t xml:space="preserve"> </w:t>
      </w:r>
      <w:r>
        <w:t>(narrow beam) offer a larger gain, which improves the coverage, they also may increase the hidden node problem at the receiver</w:t>
      </w:r>
      <w:r w:rsidR="00210E01">
        <w:t xml:space="preserve">. The transmitter that performs a CCA prior to its transmissions may not be able to sense other directional transmissions toward the receiver.  In this situation, the transmitter is unaware of the interference at the receiver. Only the receiver can correctly evaluate the interference in its neighboring. </w:t>
      </w:r>
      <w:r w:rsidR="00525739">
        <w:t>Moreover, t</w:t>
      </w:r>
      <w:r w:rsidR="00210E01">
        <w:t xml:space="preserve">he </w:t>
      </w:r>
      <w:r w:rsidR="005C14CA">
        <w:t xml:space="preserve">antenna </w:t>
      </w:r>
      <w:r w:rsidR="00210E01">
        <w:t>beam</w:t>
      </w:r>
      <w:r w:rsidR="005C14CA">
        <w:t>s</w:t>
      </w:r>
      <w:r w:rsidR="00210E01">
        <w:t xml:space="preserve"> </w:t>
      </w:r>
      <w:r w:rsidR="005C14CA">
        <w:t xml:space="preserve">used </w:t>
      </w:r>
      <w:r w:rsidR="00210E01">
        <w:t xml:space="preserve">at the transmitter and at the receiver may differ </w:t>
      </w:r>
      <w:r w:rsidR="005C14CA">
        <w:t xml:space="preserve">( for instance when they have different </w:t>
      </w:r>
      <w:proofErr w:type="spellStart"/>
      <w:r w:rsidR="005C14CA">
        <w:t>beamwidth</w:t>
      </w:r>
      <w:proofErr w:type="spellEnd"/>
      <w:r w:rsidR="005C14CA">
        <w:t xml:space="preserve">, or when using different antennas for transmit and receive) </w:t>
      </w:r>
      <w:r w:rsidR="00210E01">
        <w:t xml:space="preserve">therefore the receiver would need to evaluate the surrounding channel conditions using its </w:t>
      </w:r>
      <w:r w:rsidR="00210E01">
        <w:lastRenderedPageBreak/>
        <w:t xml:space="preserve">own </w:t>
      </w:r>
      <w:r w:rsidR="00525739">
        <w:t xml:space="preserve">receive </w:t>
      </w:r>
      <w:r w:rsidR="00210E01">
        <w:t>antenna prior to reception</w:t>
      </w:r>
      <w:r w:rsidR="00525739">
        <w:t>. During the SI, some companies referred to this as the receiver (responder) assisted LBT.</w:t>
      </w:r>
    </w:p>
    <w:p w14:paraId="145BF095" w14:textId="2A24F4E1" w:rsidR="00210E01" w:rsidRDefault="00210E01" w:rsidP="000F4F58">
      <w:r>
        <w:t>We note that the receiver</w:t>
      </w:r>
      <w:r w:rsidR="00525739">
        <w:t xml:space="preserve"> device</w:t>
      </w:r>
      <w:r>
        <w:t xml:space="preserve"> (a.k.a</w:t>
      </w:r>
      <w:r w:rsidR="009F6E34">
        <w:t>.</w:t>
      </w:r>
      <w:r>
        <w:t xml:space="preserve"> the responder) does not need to perform a full CCA or</w:t>
      </w:r>
      <w:r w:rsidR="009F6E34">
        <w:t xml:space="preserve"> full</w:t>
      </w:r>
      <w:r>
        <w:t xml:space="preserve"> LBT. Only the transmitter (a.k.a</w:t>
      </w:r>
      <w:r w:rsidR="009F6E34">
        <w:t>.</w:t>
      </w:r>
      <w:r>
        <w:t xml:space="preserve"> the initiator) </w:t>
      </w:r>
      <w:r w:rsidR="009F6E34">
        <w:t>is required to do it</w:t>
      </w:r>
      <w:r w:rsidR="00525739">
        <w:t xml:space="preserve"> by the regulations</w:t>
      </w:r>
      <w:r w:rsidR="009F6E34">
        <w:t>. The responder shall just perform a channel measurement to estimate the interference, preferable using the same beam that it will be used to receive. The receiver should be able to inform the transmitter about the channel conditions. Therefore</w:t>
      </w:r>
      <w:r w:rsidR="00525739">
        <w:t>,</w:t>
      </w:r>
      <w:r w:rsidR="009F6E34">
        <w:t xml:space="preserve"> a responder assisted LBT implies that the initiator </w:t>
      </w:r>
      <w:r w:rsidR="00525739">
        <w:t xml:space="preserve">could </w:t>
      </w:r>
      <w:r w:rsidR="009F6E34">
        <w:t xml:space="preserve">request the responder for a short update </w:t>
      </w:r>
      <w:r w:rsidR="00525739">
        <w:t xml:space="preserve">on the </w:t>
      </w:r>
      <w:r w:rsidR="009F6E34">
        <w:t>channel measurement prior to perform</w:t>
      </w:r>
      <w:r w:rsidR="00525739">
        <w:t>ing</w:t>
      </w:r>
      <w:r w:rsidR="009F6E34">
        <w:t xml:space="preserve"> a transmission. Such request may be </w:t>
      </w:r>
      <w:r w:rsidR="00541CA7">
        <w:t>presented</w:t>
      </w:r>
      <w:r w:rsidR="009F6E34">
        <w:t xml:space="preserve"> in various ways, for instance the </w:t>
      </w:r>
      <w:proofErr w:type="spellStart"/>
      <w:r w:rsidR="009F6E34">
        <w:t>gNB</w:t>
      </w:r>
      <w:proofErr w:type="spellEnd"/>
      <w:r w:rsidR="009F6E34">
        <w:t xml:space="preserve"> may request a L1-IM measurement from UE, by configuring CSI-IM for interference measurement resources. </w:t>
      </w:r>
      <w:r w:rsidR="00872AEB">
        <w:t>Or t</w:t>
      </w:r>
      <w:r w:rsidR="00525739">
        <w:t xml:space="preserve">he UE </w:t>
      </w:r>
      <w:r w:rsidR="00541CA7">
        <w:t>may perform a</w:t>
      </w:r>
      <w:r w:rsidR="00525739">
        <w:t>n</w:t>
      </w:r>
      <w:r w:rsidR="00541CA7">
        <w:t xml:space="preserve"> energy sensing and report back to the </w:t>
      </w:r>
      <w:proofErr w:type="spellStart"/>
      <w:r w:rsidR="00541CA7">
        <w:t>gNB</w:t>
      </w:r>
      <w:proofErr w:type="spellEnd"/>
      <w:r w:rsidR="00541CA7">
        <w:t xml:space="preserve"> using an interference indicator map that indicates resources where the energy is above or below a threshold. </w:t>
      </w:r>
      <w:proofErr w:type="spellStart"/>
      <w:r w:rsidR="00541CA7">
        <w:t>gNB</w:t>
      </w:r>
      <w:proofErr w:type="spellEnd"/>
      <w:r w:rsidR="00541CA7">
        <w:t xml:space="preserve"> may </w:t>
      </w:r>
      <w:r w:rsidR="00525739">
        <w:t xml:space="preserve">then </w:t>
      </w:r>
      <w:r w:rsidR="00541CA7">
        <w:t xml:space="preserve">proceed to transmit on the non-interfered resources after </w:t>
      </w:r>
      <w:r w:rsidR="00525739">
        <w:t>a successful</w:t>
      </w:r>
      <w:r w:rsidR="00541CA7">
        <w:t xml:space="preserve"> LBT procedure or </w:t>
      </w:r>
      <w:r w:rsidR="00525739">
        <w:t xml:space="preserve">to </w:t>
      </w:r>
      <w:r w:rsidR="00541CA7">
        <w:t xml:space="preserve">postpone the transmission until </w:t>
      </w:r>
      <w:r w:rsidR="00525739">
        <w:t>the next successful</w:t>
      </w:r>
      <w:r w:rsidR="00541CA7">
        <w:t xml:space="preserve"> LBT.</w:t>
      </w:r>
    </w:p>
    <w:p w14:paraId="008CB793" w14:textId="4C73E633" w:rsidR="00541CA7" w:rsidRPr="00541CA7" w:rsidRDefault="00541CA7" w:rsidP="000F4F58">
      <w:pPr>
        <w:rPr>
          <w:b/>
          <w:bCs/>
        </w:rPr>
      </w:pPr>
      <w:r w:rsidRPr="00541CA7">
        <w:rPr>
          <w:b/>
          <w:bCs/>
        </w:rPr>
        <w:t xml:space="preserve">Proposal </w:t>
      </w:r>
      <w:r w:rsidR="000C0843">
        <w:rPr>
          <w:b/>
          <w:bCs/>
        </w:rPr>
        <w:t>4</w:t>
      </w:r>
      <w:r w:rsidRPr="00541CA7">
        <w:rPr>
          <w:b/>
          <w:bCs/>
        </w:rPr>
        <w:t xml:space="preserve">: For UE assisted LBT, the </w:t>
      </w:r>
      <w:proofErr w:type="spellStart"/>
      <w:r w:rsidRPr="00541CA7">
        <w:rPr>
          <w:b/>
          <w:bCs/>
        </w:rPr>
        <w:t>gNB</w:t>
      </w:r>
      <w:proofErr w:type="spellEnd"/>
      <w:r w:rsidRPr="00541CA7">
        <w:rPr>
          <w:b/>
          <w:bCs/>
        </w:rPr>
        <w:t xml:space="preserve"> should be able to request UE to measure the interference (received energy) over a specific set of resources and report it back to </w:t>
      </w:r>
      <w:r w:rsidR="00872AEB">
        <w:rPr>
          <w:b/>
          <w:bCs/>
        </w:rPr>
        <w:t xml:space="preserve">the </w:t>
      </w:r>
      <w:proofErr w:type="spellStart"/>
      <w:r w:rsidRPr="00541CA7">
        <w:rPr>
          <w:b/>
          <w:bCs/>
        </w:rPr>
        <w:t>gNB</w:t>
      </w:r>
      <w:proofErr w:type="spellEnd"/>
      <w:r w:rsidRPr="00541CA7">
        <w:rPr>
          <w:b/>
          <w:bCs/>
        </w:rPr>
        <w:t xml:space="preserve"> prior to LBT procedure at </w:t>
      </w:r>
      <w:r w:rsidR="00872AEB">
        <w:rPr>
          <w:b/>
          <w:bCs/>
        </w:rPr>
        <w:t xml:space="preserve">the </w:t>
      </w:r>
      <w:proofErr w:type="spellStart"/>
      <w:r w:rsidRPr="00541CA7">
        <w:rPr>
          <w:b/>
          <w:bCs/>
        </w:rPr>
        <w:t>gNB</w:t>
      </w:r>
      <w:proofErr w:type="spellEnd"/>
      <w:r w:rsidRPr="00541CA7">
        <w:rPr>
          <w:b/>
          <w:bCs/>
        </w:rPr>
        <w:t>.</w:t>
      </w:r>
    </w:p>
    <w:p w14:paraId="00048358" w14:textId="77777777" w:rsidR="00707365" w:rsidRPr="000F4F58" w:rsidRDefault="00707365" w:rsidP="000F4F58"/>
    <w:p w14:paraId="156214C1" w14:textId="5289E99C" w:rsidR="00756A33" w:rsidRDefault="00756A33" w:rsidP="00756A33">
      <w:pPr>
        <w:pStyle w:val="Heading1"/>
      </w:pPr>
      <w:r>
        <w:t>Conclusion</w:t>
      </w:r>
    </w:p>
    <w:p w14:paraId="0FD3D566" w14:textId="3682322B" w:rsidR="00143A2F" w:rsidRPr="003164B0" w:rsidRDefault="00143A2F" w:rsidP="00503139">
      <w:r>
        <w:t>For channel access of shared spectrum above 52.6 GHz, we have the following observation and proposals:</w:t>
      </w:r>
    </w:p>
    <w:p w14:paraId="6D24B5B0" w14:textId="77777777" w:rsidR="000C0843" w:rsidRDefault="000C0843" w:rsidP="000C0843">
      <w:pPr>
        <w:rPr>
          <w:b/>
          <w:bCs/>
        </w:rPr>
      </w:pPr>
      <w:r>
        <w:rPr>
          <w:b/>
          <w:bCs/>
        </w:rPr>
        <w:t>Observation</w:t>
      </w:r>
      <w:r w:rsidRPr="00A41B4F">
        <w:rPr>
          <w:b/>
          <w:bCs/>
        </w:rPr>
        <w:t xml:space="preserve"> 1: </w:t>
      </w:r>
      <w:r>
        <w:rPr>
          <w:b/>
          <w:bCs/>
        </w:rPr>
        <w:t>In order to compensate the high pathloss, t</w:t>
      </w:r>
      <w:r w:rsidRPr="00A41B4F">
        <w:rPr>
          <w:b/>
          <w:bCs/>
        </w:rPr>
        <w:t xml:space="preserve">he channel access </w:t>
      </w:r>
      <w:r>
        <w:rPr>
          <w:b/>
          <w:bCs/>
        </w:rPr>
        <w:t xml:space="preserve">in beyond 52.6 GHz </w:t>
      </w:r>
      <w:r w:rsidRPr="00A41B4F">
        <w:rPr>
          <w:b/>
          <w:bCs/>
        </w:rPr>
        <w:t>shall support directional transmit</w:t>
      </w:r>
      <w:r>
        <w:rPr>
          <w:b/>
          <w:bCs/>
        </w:rPr>
        <w:t>,</w:t>
      </w:r>
      <w:r w:rsidRPr="00A41B4F">
        <w:rPr>
          <w:b/>
          <w:bCs/>
        </w:rPr>
        <w:t xml:space="preserve"> receive</w:t>
      </w:r>
      <w:r>
        <w:rPr>
          <w:b/>
          <w:bCs/>
        </w:rPr>
        <w:t>,</w:t>
      </w:r>
      <w:r w:rsidRPr="00A41B4F">
        <w:rPr>
          <w:b/>
          <w:bCs/>
        </w:rPr>
        <w:t xml:space="preserve"> and antenna beam management</w:t>
      </w:r>
      <w:r>
        <w:rPr>
          <w:b/>
          <w:bCs/>
        </w:rPr>
        <w:t>.</w:t>
      </w:r>
    </w:p>
    <w:p w14:paraId="10913FB6" w14:textId="77777777" w:rsidR="000C0843" w:rsidRDefault="000C0843" w:rsidP="000C0843">
      <w:pPr>
        <w:rPr>
          <w:b/>
          <w:bCs/>
        </w:rPr>
      </w:pPr>
      <w:r w:rsidRPr="009863ED">
        <w:rPr>
          <w:b/>
          <w:bCs/>
        </w:rPr>
        <w:t xml:space="preserve">Proposal </w:t>
      </w:r>
      <w:r>
        <w:rPr>
          <w:b/>
          <w:bCs/>
        </w:rPr>
        <w:t>1</w:t>
      </w:r>
      <w:r w:rsidRPr="009863ED">
        <w:rPr>
          <w:b/>
          <w:bCs/>
        </w:rPr>
        <w:t xml:space="preserve">: The 60 GHz unlicensed channel access shall support directional </w:t>
      </w:r>
      <w:r>
        <w:rPr>
          <w:b/>
          <w:bCs/>
        </w:rPr>
        <w:t>channel sensing</w:t>
      </w:r>
      <w:r w:rsidRPr="009863ED">
        <w:rPr>
          <w:b/>
          <w:bCs/>
        </w:rPr>
        <w:t xml:space="preserve"> that covers the </w:t>
      </w:r>
      <w:r>
        <w:rPr>
          <w:b/>
          <w:bCs/>
        </w:rPr>
        <w:t xml:space="preserve">next </w:t>
      </w:r>
      <w:r w:rsidRPr="009863ED">
        <w:rPr>
          <w:b/>
          <w:bCs/>
        </w:rPr>
        <w:t>transmission directions.</w:t>
      </w:r>
    </w:p>
    <w:p w14:paraId="4CABE4C8" w14:textId="77777777" w:rsidR="000C0843" w:rsidRPr="002B480A" w:rsidRDefault="000C0843" w:rsidP="000C0843">
      <w:pPr>
        <w:rPr>
          <w:b/>
          <w:bCs/>
        </w:rPr>
      </w:pPr>
      <w:r w:rsidRPr="002B480A">
        <w:rPr>
          <w:b/>
          <w:bCs/>
        </w:rPr>
        <w:t xml:space="preserve">Proposal </w:t>
      </w:r>
      <w:r>
        <w:rPr>
          <w:b/>
          <w:bCs/>
        </w:rPr>
        <w:t>2</w:t>
      </w:r>
      <w:r w:rsidRPr="002B480A">
        <w:rPr>
          <w:b/>
          <w:bCs/>
        </w:rPr>
        <w:t xml:space="preserve">: The value of Pout in the CCA Check </w:t>
      </w:r>
      <w:r>
        <w:rPr>
          <w:b/>
          <w:bCs/>
        </w:rPr>
        <w:t xml:space="preserve">threshold </w:t>
      </w:r>
      <w:r w:rsidRPr="002B480A">
        <w:rPr>
          <w:b/>
          <w:bCs/>
        </w:rPr>
        <w:t>before initiating a COT should correspond to the maximum EIRP of the transmissions during that COT.</w:t>
      </w:r>
    </w:p>
    <w:p w14:paraId="64032680" w14:textId="7E800778" w:rsidR="0048095D" w:rsidRPr="002B480A" w:rsidRDefault="0048095D" w:rsidP="0048095D">
      <w:pPr>
        <w:rPr>
          <w:b/>
          <w:bCs/>
        </w:rPr>
      </w:pPr>
      <w:r w:rsidRPr="002B480A">
        <w:rPr>
          <w:b/>
          <w:bCs/>
        </w:rPr>
        <w:t xml:space="preserve">Proposal </w:t>
      </w:r>
      <w:r>
        <w:rPr>
          <w:b/>
          <w:bCs/>
        </w:rPr>
        <w:t>3</w:t>
      </w:r>
      <w:r w:rsidRPr="002B480A">
        <w:rPr>
          <w:b/>
          <w:bCs/>
        </w:rPr>
        <w:t xml:space="preserve">: NR should support solutions to address the asymmetry between </w:t>
      </w:r>
      <w:r>
        <w:rPr>
          <w:b/>
          <w:bCs/>
        </w:rPr>
        <w:t>the beam (</w:t>
      </w:r>
      <w:r w:rsidRPr="002B480A">
        <w:rPr>
          <w:b/>
          <w:bCs/>
        </w:rPr>
        <w:t>antennas TIS</w:t>
      </w:r>
      <w:r>
        <w:rPr>
          <w:b/>
          <w:bCs/>
        </w:rPr>
        <w:t>)</w:t>
      </w:r>
      <w:r w:rsidRPr="002B480A">
        <w:rPr>
          <w:b/>
          <w:bCs/>
        </w:rPr>
        <w:t xml:space="preserve"> used for CCA sensing and the </w:t>
      </w:r>
      <w:r>
        <w:rPr>
          <w:b/>
          <w:bCs/>
        </w:rPr>
        <w:t>beam</w:t>
      </w:r>
      <w:r w:rsidR="0039079A">
        <w:rPr>
          <w:b/>
          <w:bCs/>
        </w:rPr>
        <w:t>s</w:t>
      </w:r>
      <w:r>
        <w:rPr>
          <w:b/>
          <w:bCs/>
        </w:rPr>
        <w:t xml:space="preserve"> (</w:t>
      </w:r>
      <w:r w:rsidRPr="002B480A">
        <w:rPr>
          <w:b/>
          <w:bCs/>
        </w:rPr>
        <w:t>EIRP</w:t>
      </w:r>
      <w:r>
        <w:rPr>
          <w:b/>
          <w:bCs/>
        </w:rPr>
        <w:t>)</w:t>
      </w:r>
      <w:r w:rsidRPr="002B480A">
        <w:rPr>
          <w:b/>
          <w:bCs/>
        </w:rPr>
        <w:t xml:space="preserve"> used for transmissions.</w:t>
      </w:r>
    </w:p>
    <w:p w14:paraId="16631EAC" w14:textId="77777777" w:rsidR="000C0843" w:rsidRPr="00541CA7" w:rsidRDefault="000C0843" w:rsidP="000C0843">
      <w:pPr>
        <w:rPr>
          <w:b/>
          <w:bCs/>
        </w:rPr>
      </w:pPr>
      <w:r w:rsidRPr="00541CA7">
        <w:rPr>
          <w:b/>
          <w:bCs/>
        </w:rPr>
        <w:t xml:space="preserve">Proposal </w:t>
      </w:r>
      <w:r>
        <w:rPr>
          <w:b/>
          <w:bCs/>
        </w:rPr>
        <w:t>4</w:t>
      </w:r>
      <w:r w:rsidRPr="00541CA7">
        <w:rPr>
          <w:b/>
          <w:bCs/>
        </w:rPr>
        <w:t xml:space="preserve">: For UE assisted LBT, the </w:t>
      </w:r>
      <w:proofErr w:type="spellStart"/>
      <w:r w:rsidRPr="00541CA7">
        <w:rPr>
          <w:b/>
          <w:bCs/>
        </w:rPr>
        <w:t>gNB</w:t>
      </w:r>
      <w:proofErr w:type="spellEnd"/>
      <w:r w:rsidRPr="00541CA7">
        <w:rPr>
          <w:b/>
          <w:bCs/>
        </w:rPr>
        <w:t xml:space="preserve"> should be able to request UE to measure the interference (received energy) over a specific set of resources and report it back to </w:t>
      </w:r>
      <w:r>
        <w:rPr>
          <w:b/>
          <w:bCs/>
        </w:rPr>
        <w:t xml:space="preserve">the </w:t>
      </w:r>
      <w:proofErr w:type="spellStart"/>
      <w:r w:rsidRPr="00541CA7">
        <w:rPr>
          <w:b/>
          <w:bCs/>
        </w:rPr>
        <w:t>gNB</w:t>
      </w:r>
      <w:proofErr w:type="spellEnd"/>
      <w:r w:rsidRPr="00541CA7">
        <w:rPr>
          <w:b/>
          <w:bCs/>
        </w:rPr>
        <w:t xml:space="preserve"> prior to LBT procedure at </w:t>
      </w:r>
      <w:r>
        <w:rPr>
          <w:b/>
          <w:bCs/>
        </w:rPr>
        <w:t xml:space="preserve">the </w:t>
      </w:r>
      <w:proofErr w:type="spellStart"/>
      <w:r w:rsidRPr="00541CA7">
        <w:rPr>
          <w:b/>
          <w:bCs/>
        </w:rPr>
        <w:t>gNB</w:t>
      </w:r>
      <w:proofErr w:type="spellEnd"/>
      <w:r w:rsidRPr="00541CA7">
        <w:rPr>
          <w:b/>
          <w:bCs/>
        </w:rPr>
        <w:t>.</w:t>
      </w:r>
    </w:p>
    <w:p w14:paraId="62076B9C" w14:textId="09C9F0F7" w:rsidR="00756A33" w:rsidRPr="004047A8" w:rsidRDefault="00756A33" w:rsidP="00DB5432">
      <w:pPr>
        <w:rPr>
          <w:b/>
          <w:bCs/>
          <w:u w:val="single"/>
        </w:rPr>
      </w:pPr>
    </w:p>
    <w:p w14:paraId="410E44E3" w14:textId="640A1982" w:rsidR="001D780E" w:rsidRDefault="001D780E" w:rsidP="00182F43">
      <w:pPr>
        <w:pStyle w:val="Heading1"/>
      </w:pPr>
      <w:bookmarkStart w:id="4" w:name="_Ref124589665"/>
      <w:bookmarkStart w:id="5" w:name="_Ref71620620"/>
      <w:bookmarkStart w:id="6" w:name="_Ref124671424"/>
      <w:r w:rsidRPr="00D74B92">
        <w:t>References</w:t>
      </w:r>
    </w:p>
    <w:p w14:paraId="64AEDB32" w14:textId="77777777" w:rsidR="00531C1A" w:rsidRPr="00AB14F6" w:rsidRDefault="00531C1A" w:rsidP="00531C1A">
      <w:pPr>
        <w:pStyle w:val="2222"/>
        <w:numPr>
          <w:ilvl w:val="0"/>
          <w:numId w:val="13"/>
        </w:numPr>
        <w:spacing w:after="120" w:line="240" w:lineRule="auto"/>
        <w:ind w:firstLineChars="0"/>
        <w:rPr>
          <w:color w:val="000000" w:themeColor="text1"/>
          <w:szCs w:val="22"/>
          <w:lang w:val="en-US" w:eastAsia="ko-KR"/>
        </w:rPr>
      </w:pPr>
      <w:bookmarkStart w:id="7" w:name="_Ref58598481"/>
      <w:r w:rsidRPr="00AB14F6">
        <w:rPr>
          <w:color w:val="000000" w:themeColor="text1"/>
          <w:szCs w:val="22"/>
          <w:lang w:val="en-US" w:eastAsia="ko-KR"/>
        </w:rPr>
        <w:t>RP-202925, “Revised WID: Extending current NR operation to 71 GHz”, CMCC, RAN#90e</w:t>
      </w:r>
      <w:bookmarkEnd w:id="7"/>
      <w:r w:rsidRPr="00AB14F6">
        <w:rPr>
          <w:color w:val="000000" w:themeColor="text1"/>
          <w:szCs w:val="22"/>
          <w:lang w:val="en-US" w:eastAsia="ko-KR"/>
        </w:rPr>
        <w:t>, 2020.</w:t>
      </w:r>
    </w:p>
    <w:p w14:paraId="11B4E6E2" w14:textId="49A10B9F" w:rsidR="00182F43" w:rsidRPr="00AB14F6" w:rsidRDefault="00182F43" w:rsidP="00182F43">
      <w:pPr>
        <w:pStyle w:val="2222"/>
        <w:numPr>
          <w:ilvl w:val="0"/>
          <w:numId w:val="13"/>
        </w:numPr>
        <w:spacing w:after="120" w:line="240" w:lineRule="auto"/>
        <w:ind w:firstLineChars="0"/>
        <w:rPr>
          <w:color w:val="000000" w:themeColor="text1"/>
          <w:szCs w:val="22"/>
          <w:lang w:val="en-US" w:eastAsia="ko-KR"/>
        </w:rPr>
      </w:pPr>
      <w:r w:rsidRPr="00AB14F6">
        <w:rPr>
          <w:color w:val="000000" w:themeColor="text1"/>
          <w:szCs w:val="22"/>
          <w:lang w:val="en-US" w:eastAsia="ko-KR"/>
        </w:rPr>
        <w:t>TR 38.838, “Studying on supporting NR from 52.6 GHz to 71GHz”, 2020</w:t>
      </w:r>
      <w:r w:rsidR="00E33955" w:rsidRPr="00AB14F6">
        <w:rPr>
          <w:color w:val="000000" w:themeColor="text1"/>
          <w:szCs w:val="22"/>
          <w:lang w:val="en-US" w:eastAsia="ko-KR"/>
        </w:rPr>
        <w:t>.</w:t>
      </w:r>
    </w:p>
    <w:bookmarkEnd w:id="2"/>
    <w:bookmarkEnd w:id="4"/>
    <w:bookmarkEnd w:id="5"/>
    <w:bookmarkEnd w:id="6"/>
    <w:p w14:paraId="5A861E89" w14:textId="04720509" w:rsidR="0086182E" w:rsidRPr="0086182E" w:rsidRDefault="0086182E" w:rsidP="0086182E">
      <w:pPr>
        <w:pStyle w:val="2222"/>
        <w:numPr>
          <w:ilvl w:val="0"/>
          <w:numId w:val="13"/>
        </w:numPr>
        <w:spacing w:after="120" w:line="240" w:lineRule="auto"/>
        <w:ind w:firstLineChars="0"/>
        <w:rPr>
          <w:rStyle w:val="Emphasis"/>
          <w:i w:val="0"/>
          <w:iCs w:val="0"/>
          <w:color w:val="000000" w:themeColor="text1"/>
          <w:szCs w:val="22"/>
          <w:lang w:val="en-US" w:eastAsia="ko-KR"/>
        </w:rPr>
      </w:pPr>
      <w:r w:rsidRPr="00AB14F6">
        <w:rPr>
          <w:color w:val="000000" w:themeColor="text1"/>
          <w:szCs w:val="22"/>
        </w:rPr>
        <w:t>TR 38.901, “Study on channel model for frequencies from 0.5 to 100 GHz (Release 16)”.</w:t>
      </w:r>
    </w:p>
    <w:p w14:paraId="4D848E2F" w14:textId="31D03D7B" w:rsidR="003164B0" w:rsidRDefault="003164B0" w:rsidP="003164B0">
      <w:pPr>
        <w:pStyle w:val="2222"/>
        <w:numPr>
          <w:ilvl w:val="0"/>
          <w:numId w:val="13"/>
        </w:numPr>
        <w:ind w:firstLineChars="0"/>
        <w:rPr>
          <w:rFonts w:cs="Times New Roman"/>
          <w:color w:val="000000" w:themeColor="text1"/>
          <w:szCs w:val="22"/>
          <w:lang w:val="en-US" w:eastAsia="ko-KR"/>
        </w:rPr>
      </w:pPr>
      <w:r w:rsidRPr="003164B0">
        <w:rPr>
          <w:rFonts w:cs="Times New Roman"/>
          <w:color w:val="000000" w:themeColor="text1"/>
          <w:szCs w:val="22"/>
          <w:lang w:val="en-US" w:eastAsia="ko-KR"/>
        </w:rPr>
        <w:t>ETSI EN 301 893 V2.1.1 (2017-05)</w:t>
      </w:r>
      <w:r>
        <w:rPr>
          <w:rFonts w:cs="Times New Roman"/>
          <w:color w:val="000000" w:themeColor="text1"/>
          <w:szCs w:val="22"/>
          <w:lang w:val="en-US" w:eastAsia="ko-KR"/>
        </w:rPr>
        <w:t xml:space="preserve">, </w:t>
      </w:r>
      <w:r w:rsidRPr="003164B0">
        <w:rPr>
          <w:rFonts w:cs="Times New Roman"/>
          <w:color w:val="000000" w:themeColor="text1"/>
          <w:szCs w:val="22"/>
          <w:lang w:val="en-US" w:eastAsia="ko-KR"/>
        </w:rPr>
        <w:t>5 GHz RLAN;</w:t>
      </w:r>
      <w:r>
        <w:rPr>
          <w:rFonts w:cs="Times New Roman"/>
          <w:color w:val="000000" w:themeColor="text1"/>
          <w:szCs w:val="22"/>
          <w:lang w:val="en-US" w:eastAsia="ko-KR"/>
        </w:rPr>
        <w:t xml:space="preserve"> </w:t>
      </w:r>
      <w:r w:rsidRPr="003164B0">
        <w:rPr>
          <w:rFonts w:cs="Times New Roman"/>
          <w:color w:val="000000" w:themeColor="text1"/>
          <w:szCs w:val="22"/>
          <w:lang w:val="en-US" w:eastAsia="ko-KR"/>
        </w:rPr>
        <w:t>Harmonized</w:t>
      </w:r>
      <w:r w:rsidRPr="003164B0">
        <w:rPr>
          <w:rFonts w:cs="Times New Roman"/>
          <w:color w:val="000000" w:themeColor="text1"/>
          <w:szCs w:val="22"/>
          <w:lang w:val="en-US" w:eastAsia="ko-KR"/>
        </w:rPr>
        <w:t xml:space="preserve"> Standard covering the essential requirements</w:t>
      </w:r>
      <w:r>
        <w:rPr>
          <w:rFonts w:cs="Times New Roman"/>
          <w:color w:val="000000" w:themeColor="text1"/>
          <w:szCs w:val="22"/>
          <w:lang w:val="en-US" w:eastAsia="ko-KR"/>
        </w:rPr>
        <w:t xml:space="preserve"> </w:t>
      </w:r>
      <w:r w:rsidRPr="003164B0">
        <w:rPr>
          <w:rFonts w:cs="Times New Roman"/>
          <w:color w:val="000000" w:themeColor="text1"/>
          <w:szCs w:val="22"/>
          <w:lang w:val="en-US" w:eastAsia="ko-KR"/>
        </w:rPr>
        <w:t>of article 3.2 of Directive 2014/53/EU</w:t>
      </w:r>
    </w:p>
    <w:p w14:paraId="73BF4D84" w14:textId="5CD28762" w:rsidR="003164B0" w:rsidRPr="003164B0" w:rsidRDefault="003164B0" w:rsidP="00503139">
      <w:pPr>
        <w:pStyle w:val="2222"/>
        <w:numPr>
          <w:ilvl w:val="0"/>
          <w:numId w:val="13"/>
        </w:numPr>
        <w:ind w:firstLineChars="0"/>
        <w:rPr>
          <w:rFonts w:cs="Times New Roman"/>
          <w:color w:val="000000" w:themeColor="text1"/>
          <w:szCs w:val="22"/>
          <w:lang w:val="en-US" w:eastAsia="ko-KR"/>
        </w:rPr>
      </w:pPr>
      <w:r w:rsidRPr="003164B0">
        <w:rPr>
          <w:rFonts w:cs="Times New Roman"/>
          <w:color w:val="000000" w:themeColor="text1"/>
          <w:szCs w:val="22"/>
          <w:lang w:val="en-US" w:eastAsia="ko-KR"/>
        </w:rPr>
        <w:t xml:space="preserve">Draft ETSI EN 302 </w:t>
      </w:r>
      <w:r w:rsidRPr="003164B0">
        <w:rPr>
          <w:rFonts w:cs="Times New Roman"/>
          <w:color w:val="000000" w:themeColor="text1"/>
          <w:szCs w:val="22"/>
          <w:lang w:val="en-US" w:eastAsia="ko-KR"/>
        </w:rPr>
        <w:t>56</w:t>
      </w:r>
      <w:r>
        <w:rPr>
          <w:rFonts w:cs="Times New Roman"/>
          <w:color w:val="000000" w:themeColor="text1"/>
          <w:szCs w:val="22"/>
          <w:lang w:val="en-US" w:eastAsia="ko-KR"/>
        </w:rPr>
        <w:t xml:space="preserve">7 V2.1.20, </w:t>
      </w:r>
      <w:r w:rsidRPr="003164B0">
        <w:rPr>
          <w:rFonts w:cs="Times New Roman"/>
          <w:color w:val="000000" w:themeColor="text1"/>
          <w:szCs w:val="22"/>
          <w:lang w:val="en-US" w:eastAsia="ko-KR"/>
        </w:rPr>
        <w:t>Multiple-Gigabit/s radio equipment</w:t>
      </w:r>
      <w:r>
        <w:rPr>
          <w:rFonts w:cs="Times New Roman"/>
          <w:color w:val="000000" w:themeColor="text1"/>
          <w:szCs w:val="22"/>
          <w:lang w:val="en-US" w:eastAsia="ko-KR"/>
        </w:rPr>
        <w:t xml:space="preserve"> </w:t>
      </w:r>
      <w:r w:rsidRPr="003164B0">
        <w:rPr>
          <w:rFonts w:cs="Times New Roman"/>
          <w:color w:val="000000" w:themeColor="text1"/>
          <w:szCs w:val="22"/>
          <w:lang w:val="en-US" w:eastAsia="ko-KR"/>
        </w:rPr>
        <w:t>operating in the 60 GHz band;</w:t>
      </w:r>
      <w:r>
        <w:rPr>
          <w:rFonts w:cs="Times New Roman"/>
          <w:color w:val="000000" w:themeColor="text1"/>
          <w:szCs w:val="22"/>
          <w:lang w:val="en-US" w:eastAsia="ko-KR"/>
        </w:rPr>
        <w:t xml:space="preserve"> </w:t>
      </w:r>
      <w:r w:rsidRPr="003164B0">
        <w:rPr>
          <w:rFonts w:cs="Times New Roman"/>
          <w:color w:val="000000" w:themeColor="text1"/>
          <w:szCs w:val="22"/>
          <w:lang w:val="en-US" w:eastAsia="ko-KR"/>
        </w:rPr>
        <w:t>Harmonized</w:t>
      </w:r>
      <w:r w:rsidRPr="003164B0">
        <w:rPr>
          <w:rFonts w:cs="Times New Roman"/>
          <w:color w:val="000000" w:themeColor="text1"/>
          <w:szCs w:val="22"/>
          <w:lang w:val="en-US" w:eastAsia="ko-KR"/>
        </w:rPr>
        <w:t xml:space="preserve"> Standard for access to radio spectrum</w:t>
      </w:r>
    </w:p>
    <w:sectPr w:rsidR="003164B0" w:rsidRPr="003164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56404" w14:textId="77777777" w:rsidR="00D108AC" w:rsidRDefault="00D108AC">
      <w:r>
        <w:separator/>
      </w:r>
    </w:p>
  </w:endnote>
  <w:endnote w:type="continuationSeparator" w:id="0">
    <w:p w14:paraId="7AB4A8A8" w14:textId="77777777" w:rsidR="00D108AC" w:rsidRDefault="00D1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AAB43" w14:textId="77777777" w:rsidR="00D108AC" w:rsidRDefault="00D108AC">
      <w:r>
        <w:separator/>
      </w:r>
    </w:p>
  </w:footnote>
  <w:footnote w:type="continuationSeparator" w:id="0">
    <w:p w14:paraId="11E487F4" w14:textId="77777777" w:rsidR="00D108AC" w:rsidRDefault="00D10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5"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13"/>
  </w:num>
  <w:num w:numId="2">
    <w:abstractNumId w:val="12"/>
  </w:num>
  <w:num w:numId="3">
    <w:abstractNumId w:val="21"/>
  </w:num>
  <w:num w:numId="4">
    <w:abstractNumId w:val="22"/>
  </w:num>
  <w:num w:numId="5">
    <w:abstractNumId w:val="14"/>
  </w:num>
  <w:num w:numId="6">
    <w:abstractNumId w:val="8"/>
  </w:num>
  <w:num w:numId="7">
    <w:abstractNumId w:val="19"/>
  </w:num>
  <w:num w:numId="8">
    <w:abstractNumId w:val="17"/>
  </w:num>
  <w:num w:numId="9">
    <w:abstractNumId w:val="10"/>
  </w:num>
  <w:num w:numId="10">
    <w:abstractNumId w:val="6"/>
  </w:num>
  <w:num w:numId="11">
    <w:abstractNumId w:val="9"/>
  </w:num>
  <w:num w:numId="12">
    <w:abstractNumId w:val="20"/>
  </w:num>
  <w:num w:numId="13">
    <w:abstractNumId w:val="2"/>
  </w:num>
  <w:num w:numId="14">
    <w:abstractNumId w:val="1"/>
  </w:num>
  <w:num w:numId="15">
    <w:abstractNumId w:val="4"/>
  </w:num>
  <w:num w:numId="16">
    <w:abstractNumId w:val="0"/>
  </w:num>
  <w:num w:numId="17">
    <w:abstractNumId w:val="15"/>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7"/>
  </w:num>
  <w:num w:numId="21">
    <w:abstractNumId w:val="5"/>
  </w:num>
  <w:num w:numId="22">
    <w:abstractNumId w:val="3"/>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278"/>
    <w:rsid w:val="00014395"/>
    <w:rsid w:val="000156B5"/>
    <w:rsid w:val="00015A05"/>
    <w:rsid w:val="00015EFB"/>
    <w:rsid w:val="000162CA"/>
    <w:rsid w:val="000165E2"/>
    <w:rsid w:val="00016607"/>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0D61"/>
    <w:rsid w:val="00031ADB"/>
    <w:rsid w:val="00032056"/>
    <w:rsid w:val="000321E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7DE"/>
    <w:rsid w:val="00054BBB"/>
    <w:rsid w:val="00054E0C"/>
    <w:rsid w:val="0005541D"/>
    <w:rsid w:val="00055B33"/>
    <w:rsid w:val="000565C8"/>
    <w:rsid w:val="000567AD"/>
    <w:rsid w:val="0005748D"/>
    <w:rsid w:val="00057507"/>
    <w:rsid w:val="00057DC8"/>
    <w:rsid w:val="00060AB2"/>
    <w:rsid w:val="00060E7E"/>
    <w:rsid w:val="000612E1"/>
    <w:rsid w:val="000614FE"/>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92"/>
    <w:rsid w:val="000713A7"/>
    <w:rsid w:val="00072164"/>
    <w:rsid w:val="00072320"/>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0843"/>
    <w:rsid w:val="000C115D"/>
    <w:rsid w:val="000C13AE"/>
    <w:rsid w:val="000C1535"/>
    <w:rsid w:val="000C1F4B"/>
    <w:rsid w:val="000C252B"/>
    <w:rsid w:val="000C2FBD"/>
    <w:rsid w:val="000C3B0C"/>
    <w:rsid w:val="000C3D90"/>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005"/>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B02"/>
    <w:rsid w:val="000F2D25"/>
    <w:rsid w:val="000F2EEE"/>
    <w:rsid w:val="000F3238"/>
    <w:rsid w:val="000F3697"/>
    <w:rsid w:val="000F407D"/>
    <w:rsid w:val="000F4BD7"/>
    <w:rsid w:val="000F4F58"/>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15CA"/>
    <w:rsid w:val="00122412"/>
    <w:rsid w:val="001233BB"/>
    <w:rsid w:val="00124258"/>
    <w:rsid w:val="0012449B"/>
    <w:rsid w:val="00124875"/>
    <w:rsid w:val="00124D84"/>
    <w:rsid w:val="00124D97"/>
    <w:rsid w:val="001250DD"/>
    <w:rsid w:val="00125733"/>
    <w:rsid w:val="001260AA"/>
    <w:rsid w:val="001263AA"/>
    <w:rsid w:val="00126885"/>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752"/>
    <w:rsid w:val="0014384A"/>
    <w:rsid w:val="00143A2F"/>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A63"/>
    <w:rsid w:val="00160C09"/>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2864"/>
    <w:rsid w:val="00172B82"/>
    <w:rsid w:val="00172EFA"/>
    <w:rsid w:val="00173038"/>
    <w:rsid w:val="00173608"/>
    <w:rsid w:val="001745EC"/>
    <w:rsid w:val="001747B7"/>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F13"/>
    <w:rsid w:val="00182F43"/>
    <w:rsid w:val="00183034"/>
    <w:rsid w:val="001830F7"/>
    <w:rsid w:val="0018371D"/>
    <w:rsid w:val="00183EE6"/>
    <w:rsid w:val="001844E5"/>
    <w:rsid w:val="00184E75"/>
    <w:rsid w:val="0018528A"/>
    <w:rsid w:val="0018588A"/>
    <w:rsid w:val="00185C4C"/>
    <w:rsid w:val="00185FC2"/>
    <w:rsid w:val="00186BE6"/>
    <w:rsid w:val="00187252"/>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388D"/>
    <w:rsid w:val="001C3946"/>
    <w:rsid w:val="001C3EE9"/>
    <w:rsid w:val="001C3FA4"/>
    <w:rsid w:val="001C40F9"/>
    <w:rsid w:val="001C40FC"/>
    <w:rsid w:val="001C41B6"/>
    <w:rsid w:val="001C458B"/>
    <w:rsid w:val="001C4CE2"/>
    <w:rsid w:val="001C50F9"/>
    <w:rsid w:val="001C542A"/>
    <w:rsid w:val="001C5D4F"/>
    <w:rsid w:val="001C64C0"/>
    <w:rsid w:val="001C67D0"/>
    <w:rsid w:val="001C69DA"/>
    <w:rsid w:val="001C6F06"/>
    <w:rsid w:val="001C71AB"/>
    <w:rsid w:val="001C75AF"/>
    <w:rsid w:val="001C7611"/>
    <w:rsid w:val="001D2360"/>
    <w:rsid w:val="001D2372"/>
    <w:rsid w:val="001D2CE6"/>
    <w:rsid w:val="001D3109"/>
    <w:rsid w:val="001D332E"/>
    <w:rsid w:val="001D3914"/>
    <w:rsid w:val="001D4C8F"/>
    <w:rsid w:val="001D5033"/>
    <w:rsid w:val="001D5058"/>
    <w:rsid w:val="001D5453"/>
    <w:rsid w:val="001D5C88"/>
    <w:rsid w:val="001D6567"/>
    <w:rsid w:val="001D695C"/>
    <w:rsid w:val="001D6ED3"/>
    <w:rsid w:val="001D6FD9"/>
    <w:rsid w:val="001D780E"/>
    <w:rsid w:val="001D7A29"/>
    <w:rsid w:val="001E05C3"/>
    <w:rsid w:val="001E0AB0"/>
    <w:rsid w:val="001E0AD3"/>
    <w:rsid w:val="001E133B"/>
    <w:rsid w:val="001E1D1C"/>
    <w:rsid w:val="001E1E92"/>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0E01"/>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4217"/>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E54"/>
    <w:rsid w:val="002419CC"/>
    <w:rsid w:val="00241AC1"/>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336"/>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3EB1"/>
    <w:rsid w:val="00294504"/>
    <w:rsid w:val="002947D1"/>
    <w:rsid w:val="002948DF"/>
    <w:rsid w:val="00294D90"/>
    <w:rsid w:val="0029546B"/>
    <w:rsid w:val="0029628D"/>
    <w:rsid w:val="00296545"/>
    <w:rsid w:val="002969D4"/>
    <w:rsid w:val="00297148"/>
    <w:rsid w:val="00297296"/>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40E4"/>
    <w:rsid w:val="002B480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6F91"/>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6FC6"/>
    <w:rsid w:val="002E7187"/>
    <w:rsid w:val="002E739D"/>
    <w:rsid w:val="002E76D0"/>
    <w:rsid w:val="002F0C28"/>
    <w:rsid w:val="002F1568"/>
    <w:rsid w:val="002F281C"/>
    <w:rsid w:val="002F2999"/>
    <w:rsid w:val="002F2C74"/>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4B0"/>
    <w:rsid w:val="00316DFF"/>
    <w:rsid w:val="003178DA"/>
    <w:rsid w:val="00317DB8"/>
    <w:rsid w:val="00317E6F"/>
    <w:rsid w:val="00320085"/>
    <w:rsid w:val="003203AC"/>
    <w:rsid w:val="003205C5"/>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242"/>
    <w:rsid w:val="00345C56"/>
    <w:rsid w:val="00345E16"/>
    <w:rsid w:val="0034638C"/>
    <w:rsid w:val="00346B98"/>
    <w:rsid w:val="00346F7F"/>
    <w:rsid w:val="00347656"/>
    <w:rsid w:val="00347715"/>
    <w:rsid w:val="00347F4C"/>
    <w:rsid w:val="00350108"/>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79A"/>
    <w:rsid w:val="00390EC7"/>
    <w:rsid w:val="003919F6"/>
    <w:rsid w:val="00391D79"/>
    <w:rsid w:val="0039218D"/>
    <w:rsid w:val="00392B93"/>
    <w:rsid w:val="003940CE"/>
    <w:rsid w:val="00394739"/>
    <w:rsid w:val="00395826"/>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367"/>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298"/>
    <w:rsid w:val="003F33BC"/>
    <w:rsid w:val="003F3643"/>
    <w:rsid w:val="003F3D4E"/>
    <w:rsid w:val="003F4271"/>
    <w:rsid w:val="003F477E"/>
    <w:rsid w:val="003F4950"/>
    <w:rsid w:val="003F6529"/>
    <w:rsid w:val="003F6CD2"/>
    <w:rsid w:val="003F788D"/>
    <w:rsid w:val="003F7936"/>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28F"/>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5D"/>
    <w:rsid w:val="00480988"/>
    <w:rsid w:val="00480E05"/>
    <w:rsid w:val="00480F25"/>
    <w:rsid w:val="00480FBD"/>
    <w:rsid w:val="00481397"/>
    <w:rsid w:val="00481684"/>
    <w:rsid w:val="004816BE"/>
    <w:rsid w:val="00482BA7"/>
    <w:rsid w:val="00482BBE"/>
    <w:rsid w:val="00483A12"/>
    <w:rsid w:val="00483BBB"/>
    <w:rsid w:val="00483C32"/>
    <w:rsid w:val="00483DE2"/>
    <w:rsid w:val="0048406A"/>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36E"/>
    <w:rsid w:val="004A45C3"/>
    <w:rsid w:val="004A4715"/>
    <w:rsid w:val="004A5046"/>
    <w:rsid w:val="004A565E"/>
    <w:rsid w:val="004A5D55"/>
    <w:rsid w:val="004A5D73"/>
    <w:rsid w:val="004A5DF3"/>
    <w:rsid w:val="004A6134"/>
    <w:rsid w:val="004A63CA"/>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139"/>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318C"/>
    <w:rsid w:val="0051344E"/>
    <w:rsid w:val="005142CD"/>
    <w:rsid w:val="005143C9"/>
    <w:rsid w:val="00514600"/>
    <w:rsid w:val="0051472E"/>
    <w:rsid w:val="00514C72"/>
    <w:rsid w:val="005157A9"/>
    <w:rsid w:val="0051685C"/>
    <w:rsid w:val="00516951"/>
    <w:rsid w:val="00516EF7"/>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5BF"/>
    <w:rsid w:val="00525739"/>
    <w:rsid w:val="005257DE"/>
    <w:rsid w:val="00526C15"/>
    <w:rsid w:val="00527200"/>
    <w:rsid w:val="00527802"/>
    <w:rsid w:val="00527DB3"/>
    <w:rsid w:val="00530157"/>
    <w:rsid w:val="005303DC"/>
    <w:rsid w:val="00530FEB"/>
    <w:rsid w:val="00531491"/>
    <w:rsid w:val="00531C1A"/>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C95"/>
    <w:rsid w:val="005411F6"/>
    <w:rsid w:val="00541A7E"/>
    <w:rsid w:val="00541B25"/>
    <w:rsid w:val="00541CA7"/>
    <w:rsid w:val="005420A3"/>
    <w:rsid w:val="0054215C"/>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E60"/>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26B"/>
    <w:rsid w:val="005A6410"/>
    <w:rsid w:val="005A6521"/>
    <w:rsid w:val="005A77C2"/>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6111"/>
    <w:rsid w:val="005B6577"/>
    <w:rsid w:val="005B6922"/>
    <w:rsid w:val="005B774F"/>
    <w:rsid w:val="005B77D9"/>
    <w:rsid w:val="005B7DD1"/>
    <w:rsid w:val="005C00A0"/>
    <w:rsid w:val="005C086C"/>
    <w:rsid w:val="005C0A1E"/>
    <w:rsid w:val="005C14CA"/>
    <w:rsid w:val="005C1768"/>
    <w:rsid w:val="005C176C"/>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5DAB"/>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D1"/>
    <w:rsid w:val="00616112"/>
    <w:rsid w:val="00617066"/>
    <w:rsid w:val="00617234"/>
    <w:rsid w:val="00617332"/>
    <w:rsid w:val="006173CF"/>
    <w:rsid w:val="006175A0"/>
    <w:rsid w:val="00617CF5"/>
    <w:rsid w:val="00620035"/>
    <w:rsid w:val="006205C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6EAD"/>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6CE"/>
    <w:rsid w:val="00662E2F"/>
    <w:rsid w:val="006638AD"/>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51C4"/>
    <w:rsid w:val="006851FE"/>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2C8"/>
    <w:rsid w:val="00697733"/>
    <w:rsid w:val="006A0BBE"/>
    <w:rsid w:val="006A139F"/>
    <w:rsid w:val="006A254E"/>
    <w:rsid w:val="006A285F"/>
    <w:rsid w:val="006A2C30"/>
    <w:rsid w:val="006A301C"/>
    <w:rsid w:val="006A307F"/>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5D6"/>
    <w:rsid w:val="007025CB"/>
    <w:rsid w:val="007034AA"/>
    <w:rsid w:val="007038CC"/>
    <w:rsid w:val="00703C5D"/>
    <w:rsid w:val="00703C9D"/>
    <w:rsid w:val="0070490C"/>
    <w:rsid w:val="00705128"/>
    <w:rsid w:val="007053D1"/>
    <w:rsid w:val="007054F5"/>
    <w:rsid w:val="00705AFB"/>
    <w:rsid w:val="00705C38"/>
    <w:rsid w:val="007060B1"/>
    <w:rsid w:val="00706222"/>
    <w:rsid w:val="00706465"/>
    <w:rsid w:val="0070695A"/>
    <w:rsid w:val="007072EB"/>
    <w:rsid w:val="00707313"/>
    <w:rsid w:val="00707365"/>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17F1D"/>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9"/>
    <w:rsid w:val="0072692D"/>
    <w:rsid w:val="00726A9B"/>
    <w:rsid w:val="00726D75"/>
    <w:rsid w:val="00726E28"/>
    <w:rsid w:val="00727530"/>
    <w:rsid w:val="0072757A"/>
    <w:rsid w:val="007275F1"/>
    <w:rsid w:val="0073108E"/>
    <w:rsid w:val="007311C4"/>
    <w:rsid w:val="007314F0"/>
    <w:rsid w:val="00731E7C"/>
    <w:rsid w:val="007329EF"/>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6B8"/>
    <w:rsid w:val="007448CE"/>
    <w:rsid w:val="00744A26"/>
    <w:rsid w:val="00744A64"/>
    <w:rsid w:val="00744D47"/>
    <w:rsid w:val="00744EA0"/>
    <w:rsid w:val="007451CB"/>
    <w:rsid w:val="007458AF"/>
    <w:rsid w:val="0074638D"/>
    <w:rsid w:val="00746484"/>
    <w:rsid w:val="007464F4"/>
    <w:rsid w:val="0074704F"/>
    <w:rsid w:val="0074787C"/>
    <w:rsid w:val="00747B64"/>
    <w:rsid w:val="00747D58"/>
    <w:rsid w:val="00747F48"/>
    <w:rsid w:val="00747F4C"/>
    <w:rsid w:val="00750721"/>
    <w:rsid w:val="00751091"/>
    <w:rsid w:val="00751B83"/>
    <w:rsid w:val="00751CF0"/>
    <w:rsid w:val="0075268B"/>
    <w:rsid w:val="00752A3D"/>
    <w:rsid w:val="00753191"/>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34E3"/>
    <w:rsid w:val="00764194"/>
    <w:rsid w:val="0076443E"/>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2CD"/>
    <w:rsid w:val="007B6026"/>
    <w:rsid w:val="007B74F9"/>
    <w:rsid w:val="007B7DC1"/>
    <w:rsid w:val="007B7EDB"/>
    <w:rsid w:val="007C0718"/>
    <w:rsid w:val="007C0BF8"/>
    <w:rsid w:val="007C1208"/>
    <w:rsid w:val="007C15D4"/>
    <w:rsid w:val="007C1780"/>
    <w:rsid w:val="007C19AD"/>
    <w:rsid w:val="007C1F83"/>
    <w:rsid w:val="007C27C8"/>
    <w:rsid w:val="007C296E"/>
    <w:rsid w:val="007C2977"/>
    <w:rsid w:val="007C2A16"/>
    <w:rsid w:val="007C2ABC"/>
    <w:rsid w:val="007C359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BB4"/>
    <w:rsid w:val="007D0BF5"/>
    <w:rsid w:val="007D15D1"/>
    <w:rsid w:val="007D1C9B"/>
    <w:rsid w:val="007D229A"/>
    <w:rsid w:val="007D2F44"/>
    <w:rsid w:val="007D2F4D"/>
    <w:rsid w:val="007D3C97"/>
    <w:rsid w:val="007D4178"/>
    <w:rsid w:val="007D4CD3"/>
    <w:rsid w:val="007D4D33"/>
    <w:rsid w:val="007D5403"/>
    <w:rsid w:val="007D5C21"/>
    <w:rsid w:val="007D6B47"/>
    <w:rsid w:val="007D6B4A"/>
    <w:rsid w:val="007D7175"/>
    <w:rsid w:val="007D7ADE"/>
    <w:rsid w:val="007E02A5"/>
    <w:rsid w:val="007E1369"/>
    <w:rsid w:val="007E1A1B"/>
    <w:rsid w:val="007E1A88"/>
    <w:rsid w:val="007E1E43"/>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41A"/>
    <w:rsid w:val="008707F7"/>
    <w:rsid w:val="00870871"/>
    <w:rsid w:val="008712FD"/>
    <w:rsid w:val="008716A1"/>
    <w:rsid w:val="00872081"/>
    <w:rsid w:val="00872AA7"/>
    <w:rsid w:val="00872AEB"/>
    <w:rsid w:val="00872D3F"/>
    <w:rsid w:val="008733AA"/>
    <w:rsid w:val="008733E4"/>
    <w:rsid w:val="00873F15"/>
    <w:rsid w:val="00874096"/>
    <w:rsid w:val="008756A4"/>
    <w:rsid w:val="00875793"/>
    <w:rsid w:val="00875F73"/>
    <w:rsid w:val="008766AC"/>
    <w:rsid w:val="008768DA"/>
    <w:rsid w:val="00877049"/>
    <w:rsid w:val="00877F56"/>
    <w:rsid w:val="00880389"/>
    <w:rsid w:val="008807FD"/>
    <w:rsid w:val="00880933"/>
    <w:rsid w:val="00880BDE"/>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5E5"/>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A43"/>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6BE"/>
    <w:rsid w:val="00913824"/>
    <w:rsid w:val="009148E9"/>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46D2"/>
    <w:rsid w:val="00944856"/>
    <w:rsid w:val="00944E64"/>
    <w:rsid w:val="00945180"/>
    <w:rsid w:val="0094590C"/>
    <w:rsid w:val="00946124"/>
    <w:rsid w:val="00946355"/>
    <w:rsid w:val="009468B7"/>
    <w:rsid w:val="00946ACC"/>
    <w:rsid w:val="0094724E"/>
    <w:rsid w:val="00947973"/>
    <w:rsid w:val="00947BE6"/>
    <w:rsid w:val="0095048D"/>
    <w:rsid w:val="00950729"/>
    <w:rsid w:val="00951300"/>
    <w:rsid w:val="00951553"/>
    <w:rsid w:val="00951ADB"/>
    <w:rsid w:val="00952253"/>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3ED"/>
    <w:rsid w:val="0098686E"/>
    <w:rsid w:val="00986E7F"/>
    <w:rsid w:val="00987536"/>
    <w:rsid w:val="00990AD7"/>
    <w:rsid w:val="00990BD5"/>
    <w:rsid w:val="0099196F"/>
    <w:rsid w:val="00991CD6"/>
    <w:rsid w:val="0099270C"/>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5091"/>
    <w:rsid w:val="009A50F5"/>
    <w:rsid w:val="009A6A6B"/>
    <w:rsid w:val="009A6AC1"/>
    <w:rsid w:val="009A777F"/>
    <w:rsid w:val="009A7929"/>
    <w:rsid w:val="009A7DAA"/>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6B58"/>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4DB"/>
    <w:rsid w:val="009E6794"/>
    <w:rsid w:val="009E706F"/>
    <w:rsid w:val="009E7189"/>
    <w:rsid w:val="009E71C8"/>
    <w:rsid w:val="009E75F1"/>
    <w:rsid w:val="009E7620"/>
    <w:rsid w:val="009E79CB"/>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6958"/>
    <w:rsid w:val="009F6E34"/>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4F92"/>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4F48"/>
    <w:rsid w:val="00A3611D"/>
    <w:rsid w:val="00A36339"/>
    <w:rsid w:val="00A366E4"/>
    <w:rsid w:val="00A40C79"/>
    <w:rsid w:val="00A41278"/>
    <w:rsid w:val="00A41B4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96C"/>
    <w:rsid w:val="00A93B69"/>
    <w:rsid w:val="00A94335"/>
    <w:rsid w:val="00A95C8A"/>
    <w:rsid w:val="00A963C7"/>
    <w:rsid w:val="00A96677"/>
    <w:rsid w:val="00A96780"/>
    <w:rsid w:val="00A96C23"/>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4F6"/>
    <w:rsid w:val="00AB185A"/>
    <w:rsid w:val="00AB1BA7"/>
    <w:rsid w:val="00AB1E04"/>
    <w:rsid w:val="00AB29CF"/>
    <w:rsid w:val="00AB3113"/>
    <w:rsid w:val="00AB32D8"/>
    <w:rsid w:val="00AB348A"/>
    <w:rsid w:val="00AB39F4"/>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4EA"/>
    <w:rsid w:val="00B1662E"/>
    <w:rsid w:val="00B16A6F"/>
    <w:rsid w:val="00B16BBE"/>
    <w:rsid w:val="00B1734E"/>
    <w:rsid w:val="00B176DC"/>
    <w:rsid w:val="00B178F9"/>
    <w:rsid w:val="00B17FAF"/>
    <w:rsid w:val="00B204A9"/>
    <w:rsid w:val="00B206BF"/>
    <w:rsid w:val="00B20B13"/>
    <w:rsid w:val="00B21118"/>
    <w:rsid w:val="00B226C7"/>
    <w:rsid w:val="00B22743"/>
    <w:rsid w:val="00B22C0D"/>
    <w:rsid w:val="00B22FB9"/>
    <w:rsid w:val="00B2334E"/>
    <w:rsid w:val="00B23927"/>
    <w:rsid w:val="00B23AF4"/>
    <w:rsid w:val="00B23B6D"/>
    <w:rsid w:val="00B23C15"/>
    <w:rsid w:val="00B243F2"/>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292"/>
    <w:rsid w:val="00B44493"/>
    <w:rsid w:val="00B4469B"/>
    <w:rsid w:val="00B44F99"/>
    <w:rsid w:val="00B45679"/>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657"/>
    <w:rsid w:val="00B57777"/>
    <w:rsid w:val="00B57A17"/>
    <w:rsid w:val="00B57A37"/>
    <w:rsid w:val="00B60D0E"/>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542"/>
    <w:rsid w:val="00BA2FEF"/>
    <w:rsid w:val="00BA3D6F"/>
    <w:rsid w:val="00BA4F1C"/>
    <w:rsid w:val="00BA584C"/>
    <w:rsid w:val="00BA5E62"/>
    <w:rsid w:val="00BA6425"/>
    <w:rsid w:val="00BA66A2"/>
    <w:rsid w:val="00BA6D52"/>
    <w:rsid w:val="00BA7E34"/>
    <w:rsid w:val="00BA7E4E"/>
    <w:rsid w:val="00BA7E92"/>
    <w:rsid w:val="00BA7F3D"/>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2D0"/>
    <w:rsid w:val="00BC4343"/>
    <w:rsid w:val="00BC442C"/>
    <w:rsid w:val="00BC46EF"/>
    <w:rsid w:val="00BC4A0D"/>
    <w:rsid w:val="00BC6BC1"/>
    <w:rsid w:val="00BC6FD6"/>
    <w:rsid w:val="00BC793D"/>
    <w:rsid w:val="00BD008E"/>
    <w:rsid w:val="00BD03A8"/>
    <w:rsid w:val="00BD0444"/>
    <w:rsid w:val="00BD051B"/>
    <w:rsid w:val="00BD0653"/>
    <w:rsid w:val="00BD0F02"/>
    <w:rsid w:val="00BD1B9B"/>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849"/>
    <w:rsid w:val="00BE0B19"/>
    <w:rsid w:val="00BE0B20"/>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478"/>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9B"/>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4BE7"/>
    <w:rsid w:val="00C654E0"/>
    <w:rsid w:val="00C67719"/>
    <w:rsid w:val="00C67EAB"/>
    <w:rsid w:val="00C70DFF"/>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BF3"/>
    <w:rsid w:val="00CB24A2"/>
    <w:rsid w:val="00CB26EC"/>
    <w:rsid w:val="00CB2881"/>
    <w:rsid w:val="00CB2D2A"/>
    <w:rsid w:val="00CB3808"/>
    <w:rsid w:val="00CB4073"/>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8AE"/>
    <w:rsid w:val="00CE7E62"/>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8AC"/>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8DA"/>
    <w:rsid w:val="00D32A09"/>
    <w:rsid w:val="00D3323C"/>
    <w:rsid w:val="00D33456"/>
    <w:rsid w:val="00D336CF"/>
    <w:rsid w:val="00D3396F"/>
    <w:rsid w:val="00D33D4D"/>
    <w:rsid w:val="00D34988"/>
    <w:rsid w:val="00D34A0B"/>
    <w:rsid w:val="00D3567F"/>
    <w:rsid w:val="00D36234"/>
    <w:rsid w:val="00D36371"/>
    <w:rsid w:val="00D364C2"/>
    <w:rsid w:val="00D37547"/>
    <w:rsid w:val="00D3768F"/>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5E6"/>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3407"/>
    <w:rsid w:val="00DE37CA"/>
    <w:rsid w:val="00DE3979"/>
    <w:rsid w:val="00DE4B54"/>
    <w:rsid w:val="00DE4C15"/>
    <w:rsid w:val="00DE52E3"/>
    <w:rsid w:val="00DE57FA"/>
    <w:rsid w:val="00DE70CB"/>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C8B"/>
    <w:rsid w:val="00DF6F17"/>
    <w:rsid w:val="00DF6F28"/>
    <w:rsid w:val="00DF6F88"/>
    <w:rsid w:val="00DF78FA"/>
    <w:rsid w:val="00DF7960"/>
    <w:rsid w:val="00DF7AE1"/>
    <w:rsid w:val="00E0022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5E0E"/>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2D62"/>
    <w:rsid w:val="00E33955"/>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699"/>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C07"/>
    <w:rsid w:val="00EC6EB4"/>
    <w:rsid w:val="00EC7789"/>
    <w:rsid w:val="00EC7DB6"/>
    <w:rsid w:val="00ED162F"/>
    <w:rsid w:val="00ED1738"/>
    <w:rsid w:val="00ED2AE0"/>
    <w:rsid w:val="00ED2E52"/>
    <w:rsid w:val="00ED3024"/>
    <w:rsid w:val="00ED31DB"/>
    <w:rsid w:val="00ED35EE"/>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348"/>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6FA"/>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222B"/>
    <w:rsid w:val="00F72584"/>
    <w:rsid w:val="00F7260C"/>
    <w:rsid w:val="00F7264F"/>
    <w:rsid w:val="00F7290D"/>
    <w:rsid w:val="00F7302F"/>
    <w:rsid w:val="00F732EC"/>
    <w:rsid w:val="00F73D08"/>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4668"/>
    <w:rsid w:val="00FC4729"/>
    <w:rsid w:val="00FC4A8C"/>
    <w:rsid w:val="00FC4B5F"/>
    <w:rsid w:val="00FC53DB"/>
    <w:rsid w:val="00FC5E13"/>
    <w:rsid w:val="00FC5ED5"/>
    <w:rsid w:val="00FC5FC2"/>
    <w:rsid w:val="00FC6177"/>
    <w:rsid w:val="00FC6223"/>
    <w:rsid w:val="00FC6288"/>
    <w:rsid w:val="00FC63D1"/>
    <w:rsid w:val="00FC6E56"/>
    <w:rsid w:val="00FC7528"/>
    <w:rsid w:val="00FD0572"/>
    <w:rsid w:val="00FD0A9B"/>
    <w:rsid w:val="00FD1A97"/>
    <w:rsid w:val="00FD285E"/>
    <w:rsid w:val="00FD2A02"/>
    <w:rsid w:val="00FD2D7B"/>
    <w:rsid w:val="00FD3027"/>
    <w:rsid w:val="00FD3292"/>
    <w:rsid w:val="00FD37F6"/>
    <w:rsid w:val="00FD40FA"/>
    <w:rsid w:val="00FD4589"/>
    <w:rsid w:val="00FD4608"/>
    <w:rsid w:val="00FD473E"/>
    <w:rsid w:val="00FD4C01"/>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91D"/>
    <w:rsid w:val="00FE1EAB"/>
    <w:rsid w:val="00FE23ED"/>
    <w:rsid w:val="00FE284B"/>
    <w:rsid w:val="00FE28FC"/>
    <w:rsid w:val="00FE2ACE"/>
    <w:rsid w:val="00FE2F3A"/>
    <w:rsid w:val="00FE3004"/>
    <w:rsid w:val="00FE3465"/>
    <w:rsid w:val="00FE35A6"/>
    <w:rsid w:val="00FE3CC4"/>
    <w:rsid w:val="00FE4681"/>
    <w:rsid w:val="00FE4C50"/>
    <w:rsid w:val="00FE4F6C"/>
    <w:rsid w:val="00FE5C6B"/>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559127965">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58C93952-D94F-468A-9964-45B2A909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cp:lastModifiedBy>
  <cp:revision>2</cp:revision>
  <cp:lastPrinted>2007-06-18T23:08:00Z</cp:lastPrinted>
  <dcterms:created xsi:type="dcterms:W3CDTF">2021-01-15T19:09:00Z</dcterms:created>
  <dcterms:modified xsi:type="dcterms:W3CDTF">2021-01-15T19:09:00Z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