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8"/>
            <w:lang w:val="en-US"/>
          </w:rPr>
          <w:t>Inbox</w:t>
        </w:r>
      </w:hyperlink>
      <w:r>
        <w:rPr>
          <w:lang w:val="en-US"/>
        </w:rPr>
        <w:t xml:space="preserve">, </w:t>
      </w:r>
      <w:hyperlink r:id="rId12" w:history="1">
        <w:r w:rsidRPr="00716CE1">
          <w:rPr>
            <w:rStyle w:val="af8"/>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8"/>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8"/>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8"/>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8"/>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hint="eastAsia"/>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4" w:name="_Toc42165594"/>
      <w:r>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lastRenderedPageBreak/>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hint="eastAsia"/>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bl>
    <w:p w14:paraId="586248B8" w14:textId="77777777" w:rsidR="009924EE" w:rsidRPr="00B17658" w:rsidRDefault="009924EE" w:rsidP="00B17658">
      <w:pPr>
        <w:pStyle w:val="af"/>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f"/>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8"/>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412575C2" w14:textId="77777777" w:rsidR="004D2E60" w:rsidRDefault="004D2E60" w:rsidP="004D2E60">
      <w:pPr>
        <w:pStyle w:val="af"/>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a8"/>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a8"/>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w:t>
            </w:r>
            <w:proofErr w:type="gramStart"/>
            <w:r>
              <w:rPr>
                <w:rFonts w:eastAsia="DengXian"/>
                <w:lang w:val="en-US" w:eastAsia="zh-CN"/>
              </w:rPr>
              <w:t>to discuss</w:t>
            </w:r>
            <w:proofErr w:type="gramEnd"/>
            <w:r>
              <w:rPr>
                <w:rFonts w:eastAsia="DengXian"/>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a8"/>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8"/>
              <w:numPr>
                <w:ilvl w:val="0"/>
                <w:numId w:val="29"/>
              </w:numPr>
              <w:rPr>
                <w:rFonts w:eastAsia="DengXian"/>
                <w:lang w:val="en-US" w:eastAsia="zh-CN"/>
              </w:rPr>
            </w:pPr>
            <w:r>
              <w:rPr>
                <w:lang w:val="en-US" w:eastAsia="zh-CN"/>
              </w:rPr>
              <w:lastRenderedPageBreak/>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w:t>
            </w:r>
            <w:proofErr w:type="gramStart"/>
            <w:r>
              <w:rPr>
                <w:rFonts w:eastAsia="DengXian"/>
                <w:lang w:val="en-US" w:eastAsia="zh-CN"/>
              </w:rPr>
              <w:t>to discuss</w:t>
            </w:r>
            <w:proofErr w:type="gramEnd"/>
            <w:r>
              <w:rPr>
                <w:rFonts w:eastAsia="DengXian"/>
                <w:lang w:val="en-US" w:eastAsia="zh-CN"/>
              </w:rPr>
              <w:t xml:space="preserve">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hint="eastAsia"/>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r>
              <w:rPr>
                <w:lang w:val="en-US"/>
              </w:rPr>
              <w:lastRenderedPageBreak/>
              <w:t>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hint="eastAsia"/>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lastRenderedPageBreak/>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a8"/>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a8"/>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a8"/>
              <w:numPr>
                <w:ilvl w:val="0"/>
                <w:numId w:val="31"/>
              </w:numPr>
              <w:rPr>
                <w:rFonts w:eastAsia="DengXian"/>
                <w:lang w:val="en-US" w:eastAsia="zh-CN"/>
              </w:rPr>
            </w:pPr>
            <w:r w:rsidRPr="001F69B5">
              <w:rPr>
                <w:rFonts w:eastAsia="DengXian"/>
                <w:sz w:val="20"/>
                <w:szCs w:val="20"/>
                <w:lang w:val="en-US" w:eastAsia="zh-CN"/>
              </w:rPr>
              <w:lastRenderedPageBreak/>
              <w:t xml:space="preserve">It also needs justification how 1 Rx can support </w:t>
            </w:r>
            <w:proofErr w:type="gramStart"/>
            <w:r w:rsidRPr="001F69B5">
              <w:rPr>
                <w:rFonts w:eastAsia="DengXian"/>
                <w:sz w:val="20"/>
                <w:szCs w:val="20"/>
                <w:lang w:val="en-US" w:eastAsia="zh-CN"/>
              </w:rPr>
              <w:t>more</w:t>
            </w:r>
            <w:proofErr w:type="gramEnd"/>
            <w:r w:rsidRPr="001F69B5">
              <w:rPr>
                <w:rFonts w:eastAsia="DengXian"/>
                <w:sz w:val="20"/>
                <w:szCs w:val="20"/>
                <w:lang w:val="en-US" w:eastAsia="zh-CN"/>
              </w:rPr>
              <w:t xml:space="preserv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lastRenderedPageBreak/>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a8"/>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w:t>
      </w:r>
      <w:r w:rsidRPr="000962AC">
        <w:rPr>
          <w:lang w:val="en-US" w:eastAsia="zh-CN"/>
        </w:rPr>
        <w:lastRenderedPageBreak/>
        <w:t xml:space="preserve">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a8"/>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a8"/>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a8"/>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lastRenderedPageBreak/>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w:t>
            </w:r>
            <w:proofErr w:type="spellStart"/>
            <w:r w:rsidRPr="00E8648B">
              <w:rPr>
                <w:rFonts w:eastAsia="游明朝"/>
                <w:lang w:val="en-US" w:eastAsia="ja-JP"/>
              </w:rPr>
              <w:t>RedCap</w:t>
            </w:r>
            <w:proofErr w:type="spellEnd"/>
            <w:r w:rsidRPr="00E8648B">
              <w:rPr>
                <w:rFonts w:eastAsia="游明朝"/>
                <w:lang w:val="en-US" w:eastAsia="ja-JP"/>
              </w:rPr>
              <w:t xml:space="preserve"> FR1 FDD UEs</w:t>
            </w:r>
            <w:r>
              <w:rPr>
                <w:rFonts w:eastAsia="游明朝"/>
                <w:lang w:val="en-US" w:eastAsia="ja-JP"/>
              </w:rPr>
              <w:t xml:space="preserve">, it is better to clearly clarify the case of band n7.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hint="eastAsia"/>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bl>
    <w:p w14:paraId="79B9C30D" w14:textId="77777777" w:rsidR="00766CDA" w:rsidRPr="00887169" w:rsidRDefault="00766CDA" w:rsidP="000962AC">
      <w:pPr>
        <w:pStyle w:val="af"/>
        <w:rPr>
          <w:rFonts w:ascii="Times New Roman" w:hAnsi="Times New Roman"/>
        </w:rPr>
      </w:pPr>
    </w:p>
    <w:p w14:paraId="3C28AE10" w14:textId="77777777" w:rsidR="00090EF0" w:rsidRPr="000E647A" w:rsidRDefault="00090EF0" w:rsidP="00090EF0">
      <w:pPr>
        <w:pStyle w:val="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bl>
    <w:p w14:paraId="5FDEC35F" w14:textId="77777777" w:rsidR="004A3BFB" w:rsidRPr="000E647A" w:rsidRDefault="004A3BFB" w:rsidP="004A3BFB">
      <w:pPr>
        <w:pStyle w:val="af"/>
      </w:pPr>
    </w:p>
    <w:p w14:paraId="5FAA2675" w14:textId="10C331F4" w:rsidR="00D90A48" w:rsidRPr="000E647A" w:rsidRDefault="00090EF0" w:rsidP="003D28EB">
      <w:pPr>
        <w:pStyle w:val="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f"/>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w:t>
            </w:r>
            <w:r w:rsidR="007F23B7" w:rsidRPr="00482371">
              <w:rPr>
                <w:rFonts w:ascii="Times New Roman" w:hAnsi="Times New Roman"/>
              </w:rPr>
              <w:lastRenderedPageBreak/>
              <w:t xml:space="preserve">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f"/>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lastRenderedPageBreak/>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hint="eastAsia"/>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bl>
    <w:p w14:paraId="0FEE100D" w14:textId="77777777" w:rsidR="003D28EB" w:rsidRPr="00AA2318" w:rsidRDefault="003D28EB" w:rsidP="00D90A48">
      <w:pPr>
        <w:pStyle w:val="af"/>
        <w:rPr>
          <w:rFonts w:ascii="Times New Roman" w:hAnsi="Times New Roman"/>
        </w:rPr>
      </w:pPr>
    </w:p>
    <w:p w14:paraId="1D612C58" w14:textId="04B8C8DE" w:rsidR="00090EF0" w:rsidRPr="000E647A" w:rsidRDefault="00090EF0" w:rsidP="00090EF0">
      <w:pPr>
        <w:pStyle w:val="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08B2599"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463ABB4F" w:rsidR="00090EF0" w:rsidRPr="000E647A" w:rsidRDefault="00090EF0" w:rsidP="00E8041B">
      <w:pPr>
        <w:pStyle w:val="3"/>
        <w:numPr>
          <w:ilvl w:val="2"/>
          <w:numId w:val="11"/>
        </w:numPr>
      </w:pPr>
      <w:r w:rsidRPr="000E647A">
        <w:t xml:space="preserve">Analysis of </w:t>
      </w:r>
      <w:r>
        <w:t xml:space="preserve">coexistence with legacy </w:t>
      </w:r>
      <w:proofErr w:type="spellStart"/>
      <w:r>
        <w:t>U</w:t>
      </w:r>
      <w:r w:rsidR="00C62424">
        <w:t>e</w:t>
      </w:r>
      <w:r>
        <w:t>s</w:t>
      </w:r>
      <w:bookmarkEnd w:id="38"/>
      <w:bookmarkEnd w:id="39"/>
      <w:bookmarkEnd w:id="40"/>
      <w:proofErr w:type="spellEnd"/>
    </w:p>
    <w:p w14:paraId="7860D4F6" w14:textId="1FE15FC7"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5BBFBE1"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proofErr w:type="spellStart"/>
      <w:r w:rsidR="005F4076" w:rsidRPr="00482371">
        <w:rPr>
          <w:rFonts w:ascii="Times New Roman" w:hAnsi="Times New Roman"/>
        </w:rPr>
        <w:t>U</w:t>
      </w:r>
      <w:r w:rsidR="00C62424" w:rsidRPr="00482371">
        <w:rPr>
          <w:rFonts w:ascii="Times New Roman" w:hAnsi="Times New Roman"/>
        </w:rPr>
        <w:t>e</w:t>
      </w:r>
      <w:r w:rsidR="005A37C3" w:rsidRPr="00482371">
        <w:rPr>
          <w:rFonts w:ascii="Times New Roman" w:hAnsi="Times New Roman"/>
        </w:rPr>
        <w:t>s</w:t>
      </w:r>
      <w:proofErr w:type="spellEnd"/>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1E718B07"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01E99CE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411BA10C" w14:textId="2C2F30E7"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29037CAB" w14:textId="5CAE198F"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50 MHz maximum UE bandwidth, more serious configuration or scheduling restrictions to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would be expected. It may reduce the configuration or scheduling flexibility of legacy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lastRenderedPageBreak/>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0238D04E"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736C32A5"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proofErr w:type="spellStart"/>
      <w:r w:rsidR="00873F16" w:rsidRPr="00482371">
        <w:rPr>
          <w:rFonts w:ascii="Times New Roman" w:hAnsi="Times New Roman"/>
        </w:rPr>
        <w:t>U</w:t>
      </w:r>
      <w:r w:rsidR="00C62424" w:rsidRPr="00482371">
        <w:rPr>
          <w:rFonts w:ascii="Times New Roman" w:hAnsi="Times New Roman"/>
        </w:rPr>
        <w:t>e</w:t>
      </w:r>
      <w:r w:rsidR="00873F16" w:rsidRPr="00482371">
        <w:rPr>
          <w:rFonts w:ascii="Times New Roman" w:hAnsi="Times New Roman"/>
        </w:rPr>
        <w:t>s</w:t>
      </w:r>
      <w:proofErr w:type="spellEnd"/>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5F012617"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may not support the bandwidth of the initial UL BWP configured for normal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4188E149"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0ECBF3F6"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is 50 MHz, paging configuration for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and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5750718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29A23AF8"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20E02773"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11F48E6"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[5]</w:t>
      </w:r>
      <w:r w:rsidR="000B12C7">
        <w:rPr>
          <w:rFonts w:ascii="Times New Roman" w:hAnsi="Times New Roman"/>
        </w:rPr>
        <w:t>.</w:t>
      </w:r>
    </w:p>
    <w:p w14:paraId="7028F927" w14:textId="03EA1F48"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79B1F26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D4CE64A"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427594DA"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Msg3 transmission of the RedCap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2235EF1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proofErr w:type="spellStart"/>
      <w:r w:rsidR="00F46967" w:rsidRPr="00482371">
        <w:rPr>
          <w:rFonts w:ascii="Times New Roman" w:hAnsi="Times New Roman"/>
        </w:rPr>
        <w:t>U</w:t>
      </w:r>
      <w:r w:rsidR="00C62424" w:rsidRPr="00482371">
        <w:rPr>
          <w:rFonts w:ascii="Times New Roman" w:hAnsi="Times New Roman"/>
        </w:rPr>
        <w:t>e</w:t>
      </w:r>
      <w:r w:rsidR="00F46967" w:rsidRPr="00482371">
        <w:rPr>
          <w:rFonts w:ascii="Times New Roman" w:hAnsi="Times New Roman"/>
        </w:rPr>
        <w:t>s</w:t>
      </w:r>
      <w:proofErr w:type="spellEnd"/>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761D2FE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operate in a wide band system [15]</w:t>
      </w:r>
      <w:r w:rsidR="000B12C7">
        <w:rPr>
          <w:rFonts w:ascii="Times New Roman" w:hAnsi="Times New Roman"/>
        </w:rPr>
        <w:t>.</w:t>
      </w:r>
    </w:p>
    <w:p w14:paraId="12BE6D0F" w14:textId="6AC7320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[10]</w:t>
      </w:r>
      <w:r w:rsidR="000B12C7">
        <w:rPr>
          <w:rFonts w:ascii="Times New Roman" w:hAnsi="Times New Roman"/>
        </w:rPr>
        <w:t>.</w:t>
      </w:r>
    </w:p>
    <w:p w14:paraId="2E6A8722" w14:textId="5F1439E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(as well as common UL BWP shared with normal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[10]</w:t>
      </w:r>
      <w:r w:rsidR="000B12C7">
        <w:rPr>
          <w:rFonts w:ascii="Times New Roman" w:hAnsi="Times New Roman"/>
        </w:rPr>
        <w:t>.</w:t>
      </w:r>
    </w:p>
    <w:p w14:paraId="47CEDD0C" w14:textId="0B95EE2F"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3C93840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E5427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22BF66E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B589B2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65A993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7AA4627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lastRenderedPageBreak/>
        <w:t>UE identification and capability signaling</w:t>
      </w:r>
      <w:r w:rsidR="00D75211" w:rsidRPr="00482371">
        <w:rPr>
          <w:rFonts w:ascii="Times New Roman" w:hAnsi="Times New Roman"/>
          <w:b/>
          <w:bCs/>
        </w:rPr>
        <w:t>:</w:t>
      </w:r>
    </w:p>
    <w:p w14:paraId="43F92793" w14:textId="4EDB212D"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0BBE658F"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5A9227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4A9B7C0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55DD362B"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proofErr w:type="spellStart"/>
      <w:r w:rsidR="006539AA" w:rsidRPr="00482371">
        <w:rPr>
          <w:rFonts w:ascii="Times New Roman" w:hAnsi="Times New Roman"/>
        </w:rPr>
        <w:t>U</w:t>
      </w:r>
      <w:r w:rsidR="00C62424" w:rsidRPr="00482371">
        <w:rPr>
          <w:rFonts w:ascii="Times New Roman" w:hAnsi="Times New Roman"/>
        </w:rPr>
        <w:t>e</w:t>
      </w:r>
      <w:r w:rsidR="006539AA" w:rsidRPr="00482371">
        <w:rPr>
          <w:rFonts w:ascii="Times New Roman" w:hAnsi="Times New Roman"/>
        </w:rPr>
        <w:t>s</w:t>
      </w:r>
      <w:proofErr w:type="spellEnd"/>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63F0A036"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0FD1D609"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[27]</w:t>
      </w:r>
      <w:r w:rsidR="003847B2">
        <w:rPr>
          <w:rFonts w:ascii="Times New Roman" w:hAnsi="Times New Roman"/>
        </w:rPr>
        <w:t>.</w:t>
      </w:r>
    </w:p>
    <w:p w14:paraId="70BB5BEE" w14:textId="06C207F1"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proofErr w:type="spellStart"/>
      <w:r w:rsidR="000B62BC" w:rsidRPr="00482371">
        <w:rPr>
          <w:rFonts w:ascii="Times New Roman" w:hAnsi="Times New Roman"/>
        </w:rPr>
        <w:t>U</w:t>
      </w:r>
      <w:r w:rsidR="00C62424" w:rsidRPr="00482371">
        <w:rPr>
          <w:rFonts w:ascii="Times New Roman" w:hAnsi="Times New Roman"/>
        </w:rPr>
        <w:t>e</w:t>
      </w:r>
      <w:r w:rsidR="000B62BC" w:rsidRPr="00482371">
        <w:rPr>
          <w:rFonts w:ascii="Times New Roman" w:hAnsi="Times New Roman"/>
        </w:rPr>
        <w:t>s</w:t>
      </w:r>
      <w:proofErr w:type="spellEnd"/>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EE49089"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2F0CEA58"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proofErr w:type="spellStart"/>
      <w:r w:rsidR="00AA2588" w:rsidRPr="00482371">
        <w:rPr>
          <w:rFonts w:ascii="Times New Roman" w:hAnsi="Times New Roman"/>
        </w:rPr>
        <w:t>U</w:t>
      </w:r>
      <w:r w:rsidR="00C62424" w:rsidRPr="00482371">
        <w:rPr>
          <w:rFonts w:ascii="Times New Roman" w:hAnsi="Times New Roman"/>
        </w:rPr>
        <w:t>e</w:t>
      </w:r>
      <w:r w:rsidR="00AA2588" w:rsidRPr="00482371">
        <w:rPr>
          <w:rFonts w:ascii="Times New Roman" w:hAnsi="Times New Roman"/>
        </w:rPr>
        <w:t>s</w:t>
      </w:r>
      <w:proofErr w:type="spellEnd"/>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lastRenderedPageBreak/>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44" w:name="_Toc42165608"/>
      <w:bookmarkStart w:id="45" w:name="_Toc51768543"/>
      <w:bookmarkStart w:id="46" w:name="_Toc51771050"/>
      <w:r>
        <w:t>Conclusions</w:t>
      </w:r>
    </w:p>
    <w:p w14:paraId="57D5E269" w14:textId="5C452AC4"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5BB0BB7"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FDD </w:t>
      </w:r>
      <w:proofErr w:type="spellStart"/>
      <w:r w:rsidR="005965DB" w:rsidRPr="00482371">
        <w:rPr>
          <w:b/>
          <w:bCs/>
        </w:rPr>
        <w:t>U</w:t>
      </w:r>
      <w:r w:rsidR="00C62424" w:rsidRPr="00482371">
        <w:rPr>
          <w:b/>
          <w:bCs/>
        </w:rPr>
        <w:t>e</w:t>
      </w:r>
      <w:r w:rsidR="005965DB" w:rsidRPr="00482371">
        <w:rPr>
          <w:b/>
          <w:bCs/>
        </w:rPr>
        <w:t>s</w:t>
      </w:r>
      <w:proofErr w:type="spellEnd"/>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lastRenderedPageBreak/>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w:t>
            </w:r>
            <w:proofErr w:type="spellStart"/>
            <w:r>
              <w:rPr>
                <w:rFonts w:eastAsia="游明朝"/>
                <w:lang w:val="en-US" w:eastAsia="ja-JP"/>
              </w:rPr>
              <w:t>MHz.</w:t>
            </w:r>
            <w:proofErr w:type="spellEnd"/>
            <w:r>
              <w:rPr>
                <w:rFonts w:eastAsia="游明朝"/>
                <w:lang w:val="en-US" w:eastAsia="ja-JP"/>
              </w:rPr>
              <w:t xml:space="preserve">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Cost estimation for 40MHz is needed</w:t>
            </w:r>
            <w:r>
              <w:rPr>
                <w:rFonts w:eastAsia="游明朝"/>
                <w:lang w:val="en-US" w:eastAsia="ja-JP"/>
              </w:rPr>
              <w:t xml:space="preserve">. </w:t>
            </w:r>
            <w:r>
              <w:rPr>
                <w:rFonts w:eastAsia="游明朝"/>
                <w:lang w:val="en-US" w:eastAsia="ja-JP"/>
              </w:rPr>
              <w:t xml:space="preserve">To achieve 150Mbps peak data rate, it seems that doubling BW from 20MHz to 40MHz is more costly than other factors (e.g. modulation order, layers).  </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w:t>
            </w:r>
            <w:proofErr w:type="gramStart"/>
            <w:r w:rsidRPr="002C0538">
              <w:rPr>
                <w:lang w:val="en-US"/>
              </w:rPr>
              <w:t>to reword</w:t>
            </w:r>
            <w:proofErr w:type="gramEnd"/>
            <w:r w:rsidRPr="002C0538">
              <w:rPr>
                <w:lang w:val="en-US"/>
              </w:rPr>
              <w:t xml:space="preserve">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hint="eastAsia"/>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bl>
    <w:p w14:paraId="51832592" w14:textId="77777777" w:rsidR="005965DB" w:rsidRPr="00887169" w:rsidRDefault="005965DB" w:rsidP="003439DA">
      <w:pPr>
        <w:pStyle w:val="af"/>
      </w:pPr>
    </w:p>
    <w:p w14:paraId="6709D00F" w14:textId="77777777" w:rsidR="00090EF0" w:rsidRPr="000E647A" w:rsidRDefault="00090EF0" w:rsidP="00090EF0">
      <w:pPr>
        <w:pStyle w:val="2"/>
      </w:pPr>
      <w:r>
        <w:lastRenderedPageBreak/>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f"/>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f"/>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bl>
    <w:p w14:paraId="2287EBDB" w14:textId="77777777" w:rsidR="00037279" w:rsidRPr="002B0293" w:rsidRDefault="00037279" w:rsidP="002B0293">
      <w:pPr>
        <w:pStyle w:val="af"/>
        <w:rPr>
          <w:rFonts w:ascii="Times New Roman" w:hAnsi="Times New Roman"/>
        </w:rPr>
      </w:pPr>
    </w:p>
    <w:p w14:paraId="0603A5BA" w14:textId="24A38813" w:rsidR="00090EF0" w:rsidRPr="000E647A" w:rsidRDefault="00090EF0" w:rsidP="00090EF0">
      <w:pPr>
        <w:pStyle w:val="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f"/>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bl>
    <w:p w14:paraId="06E08758" w14:textId="77777777" w:rsidR="000133EA" w:rsidRDefault="000133EA" w:rsidP="00DD4206">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7B710201"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370D571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660AED68" w:rsidR="00954AF7" w:rsidRPr="00A63519" w:rsidRDefault="004370A7" w:rsidP="00E8041B">
      <w:pPr>
        <w:pStyle w:val="af"/>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090D2FD6"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is expected to be at least as good as that of FD-FDD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05B26465" w:rsidR="00090EF0" w:rsidRPr="000E647A" w:rsidRDefault="00090EF0" w:rsidP="00090EF0">
      <w:pPr>
        <w:pStyle w:val="3"/>
      </w:pPr>
      <w:bookmarkStart w:id="56" w:name="_Toc42165612"/>
      <w:bookmarkStart w:id="57" w:name="_Toc51768547"/>
      <w:bookmarkStart w:id="58" w:name="_Toc51771054"/>
      <w:r>
        <w:lastRenderedPageBreak/>
        <w:t>7</w:t>
      </w:r>
      <w:r w:rsidRPr="000E647A">
        <w:t>.</w:t>
      </w:r>
      <w:r>
        <w:t>4</w:t>
      </w:r>
      <w:r w:rsidRPr="000E647A">
        <w:t>.4</w:t>
      </w:r>
      <w:r w:rsidRPr="000E647A">
        <w:tab/>
        <w:t xml:space="preserve">Analysis of </w:t>
      </w:r>
      <w:r>
        <w:t xml:space="preserve">coexistence with legacy </w:t>
      </w:r>
      <w:proofErr w:type="spellStart"/>
      <w:r>
        <w:t>U</w:t>
      </w:r>
      <w:r w:rsidR="00C62424">
        <w:t>e</w:t>
      </w:r>
      <w:r>
        <w:t>s</w:t>
      </w:r>
      <w:bookmarkEnd w:id="56"/>
      <w:bookmarkEnd w:id="57"/>
      <w:bookmarkEnd w:id="58"/>
      <w:proofErr w:type="spellEnd"/>
    </w:p>
    <w:p w14:paraId="16D4D08B" w14:textId="5C63019D"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41120A09"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67D3564D"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49FAD9A5"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proofErr w:type="spellStart"/>
      <w:r w:rsidR="00EE06DB" w:rsidRPr="00A63519">
        <w:rPr>
          <w:rFonts w:ascii="Times New Roman" w:hAnsi="Times New Roman"/>
        </w:rPr>
        <w:t>U</w:t>
      </w:r>
      <w:r w:rsidR="00C62424" w:rsidRPr="00A63519">
        <w:rPr>
          <w:rFonts w:ascii="Times New Roman" w:hAnsi="Times New Roman"/>
        </w:rPr>
        <w:t>e</w:t>
      </w:r>
      <w:r w:rsidR="00EE06DB" w:rsidRPr="00A63519">
        <w:rPr>
          <w:rFonts w:ascii="Times New Roman" w:hAnsi="Times New Roman"/>
        </w:rPr>
        <w:t>s</w:t>
      </w:r>
      <w:proofErr w:type="spellEnd"/>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3A53D7C3"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proofErr w:type="spellStart"/>
      <w:r w:rsidRPr="00A63519">
        <w:rPr>
          <w:lang w:val="en-US" w:eastAsia="zh-CN"/>
        </w:rPr>
        <w:t>U</w:t>
      </w:r>
      <w:r w:rsidR="00C62424" w:rsidRPr="00A63519">
        <w:rPr>
          <w:lang w:val="en-US" w:eastAsia="zh-CN"/>
        </w:rPr>
        <w:t>e</w:t>
      </w:r>
      <w:r w:rsidRPr="00A63519">
        <w:rPr>
          <w:lang w:val="en-US" w:eastAsia="zh-CN"/>
        </w:rPr>
        <w:t>s</w:t>
      </w:r>
      <w:proofErr w:type="spellEnd"/>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7A4DC1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share resources with URLLC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66E81F0A"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proofErr w:type="spellStart"/>
      <w:r w:rsidR="00936958" w:rsidRPr="00A63519">
        <w:rPr>
          <w:rFonts w:ascii="Times New Roman" w:hAnsi="Times New Roman"/>
        </w:rPr>
        <w:t>U</w:t>
      </w:r>
      <w:r w:rsidR="00C62424" w:rsidRPr="00A63519">
        <w:rPr>
          <w:rFonts w:ascii="Times New Roman" w:hAnsi="Times New Roman"/>
        </w:rPr>
        <w:t>e</w:t>
      </w:r>
      <w:r w:rsidR="00936958" w:rsidRPr="00A63519">
        <w:rPr>
          <w:rFonts w:ascii="Times New Roman" w:hAnsi="Times New Roman"/>
        </w:rPr>
        <w:t>s</w:t>
      </w:r>
      <w:proofErr w:type="spellEnd"/>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609CB25D"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proofErr w:type="spellStart"/>
      <w:r w:rsidR="004C30CD" w:rsidRPr="00482371">
        <w:rPr>
          <w:b/>
          <w:bCs/>
        </w:rPr>
        <w:t>U</w:t>
      </w:r>
      <w:r w:rsidR="00C62424" w:rsidRPr="00482371">
        <w:rPr>
          <w:b/>
          <w:bCs/>
        </w:rPr>
        <w:t>e</w:t>
      </w:r>
      <w:r w:rsidR="004C30CD" w:rsidRPr="00482371">
        <w:rPr>
          <w:b/>
          <w:bCs/>
        </w:rPr>
        <w:t>s</w:t>
      </w:r>
      <w:proofErr w:type="spellEnd"/>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3947E605"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proofErr w:type="spellStart"/>
            <w:r w:rsidR="00084446">
              <w:rPr>
                <w:rFonts w:eastAsia="DengXian"/>
                <w:lang w:val="en-US" w:eastAsia="zh-CN"/>
              </w:rPr>
              <w:t>U</w:t>
            </w:r>
            <w:r w:rsidR="00C62424">
              <w:rPr>
                <w:rFonts w:eastAsia="DengXian"/>
                <w:lang w:val="en-US" w:eastAsia="zh-CN"/>
              </w:rPr>
              <w:t>e</w:t>
            </w:r>
            <w:r w:rsidR="00084446">
              <w:rPr>
                <w:rFonts w:eastAsia="DengXian"/>
                <w:lang w:val="en-US" w:eastAsia="zh-CN"/>
              </w:rPr>
              <w:t>s</w:t>
            </w:r>
            <w:proofErr w:type="spellEnd"/>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bl>
    <w:p w14:paraId="65B5D611" w14:textId="77777777" w:rsidR="00D24C97" w:rsidRPr="00A63519" w:rsidRDefault="00D24C97" w:rsidP="00A63519">
      <w:pPr>
        <w:pStyle w:val="af"/>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lastRenderedPageBreak/>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xml:space="preserve">]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5E3AF6F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AC1893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11DA3553" w:rsidR="00090EF0" w:rsidRPr="000E647A" w:rsidRDefault="00090EF0" w:rsidP="00090EF0">
      <w:pPr>
        <w:pStyle w:val="3"/>
      </w:pPr>
      <w:bookmarkStart w:id="74" w:name="_Toc42165618"/>
      <w:bookmarkStart w:id="75" w:name="_Toc51768553"/>
      <w:bookmarkStart w:id="76" w:name="_Toc51771060"/>
      <w:r>
        <w:t>7</w:t>
      </w:r>
      <w:r w:rsidRPr="000E647A">
        <w:t>.</w:t>
      </w:r>
      <w:r>
        <w:t>5</w:t>
      </w:r>
      <w:r w:rsidRPr="000E647A">
        <w:t>.4</w:t>
      </w:r>
      <w:r w:rsidRPr="000E647A">
        <w:tab/>
        <w:t xml:space="preserve">Analysis of </w:t>
      </w:r>
      <w:r>
        <w:t xml:space="preserve">coexistence with legacy </w:t>
      </w:r>
      <w:proofErr w:type="spellStart"/>
      <w:r>
        <w:t>U</w:t>
      </w:r>
      <w:r w:rsidR="00C62424">
        <w:t>e</w:t>
      </w:r>
      <w:r>
        <w:t>s</w:t>
      </w:r>
      <w:bookmarkEnd w:id="74"/>
      <w:bookmarkEnd w:id="75"/>
      <w:bookmarkEnd w:id="76"/>
      <w:proofErr w:type="spellEnd"/>
    </w:p>
    <w:p w14:paraId="0CEC834A" w14:textId="5934CBE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proofErr w:type="spellStart"/>
      <w:r w:rsidRPr="00ED3FEA">
        <w:t>U</w:t>
      </w:r>
      <w:r w:rsidR="00C62424" w:rsidRPr="00ED3FEA">
        <w:t>e</w:t>
      </w:r>
      <w:r w:rsidRPr="00ED3FEA">
        <w:t>s</w:t>
      </w:r>
      <w:proofErr w:type="spellEnd"/>
      <w:r w:rsidRPr="00ED3FEA">
        <w:t>.</w:t>
      </w:r>
    </w:p>
    <w:p w14:paraId="68757583" w14:textId="2C015332"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t>
      </w:r>
      <w:proofErr w:type="spellStart"/>
      <w:r w:rsidRPr="00ED3FEA">
        <w:rPr>
          <w:lang w:eastAsia="ja-JP"/>
        </w:rPr>
        <w:t>RedCap</w:t>
      </w:r>
      <w:proofErr w:type="spellEnd"/>
      <w:r w:rsidRPr="00ED3FEA">
        <w:rPr>
          <w:lang w:eastAsia="ja-JP"/>
        </w:rPr>
        <w:t xml:space="preserve">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processing time in a cell, it would schedule according to the worst-case timing which would degrade the performance of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w:t>
      </w:r>
      <w:proofErr w:type="gramStart"/>
      <w:r w:rsidRPr="00ED3FEA">
        <w:rPr>
          <w:lang w:eastAsia="ja-JP"/>
        </w:rPr>
        <w:t>In order to</w:t>
      </w:r>
      <w:proofErr w:type="gramEnd"/>
      <w:r w:rsidRPr="00ED3FEA">
        <w:rPr>
          <w:lang w:eastAsia="ja-JP"/>
        </w:rPr>
        <w:t xml:space="preserve">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688085BD"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77" w:name="_Toc42165619"/>
      <w:bookmarkStart w:id="78" w:name="_Toc51768554"/>
      <w:bookmarkStart w:id="79" w:name="_Toc51771061"/>
      <w:r>
        <w:lastRenderedPageBreak/>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47EE24A6"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38C8C96A"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proofErr w:type="spellStart"/>
      <w:r w:rsidR="00991199" w:rsidRPr="00ED3FEA">
        <w:rPr>
          <w:rFonts w:eastAsia="Times New Roman"/>
        </w:rPr>
        <w:t>U</w:t>
      </w:r>
      <w:r w:rsidR="00C62424" w:rsidRPr="00ED3FEA">
        <w:rPr>
          <w:rFonts w:eastAsia="Times New Roman"/>
        </w:rPr>
        <w:t>e</w:t>
      </w:r>
      <w:r w:rsidR="00991199" w:rsidRPr="00ED3FEA">
        <w:rPr>
          <w:rFonts w:eastAsia="Times New Roman"/>
        </w:rPr>
        <w:t>s</w:t>
      </w:r>
      <w:proofErr w:type="spellEnd"/>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18A989"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proofErr w:type="spellStart"/>
      <w:r w:rsidRPr="00ED3FEA">
        <w:rPr>
          <w:rFonts w:eastAsia="Times New Roman"/>
        </w:rPr>
        <w:t>U</w:t>
      </w:r>
      <w:r w:rsidR="00C62424" w:rsidRPr="00ED3FEA">
        <w:rPr>
          <w:rFonts w:eastAsia="Times New Roman"/>
        </w:rPr>
        <w:t>e</w:t>
      </w:r>
      <w:r w:rsidRPr="00ED3FEA">
        <w:rPr>
          <w:rFonts w:eastAsia="Times New Roman"/>
        </w:rPr>
        <w:t>s</w:t>
      </w:r>
      <w:proofErr w:type="spellEnd"/>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0B99933F"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proofErr w:type="spellStart"/>
      <w:r w:rsidR="00C70C86">
        <w:rPr>
          <w:b/>
          <w:bCs/>
        </w:rPr>
        <w:t>U</w:t>
      </w:r>
      <w:r w:rsidR="00C62424">
        <w:rPr>
          <w:b/>
          <w:bCs/>
        </w:rPr>
        <w:t>e</w:t>
      </w:r>
      <w:r w:rsidR="00C70C86">
        <w:rPr>
          <w:b/>
          <w:bCs/>
        </w:rPr>
        <w:t>s</w:t>
      </w:r>
      <w:proofErr w:type="spellEnd"/>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666F66D2"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hint="eastAsia"/>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638C2E1" w14:textId="2E8C8173" w:rsidR="00E6622E" w:rsidRDefault="00E6622E" w:rsidP="001E32CC">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1A98F69A" w14:textId="77777777" w:rsidR="00E6622E" w:rsidRPr="00ED3FEA" w:rsidRDefault="00E6622E" w:rsidP="001E32CC">
            <w:pPr>
              <w:jc w:val="both"/>
              <w:rPr>
                <w:lang w:val="en-US"/>
              </w:rPr>
            </w:pPr>
          </w:p>
        </w:tc>
      </w:tr>
    </w:tbl>
    <w:p w14:paraId="7CC55A5E" w14:textId="77777777" w:rsidR="00497682" w:rsidRDefault="00497682" w:rsidP="00497682">
      <w:pPr>
        <w:pStyle w:val="af"/>
      </w:pPr>
    </w:p>
    <w:p w14:paraId="18939EAD" w14:textId="18B6ADC5" w:rsidR="00090EF0" w:rsidRDefault="00090EF0" w:rsidP="00090EF0">
      <w:pPr>
        <w:pStyle w:val="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hint="eastAsia"/>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lastRenderedPageBreak/>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B4906BA"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24A0E06" w:rsidR="00090EF0" w:rsidRPr="000E647A" w:rsidRDefault="00090EF0" w:rsidP="00090EF0">
      <w:pPr>
        <w:pStyle w:val="3"/>
      </w:pPr>
      <w:bookmarkStart w:id="89" w:name="_Toc42165624"/>
      <w:bookmarkStart w:id="90" w:name="_Toc51768559"/>
      <w:bookmarkStart w:id="91" w:name="_Toc51771066"/>
      <w:r>
        <w:t>7</w:t>
      </w:r>
      <w:r w:rsidRPr="000E647A">
        <w:t>.</w:t>
      </w:r>
      <w:r>
        <w:t>6</w:t>
      </w:r>
      <w:r w:rsidRPr="000E647A">
        <w:t>.4</w:t>
      </w:r>
      <w:r w:rsidRPr="000E647A">
        <w:tab/>
        <w:t xml:space="preserve">Analysis of </w:t>
      </w:r>
      <w:r>
        <w:t xml:space="preserve">coexistence with legacy </w:t>
      </w:r>
      <w:proofErr w:type="spellStart"/>
      <w:r>
        <w:t>U</w:t>
      </w:r>
      <w:r w:rsidR="00C62424">
        <w:t>e</w:t>
      </w:r>
      <w:r>
        <w:t>s</w:t>
      </w:r>
      <w:bookmarkEnd w:id="89"/>
      <w:bookmarkEnd w:id="90"/>
      <w:bookmarkEnd w:id="91"/>
      <w:proofErr w:type="spellEnd"/>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285E25D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92" w:name="_Toc42165625"/>
      <w:bookmarkStart w:id="93" w:name="_Toc51768560"/>
      <w:bookmarkStart w:id="94" w:name="_Toc51771067"/>
      <w:r>
        <w:lastRenderedPageBreak/>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lastRenderedPageBreak/>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5064C6F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proofErr w:type="spellStart"/>
      <w:r w:rsidR="009F19EB" w:rsidRPr="000962AC">
        <w:rPr>
          <w:b/>
          <w:bCs/>
        </w:rPr>
        <w:t>U</w:t>
      </w:r>
      <w:r w:rsidR="00C62424" w:rsidRPr="000962AC">
        <w:rPr>
          <w:b/>
          <w:bCs/>
        </w:rPr>
        <w:t>e</w:t>
      </w:r>
      <w:r w:rsidR="009F19EB" w:rsidRPr="000962AC">
        <w:rPr>
          <w:b/>
          <w:bCs/>
        </w:rPr>
        <w:t>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13FA4512"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6B6DB260" w14:textId="2968788C"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lastRenderedPageBreak/>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25DBAAF9"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hint="eastAsia"/>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hint="eastAsia"/>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1880896"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1AA3646F" w14:textId="45EB4C41"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p w14:paraId="0950B425" w14:textId="1E021608"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a8"/>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0344543E"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hint="eastAsia"/>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6A45A3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44D493D1" w14:textId="38741B2D"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7482BBB"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hint="eastAsia"/>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bl>
    <w:p w14:paraId="228528D1" w14:textId="77777777" w:rsidR="009F19EB" w:rsidRPr="00A2056C"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f"/>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lastRenderedPageBreak/>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lastRenderedPageBreak/>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hint="eastAsia"/>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bl>
    <w:p w14:paraId="24041C0C" w14:textId="77777777" w:rsidR="0018302D" w:rsidRPr="00ED3FEA"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C06219A"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7E4BC3F6"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proofErr w:type="spellStart"/>
      <w:r>
        <w:t>U</w:t>
      </w:r>
      <w:r w:rsidR="00C62424">
        <w:t>e</w:t>
      </w:r>
      <w:r>
        <w:t>s</w:t>
      </w:r>
      <w:proofErr w:type="spellEnd"/>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8059359" w:rsidR="007308A2" w:rsidRPr="00ED3FEA" w:rsidRDefault="007308A2" w:rsidP="00E8041B">
      <w:pPr>
        <w:pStyle w:val="af"/>
        <w:numPr>
          <w:ilvl w:val="0"/>
          <w:numId w:val="9"/>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proofErr w:type="spellStart"/>
      <w:r w:rsidR="00F84144" w:rsidRPr="00ED3FEA">
        <w:rPr>
          <w:rFonts w:ascii="Times New Roman" w:hAnsi="Times New Roman"/>
        </w:rPr>
        <w:t>U</w:t>
      </w:r>
      <w:r w:rsidR="00C62424" w:rsidRPr="00ED3FEA">
        <w:rPr>
          <w:rFonts w:ascii="Times New Roman" w:hAnsi="Times New Roman"/>
        </w:rPr>
        <w:t>e</w:t>
      </w:r>
      <w:r w:rsidR="00F84144" w:rsidRPr="00ED3FEA">
        <w:rPr>
          <w:rFonts w:ascii="Times New Roman" w:hAnsi="Times New Roman"/>
        </w:rPr>
        <w:t>s</w:t>
      </w:r>
      <w:proofErr w:type="spellEnd"/>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0CBC035"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Pr="00ED3FEA">
        <w:rPr>
          <w:rFonts w:ascii="Times New Roman" w:hAnsi="Times New Roman"/>
        </w:rPr>
        <w:t>U</w:t>
      </w:r>
      <w:r w:rsidR="00C62424" w:rsidRPr="00ED3FEA">
        <w:rPr>
          <w:rFonts w:ascii="Times New Roman" w:hAnsi="Times New Roman"/>
        </w:rPr>
        <w:t>e</w:t>
      </w:r>
      <w:r w:rsidR="0007562D" w:rsidRPr="00ED3FEA">
        <w:rPr>
          <w:rFonts w:ascii="Times New Roman" w:hAnsi="Times New Roman"/>
        </w:rPr>
        <w:t>s</w:t>
      </w:r>
      <w:proofErr w:type="spellEnd"/>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w:t>
      </w:r>
      <w:r w:rsidR="006A7670" w:rsidRPr="00ED3FEA">
        <w:rPr>
          <w:rFonts w:ascii="Times New Roman" w:hAnsi="Times New Roman"/>
        </w:rPr>
        <w:lastRenderedPageBreak/>
        <w:t xml:space="preserve">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34320CA0"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proofErr w:type="spellStart"/>
      <w:r w:rsidR="00381F68" w:rsidRPr="00ED3FEA">
        <w:rPr>
          <w:rFonts w:ascii="Times New Roman" w:hAnsi="Times New Roman"/>
        </w:rPr>
        <w:t>U</w:t>
      </w:r>
      <w:r w:rsidR="00C62424"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4F2BDE00"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proofErr w:type="spellStart"/>
      <w:r w:rsidR="00845E8C" w:rsidRPr="000962AC">
        <w:rPr>
          <w:b/>
          <w:bCs/>
        </w:rPr>
        <w:t>U</w:t>
      </w:r>
      <w:r w:rsidR="00C62424" w:rsidRPr="000962AC">
        <w:rPr>
          <w:b/>
          <w:bCs/>
        </w:rPr>
        <w:t>e</w:t>
      </w:r>
      <w:r w:rsidR="00845E8C" w:rsidRPr="000962AC">
        <w:rPr>
          <w:b/>
          <w:bCs/>
        </w:rPr>
        <w:t>s</w:t>
      </w:r>
      <w:proofErr w:type="spellEnd"/>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04FDB17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proofErr w:type="spellStart"/>
            <w:r>
              <w:rPr>
                <w:lang w:val="en-US" w:eastAsia="ko-KR"/>
              </w:rPr>
              <w:t>U</w:t>
            </w:r>
            <w:r w:rsidR="00C62424">
              <w:rPr>
                <w:lang w:val="en-US" w:eastAsia="ko-KR"/>
              </w:rPr>
              <w:t>e</w:t>
            </w:r>
            <w:r>
              <w:rPr>
                <w:lang w:val="en-US" w:eastAsia="ko-KR"/>
              </w:rPr>
              <w:t>s</w:t>
            </w:r>
            <w:proofErr w:type="spellEnd"/>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hint="eastAsia"/>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lastRenderedPageBreak/>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hint="eastAsia"/>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hint="eastAsia"/>
                <w:lang w:val="en-US" w:eastAsia="ja-JP"/>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0CB607C1"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proofErr w:type="spellStart"/>
      <w:r w:rsidRPr="00ED3FEA">
        <w:rPr>
          <w:rFonts w:ascii="Times New Roman" w:hAnsi="Times New Roman"/>
        </w:rPr>
        <w:t>U</w:t>
      </w:r>
      <w:r w:rsidR="00F65727"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3F0987FC"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w:t>
      </w:r>
      <w:r w:rsidR="00381F68" w:rsidRPr="00ED3FEA">
        <w:rPr>
          <w:rFonts w:ascii="Times New Roman" w:hAnsi="Times New Roman"/>
        </w:rPr>
        <w:lastRenderedPageBreak/>
        <w:t xml:space="preserve">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proofErr w:type="spellStart"/>
      <w:r w:rsidR="00381F68" w:rsidRPr="00ED3FEA">
        <w:rPr>
          <w:rFonts w:ascii="Times New Roman" w:hAnsi="Times New Roman"/>
        </w:rPr>
        <w:t>U</w:t>
      </w:r>
      <w:r w:rsidR="00F65727"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3D776C38"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w:t>
            </w:r>
          </w:p>
          <w:p w14:paraId="5A0169A5" w14:textId="18F28099"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f"/>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f"/>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59EC856D"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proofErr w:type="spellStart"/>
      <w:r>
        <w:t>U</w:t>
      </w:r>
      <w:r w:rsidR="00F65727">
        <w:t>e</w:t>
      </w:r>
      <w:r>
        <w:t>s</w:t>
      </w:r>
      <w:proofErr w:type="spellEnd"/>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lastRenderedPageBreak/>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8"/>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lastRenderedPageBreak/>
              <w:t>For FR2, add:</w:t>
            </w:r>
            <w:r>
              <w:rPr>
                <w:rFonts w:hint="eastAsia"/>
                <w:lang w:val="en-US" w:eastAsia="zh-CN"/>
              </w:rPr>
              <w:t xml:space="preserve"> </w:t>
            </w:r>
          </w:p>
          <w:p w14:paraId="04413F45" w14:textId="77777777" w:rsidR="00971431"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af"/>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af"/>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a8"/>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a8"/>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af"/>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a8"/>
              <w:numPr>
                <w:ilvl w:val="0"/>
                <w:numId w:val="25"/>
              </w:numPr>
              <w:jc w:val="both"/>
              <w:rPr>
                <w:lang w:val="en-US"/>
              </w:rPr>
            </w:pPr>
            <w:r>
              <w:rPr>
                <w:lang w:val="en-US"/>
              </w:rPr>
              <w:t>20MHz, 1 layer, 1Rx, doubled N1 and N2</w:t>
            </w:r>
          </w:p>
          <w:p w14:paraId="22FB73D1" w14:textId="77777777" w:rsidR="00CB64FD" w:rsidRDefault="00FE0FE5" w:rsidP="00FE0FE5">
            <w:pPr>
              <w:pStyle w:val="a8"/>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a8"/>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lastRenderedPageBreak/>
              <w:t>For FR1 TDD, add:</w:t>
            </w:r>
          </w:p>
          <w:p w14:paraId="779C84B6" w14:textId="6AE1FED9" w:rsidR="00F65727" w:rsidRPr="00F65727" w:rsidRDefault="00F65727" w:rsidP="00F65727">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hint="eastAsia"/>
                <w:lang w:val="en-US" w:eastAsia="ja-JP"/>
              </w:rPr>
            </w:pPr>
            <w:r>
              <w:rPr>
                <w:rFonts w:eastAsia="游明朝"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hint="eastAsia"/>
              </w:rPr>
            </w:pPr>
            <w:r>
              <w:rPr>
                <w:rFonts w:ascii="Times New Roman" w:hAnsi="Times New Roman"/>
              </w:rPr>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bookmarkStart w:id="101" w:name="_GoBack"/>
            <w:bookmarkEnd w:id="101"/>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36A9C"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36A9C"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36A9C"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36A9C"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36A9C"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36A9C"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36A9C"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36A9C"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36A9C"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36A9C"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36A9C"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36A9C"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36A9C"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036A9C"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36A9C"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36A9C"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36A9C"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36A9C"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36A9C"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36A9C"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36A9C"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36A9C"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036A9C"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36A9C"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36A9C"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36A9C"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36A9C"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36A9C"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36A9C"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36A9C"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36A9C"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36A9C"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36A9C"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36A9C"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36A9C"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36A9C"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36A9C"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36A9C"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461B" w14:textId="77777777" w:rsidR="00036A9C" w:rsidRDefault="00036A9C" w:rsidP="00581A60">
      <w:pPr>
        <w:spacing w:after="0"/>
      </w:pPr>
      <w:r>
        <w:separator/>
      </w:r>
    </w:p>
  </w:endnote>
  <w:endnote w:type="continuationSeparator" w:id="0">
    <w:p w14:paraId="160BAB3B" w14:textId="77777777" w:rsidR="00036A9C" w:rsidRDefault="00036A9C" w:rsidP="00581A60">
      <w:pPr>
        <w:spacing w:after="0"/>
      </w:pPr>
      <w:r>
        <w:continuationSeparator/>
      </w:r>
    </w:p>
  </w:endnote>
  <w:endnote w:type="continuationNotice" w:id="1">
    <w:p w14:paraId="27B30CA0" w14:textId="77777777" w:rsidR="00036A9C" w:rsidRDefault="00036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C391" w14:textId="77777777" w:rsidR="00036A9C" w:rsidRDefault="00036A9C" w:rsidP="00581A60">
      <w:pPr>
        <w:spacing w:after="0"/>
      </w:pPr>
      <w:r>
        <w:separator/>
      </w:r>
    </w:p>
  </w:footnote>
  <w:footnote w:type="continuationSeparator" w:id="0">
    <w:p w14:paraId="56A9D6E3" w14:textId="77777777" w:rsidR="00036A9C" w:rsidRDefault="00036A9C" w:rsidP="00581A60">
      <w:pPr>
        <w:spacing w:after="0"/>
      </w:pPr>
      <w:r>
        <w:continuationSeparator/>
      </w:r>
    </w:p>
  </w:footnote>
  <w:footnote w:type="continuationNotice" w:id="1">
    <w:p w14:paraId="092225BC" w14:textId="77777777" w:rsidR="00036A9C" w:rsidRDefault="00036A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6A9C"/>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22E"/>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C7052"/>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3A0E2-4D07-4CE0-B055-79EE0ADB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68</Pages>
  <Words>25395</Words>
  <Characters>144756</Characters>
  <Application>Microsoft Office Word</Application>
  <DocSecurity>0</DocSecurity>
  <Lines>1206</Lines>
  <Paragraphs>339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Sharp</cp:lastModifiedBy>
  <cp:revision>36</cp:revision>
  <dcterms:created xsi:type="dcterms:W3CDTF">2020-10-28T07:37:00Z</dcterms:created>
  <dcterms:modified xsi:type="dcterms:W3CDTF">2020-10-28T08:37:00Z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