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proofErr w:type="gramStart"/>
      <w:r w:rsidRPr="00BF0EA9">
        <w:rPr>
          <w:rFonts w:ascii="Arial" w:hAnsi="Arial" w:cs="Arial"/>
          <w:b/>
          <w:lang w:val="fr-FR"/>
        </w:rPr>
        <w:t>Source:</w:t>
      </w:r>
      <w:proofErr w:type="gramEnd"/>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 xml:space="preserve">Document </w:t>
      </w:r>
      <w:proofErr w:type="gramStart"/>
      <w:r w:rsidRPr="00BF0EA9">
        <w:rPr>
          <w:rFonts w:ascii="Arial" w:hAnsi="Arial" w:cs="Arial"/>
          <w:b/>
          <w:lang w:val="fr-FR"/>
        </w:rPr>
        <w:t>for:</w:t>
      </w:r>
      <w:proofErr w:type="gramEnd"/>
      <w:r w:rsidRPr="00BF0EA9">
        <w:rPr>
          <w:rFonts w:ascii="Arial" w:hAnsi="Arial" w:cs="Arial"/>
          <w:b/>
          <w:lang w:val="fr-FR"/>
        </w:rPr>
        <w:tab/>
        <w:t>Discussion</w:t>
      </w:r>
      <w:r w:rsidR="00665A88" w:rsidRPr="00BF0EA9">
        <w:rPr>
          <w:rFonts w:ascii="Arial" w:hAnsi="Arial" w:cs="Arial"/>
          <w:b/>
          <w:lang w:val="fr-FR"/>
        </w:rPr>
        <w:t xml:space="preserve">, </w:t>
      </w:r>
      <w:proofErr w:type="spellStart"/>
      <w:r w:rsidR="00665A88" w:rsidRPr="00BF0EA9">
        <w:rPr>
          <w:rFonts w:ascii="Arial" w:hAnsi="Arial" w:cs="Arial"/>
          <w:b/>
          <w:lang w:val="fr-FR"/>
        </w:rPr>
        <w:t>Decision</w:t>
      </w:r>
      <w:proofErr w:type="spellEnd"/>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Heading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Hyperlink"/>
          </w:rPr>
          <w:t>R1-2009281</w:t>
        </w:r>
      </w:hyperlink>
      <w:r w:rsidR="00E83293">
        <w:t xml:space="preserve">. </w:t>
      </w:r>
    </w:p>
    <w:p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246"/>
        <w:gridCol w:w="8385"/>
      </w:tblGrid>
      <w:tr w:rsidR="003915AD" w:rsidTr="000A0B38">
        <w:tc>
          <w:tcPr>
            <w:tcW w:w="1246" w:type="dxa"/>
            <w:shd w:val="clear" w:color="auto" w:fill="D9D9D9" w:themeFill="background1" w:themeFillShade="D9"/>
          </w:tcPr>
          <w:p w:rsidR="003915AD" w:rsidRPr="003915AD" w:rsidRDefault="003915AD" w:rsidP="003915AD">
            <w:pPr>
              <w:rPr>
                <w:b/>
                <w:bCs/>
              </w:rPr>
            </w:pPr>
            <w:r w:rsidRPr="003915AD">
              <w:rPr>
                <w:b/>
                <w:bCs/>
              </w:rPr>
              <w:t>Company</w:t>
            </w:r>
          </w:p>
        </w:tc>
        <w:tc>
          <w:tcPr>
            <w:tcW w:w="8385"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0A0B38">
        <w:tc>
          <w:tcPr>
            <w:tcW w:w="1246" w:type="dxa"/>
          </w:tcPr>
          <w:p w:rsidR="003915AD" w:rsidRDefault="00C8707B" w:rsidP="003915AD">
            <w:r>
              <w:t>Nokia</w:t>
            </w:r>
          </w:p>
        </w:tc>
        <w:tc>
          <w:tcPr>
            <w:tcW w:w="8385"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proofErr w:type="gramStart"/>
            <w:r w:rsidR="00971DED" w:rsidRPr="00971DED">
              <w:rPr>
                <w:rFonts w:eastAsia="Malgun Gothic"/>
                <w:color w:val="0070C0"/>
              </w:rPr>
              <w:t>document</w:t>
            </w:r>
            <w:proofErr w:type="gramEnd"/>
            <w:r w:rsidR="00971DED" w:rsidRPr="00971DED">
              <w:rPr>
                <w:rFonts w:eastAsia="Malgun Gothic"/>
                <w:color w:val="0070C0"/>
              </w:rPr>
              <w:t xml:space="preserve"> the findings related to the objectives of the study item</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lastRenderedPageBreak/>
              <w:t>Evaluation sections:</w:t>
            </w:r>
            <w:r w:rsidRPr="00971DED">
              <w:t xml:space="preserve"> We suggest deleting sections 8, 9 and 10 and making section 7 just “XR </w:t>
            </w:r>
            <w:r>
              <w:t xml:space="preserve">Evaluation for NR”. We can add sub-structure and possibly have a split of </w:t>
            </w:r>
            <w:proofErr w:type="gramStart"/>
            <w:r>
              <w:t>7.1,…</w:t>
            </w:r>
            <w:proofErr w:type="gramEnd"/>
            <w:r>
              <w:t>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0A0B38">
        <w:tc>
          <w:tcPr>
            <w:tcW w:w="1246" w:type="dxa"/>
          </w:tcPr>
          <w:p w:rsidR="003915AD" w:rsidRDefault="00BD7691" w:rsidP="003915AD">
            <w:r>
              <w:lastRenderedPageBreak/>
              <w:t>Apple</w:t>
            </w:r>
          </w:p>
        </w:tc>
        <w:tc>
          <w:tcPr>
            <w:tcW w:w="8385"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 xml:space="preserve">Since no study has been conducted in RAN1 yet on XR-- even the evaluation assumptions are still to start, it is premature to identify the capacity and power </w:t>
            </w:r>
            <w:proofErr w:type="spellStart"/>
            <w:r>
              <w:t>tradeoff</w:t>
            </w:r>
            <w:proofErr w:type="spellEnd"/>
            <w:r>
              <w:t xml:space="preserve"> under Section 8.2, so we suggest </w:t>
            </w:r>
            <w:proofErr w:type="gramStart"/>
            <w:r>
              <w:t>to remove</w:t>
            </w:r>
            <w:proofErr w:type="gramEnd"/>
            <w:r>
              <w:t xml:space="preserve"> Section 8.2. For the same reason, we also suggest </w:t>
            </w:r>
            <w:proofErr w:type="gramStart"/>
            <w:r>
              <w:t>to remove</w:t>
            </w:r>
            <w:proofErr w:type="gramEnd"/>
            <w:r>
              <w:t xml:space="preser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 xml:space="preserve">Capacity and Power </w:t>
            </w:r>
            <w:proofErr w:type="spellStart"/>
            <w:r w:rsidRPr="00BD7691">
              <w:rPr>
                <w:strike/>
              </w:rPr>
              <w:t>Tradeoff</w:t>
            </w:r>
            <w:proofErr w:type="spellEnd"/>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0A0B38">
        <w:tc>
          <w:tcPr>
            <w:tcW w:w="1246" w:type="dxa"/>
          </w:tcPr>
          <w:p w:rsidR="003915AD" w:rsidRDefault="007F3BB2" w:rsidP="003915AD">
            <w:r>
              <w:lastRenderedPageBreak/>
              <w:t>CATT</w:t>
            </w:r>
          </w:p>
        </w:tc>
        <w:tc>
          <w:tcPr>
            <w:tcW w:w="8385" w:type="dxa"/>
          </w:tcPr>
          <w:p w:rsidR="007F3BB2" w:rsidRDefault="007F3BB2" w:rsidP="007F3BB2">
            <w:pPr>
              <w:pStyle w:val="TOC1"/>
            </w:pPr>
            <w:r>
              <w:t xml:space="preserve">Our view is that the evaluation methodologies could be in one section </w:t>
            </w:r>
            <w:r w:rsidR="002370A4">
              <w:t>including the following</w:t>
            </w:r>
          </w:p>
          <w:p w:rsidR="007F3BB2" w:rsidRDefault="007F3BB2" w:rsidP="007F3BB2">
            <w:pPr>
              <w:pStyle w:val="TOC1"/>
              <w:numPr>
                <w:ilvl w:val="0"/>
                <w:numId w:val="12"/>
              </w:numPr>
            </w:pPr>
            <w:r>
              <w:t>Deployment scenarios</w:t>
            </w:r>
          </w:p>
          <w:p w:rsidR="007F3BB2" w:rsidRDefault="007F3BB2" w:rsidP="007F3BB2">
            <w:pPr>
              <w:pStyle w:val="TOC1"/>
              <w:numPr>
                <w:ilvl w:val="0"/>
                <w:numId w:val="12"/>
              </w:numPr>
            </w:pPr>
            <w:r>
              <w:t>Link and system level Simulation assumptions</w:t>
            </w:r>
          </w:p>
          <w:p w:rsidR="007F3BB2" w:rsidRDefault="007F3BB2" w:rsidP="007F3BB2">
            <w:pPr>
              <w:pStyle w:val="TOC1"/>
              <w:numPr>
                <w:ilvl w:val="0"/>
                <w:numId w:val="12"/>
              </w:numPr>
            </w:pPr>
            <w:r>
              <w:t>Performance matrix – KPI</w:t>
            </w:r>
          </w:p>
          <w:p w:rsidR="007F3BB2" w:rsidRDefault="007F3BB2" w:rsidP="007F3BB2">
            <w:pPr>
              <w:pStyle w:val="TOC1"/>
              <w:numPr>
                <w:ilvl w:val="1"/>
                <w:numId w:val="12"/>
              </w:numPr>
            </w:pPr>
            <w:r>
              <w:t>System Capacity and coverage</w:t>
            </w:r>
          </w:p>
          <w:p w:rsidR="007F3BB2" w:rsidRDefault="007F3BB2" w:rsidP="007F3BB2">
            <w:pPr>
              <w:pStyle w:val="TOC1"/>
              <w:numPr>
                <w:ilvl w:val="1"/>
                <w:numId w:val="12"/>
              </w:numPr>
            </w:pPr>
            <w:r>
              <w:t>Power consumption</w:t>
            </w:r>
          </w:p>
          <w:p w:rsidR="007F3BB2" w:rsidRDefault="007F3BB2" w:rsidP="007F3BB2">
            <w:pPr>
              <w:pStyle w:val="TOC1"/>
              <w:numPr>
                <w:ilvl w:val="1"/>
                <w:numId w:val="12"/>
              </w:numPr>
            </w:pPr>
            <w:r>
              <w:t>UE mobility</w:t>
            </w:r>
          </w:p>
          <w:p w:rsidR="002370A4" w:rsidRDefault="007F3BB2" w:rsidP="007F3BB2">
            <w:pPr>
              <w:pStyle w:val="TOC1"/>
              <w:numPr>
                <w:ilvl w:val="0"/>
                <w:numId w:val="12"/>
              </w:numPr>
            </w:pPr>
            <w:r>
              <w:t>Traffic models for XR applications</w:t>
            </w:r>
          </w:p>
          <w:p w:rsidR="007F3BB2" w:rsidRDefault="002370A4" w:rsidP="002370A4">
            <w:pPr>
              <w:pStyle w:val="TOC1"/>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7F3BB2" w:rsidRDefault="007F3BB2" w:rsidP="007F3BB2">
            <w:pPr>
              <w:pStyle w:val="TOC1"/>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lastRenderedPageBreak/>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0A0B38">
        <w:tc>
          <w:tcPr>
            <w:tcW w:w="1246" w:type="dxa"/>
          </w:tcPr>
          <w:p w:rsidR="003915AD" w:rsidRDefault="00BF0EA9" w:rsidP="003915AD">
            <w:pPr>
              <w:rPr>
                <w:lang w:eastAsia="zh-CN"/>
              </w:rPr>
            </w:pPr>
            <w:proofErr w:type="spellStart"/>
            <w:proofErr w:type="gramStart"/>
            <w:r>
              <w:rPr>
                <w:rFonts w:hint="eastAsia"/>
                <w:lang w:eastAsia="zh-CN"/>
              </w:rPr>
              <w:lastRenderedPageBreak/>
              <w:t>ZTE,Sanechips</w:t>
            </w:r>
            <w:proofErr w:type="spellEnd"/>
            <w:proofErr w:type="gramEnd"/>
          </w:p>
        </w:tc>
        <w:tc>
          <w:tcPr>
            <w:tcW w:w="8385"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 xml:space="preserve">Capacity and Power </w:t>
            </w:r>
            <w:proofErr w:type="spellStart"/>
            <w:r w:rsidRPr="002235BC">
              <w:rPr>
                <w:strike/>
                <w:color w:val="FF0000"/>
              </w:rPr>
              <w:t>Tradeoff</w:t>
            </w:r>
            <w:proofErr w:type="spellEnd"/>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 xml:space="preserve">(Editor’s note: UE staggering means that traffic arrivals at </w:t>
            </w:r>
            <w:proofErr w:type="spellStart"/>
            <w:r w:rsidRPr="002235BC">
              <w:rPr>
                <w:strike/>
                <w:color w:val="FF0000"/>
              </w:rPr>
              <w:t>gNB</w:t>
            </w:r>
            <w:proofErr w:type="spellEnd"/>
            <w:r w:rsidRPr="002235BC">
              <w:rPr>
                <w:strike/>
                <w:color w:val="FF0000"/>
              </w:rPr>
              <w:t xml:space="preserve">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lastRenderedPageBreak/>
              <w:t>*** Unchanged Omitted***</w:t>
            </w:r>
          </w:p>
          <w:p w:rsidR="00BF0EA9" w:rsidRPr="00723190" w:rsidRDefault="00BF0EA9" w:rsidP="00BF0EA9">
            <w:pPr>
              <w:rPr>
                <w:lang w:eastAsia="zh-CN"/>
              </w:rPr>
            </w:pPr>
            <w:r>
              <w:rPr>
                <w:rFonts w:hint="eastAsia"/>
                <w:lang w:eastAsia="zh-CN"/>
              </w:rPr>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w:t>
            </w:r>
            <w:proofErr w:type="gramStart"/>
            <w:r>
              <w:rPr>
                <w:rFonts w:hint="eastAsia"/>
                <w:lang w:eastAsia="zh-CN"/>
              </w:rPr>
              <w:t>sufficient</w:t>
            </w:r>
            <w:proofErr w:type="gramEnd"/>
            <w:r>
              <w:rPr>
                <w:rFonts w:hint="eastAsia"/>
                <w:lang w:eastAsia="zh-CN"/>
              </w:rPr>
              <w:t xml:space="preserve">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0A0B38">
        <w:tc>
          <w:tcPr>
            <w:tcW w:w="1246" w:type="dxa"/>
          </w:tcPr>
          <w:p w:rsidR="003915AD" w:rsidRDefault="00ED6516" w:rsidP="003915AD">
            <w:r w:rsidRPr="00ED6516">
              <w:rPr>
                <w:sz w:val="18"/>
                <w:szCs w:val="18"/>
              </w:rPr>
              <w:lastRenderedPageBreak/>
              <w:t>FUTUREWEI</w:t>
            </w:r>
          </w:p>
        </w:tc>
        <w:tc>
          <w:tcPr>
            <w:tcW w:w="8385"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0A0B38">
        <w:tc>
          <w:tcPr>
            <w:tcW w:w="1246" w:type="dxa"/>
          </w:tcPr>
          <w:p w:rsidR="003915AD" w:rsidRPr="003333FE" w:rsidRDefault="003333FE" w:rsidP="003915AD">
            <w:r w:rsidRPr="003333FE">
              <w:t>Ericsson</w:t>
            </w:r>
          </w:p>
        </w:tc>
        <w:tc>
          <w:tcPr>
            <w:tcW w:w="8385" w:type="dxa"/>
          </w:tcPr>
          <w:p w:rsidR="003333FE" w:rsidRPr="003333FE" w:rsidRDefault="003333FE" w:rsidP="003333FE">
            <w:pPr>
              <w:pStyle w:val="ListParagraph"/>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ListParagraph"/>
              <w:spacing w:line="240" w:lineRule="auto"/>
              <w:ind w:left="360"/>
              <w:rPr>
                <w:rFonts w:ascii="Times New Roman" w:hAnsi="Times New Roman" w:cs="Times New Roman"/>
                <w:szCs w:val="22"/>
                <w:lang w:eastAsia="zh-CN"/>
              </w:rPr>
            </w:pPr>
          </w:p>
          <w:p w:rsidR="003333FE" w:rsidRPr="003333FE" w:rsidRDefault="003333FE" w:rsidP="003333FE">
            <w:pPr>
              <w:pStyle w:val="ListParagraph"/>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It is not necessary 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0A0B38">
        <w:tc>
          <w:tcPr>
            <w:tcW w:w="1246" w:type="dxa"/>
          </w:tcPr>
          <w:p w:rsidR="003915AD" w:rsidRDefault="0076574C" w:rsidP="003915AD">
            <w:r w:rsidRPr="0076574C">
              <w:rPr>
                <w:rFonts w:hint="eastAsia"/>
              </w:rPr>
              <w:t>LG</w:t>
            </w:r>
          </w:p>
        </w:tc>
        <w:tc>
          <w:tcPr>
            <w:tcW w:w="8385" w:type="dxa"/>
          </w:tcPr>
          <w:p w:rsidR="003915AD" w:rsidRDefault="0076574C" w:rsidP="003915AD">
            <w:pPr>
              <w:rPr>
                <w:rFonts w:eastAsia="Malgun Gothic"/>
                <w:lang w:eastAsia="ko-KR"/>
              </w:rPr>
            </w:pPr>
            <w:r>
              <w:rPr>
                <w:rFonts w:eastAsia="Malgun Gothic" w:hint="eastAsia"/>
                <w:lang w:eastAsia="ko-KR"/>
              </w:rPr>
              <w:t>Similar with comments from other companies, it seems better to keep rough structure for evaluation section rather than detailed subsections</w:t>
            </w:r>
            <w:r>
              <w:rPr>
                <w:rFonts w:eastAsia="Malgun Gothic"/>
                <w:lang w:eastAsia="ko-KR"/>
              </w:rPr>
              <w:t xml:space="preserve"> at this stage</w:t>
            </w:r>
            <w:r>
              <w:rPr>
                <w:rFonts w:eastAsia="Malgun Gothic" w:hint="eastAsia"/>
                <w:lang w:eastAsia="ko-KR"/>
              </w:rPr>
              <w:t xml:space="preserve">. </w:t>
            </w:r>
            <w:r>
              <w:rPr>
                <w:rFonts w:eastAsia="Malgun Gothic"/>
                <w:lang w:eastAsia="ko-KR"/>
              </w:rPr>
              <w:t>We are open to discuss either having single section for evaluation as Nokia suggested or having sections for each evaluation aspects but with removing detailed subsections as Apple commented.</w:t>
            </w:r>
          </w:p>
          <w:p w:rsidR="0076574C" w:rsidRDefault="0076574C" w:rsidP="0076574C">
            <w:pPr>
              <w:rPr>
                <w:rFonts w:eastAsia="Malgun Gothic"/>
                <w:lang w:eastAsia="ko-KR"/>
              </w:rPr>
            </w:pPr>
            <w:r>
              <w:rPr>
                <w:rFonts w:eastAsia="Malgun Gothic" w:hint="eastAsia"/>
                <w:lang w:eastAsia="ko-KR"/>
              </w:rPr>
              <w:t xml:space="preserve">On the other hand, </w:t>
            </w:r>
            <w:r w:rsidR="00CE61EE">
              <w:rPr>
                <w:rFonts w:eastAsia="Malgun Gothic"/>
                <w:lang w:eastAsia="ko-KR"/>
              </w:rPr>
              <w:t>it seems unclear at this stage</w:t>
            </w:r>
            <w:r>
              <w:rPr>
                <w:rFonts w:eastAsia="Malgun Gothic" w:hint="eastAsia"/>
                <w:lang w:eastAsia="ko-KR"/>
              </w:rPr>
              <w:t xml:space="preserve"> whether/how RAN1 perform evaluation </w:t>
            </w:r>
            <w:r>
              <w:rPr>
                <w:rFonts w:eastAsia="Malgun Gothic"/>
                <w:lang w:eastAsia="ko-KR"/>
              </w:rPr>
              <w:t xml:space="preserve">of mobility aspect </w:t>
            </w:r>
            <w:r w:rsidR="00CE61EE">
              <w:rPr>
                <w:rFonts w:eastAsia="Malgun Gothic"/>
                <w:lang w:eastAsia="ko-KR"/>
              </w:rPr>
              <w:t>during the SI</w:t>
            </w:r>
            <w:r>
              <w:rPr>
                <w:rFonts w:eastAsia="Malgun Gothic"/>
                <w:lang w:eastAsia="ko-KR"/>
              </w:rPr>
              <w:t>. We may remove that aspect for the moment or discussion is necessary what we assume RAN1 to do in the SI.</w:t>
            </w:r>
          </w:p>
          <w:p w:rsidR="0076574C" w:rsidRPr="0076574C" w:rsidRDefault="0076574C" w:rsidP="0076574C">
            <w:pPr>
              <w:rPr>
                <w:rFonts w:eastAsia="Malgun Gothic"/>
                <w:lang w:eastAsia="ko-KR"/>
              </w:rPr>
            </w:pPr>
            <w:r>
              <w:rPr>
                <w:rFonts w:eastAsia="Malgun Gothic"/>
                <w:lang w:eastAsia="ko-KR"/>
              </w:rPr>
              <w:t>Regarding detailed evaluation assumptions, we may need a section or a sub-section to cover all the aspects in addition to the annex.</w:t>
            </w:r>
          </w:p>
        </w:tc>
      </w:tr>
      <w:tr w:rsidR="000A0B38" w:rsidTr="000A0B38">
        <w:tc>
          <w:tcPr>
            <w:tcW w:w="1246" w:type="dxa"/>
          </w:tcPr>
          <w:p w:rsidR="000A0B38" w:rsidRPr="00BE4CFE" w:rsidRDefault="000A0B38" w:rsidP="000A0B38">
            <w:pPr>
              <w:rPr>
                <w:rFonts w:eastAsia="Yu Mincho"/>
                <w:lang w:eastAsia="ja-JP"/>
              </w:rPr>
            </w:pPr>
            <w:r>
              <w:rPr>
                <w:rFonts w:eastAsia="Yu Mincho" w:hint="eastAsia"/>
                <w:lang w:eastAsia="ja-JP"/>
              </w:rPr>
              <w:lastRenderedPageBreak/>
              <w:t>D</w:t>
            </w:r>
            <w:r>
              <w:rPr>
                <w:rFonts w:eastAsia="Yu Mincho"/>
                <w:lang w:eastAsia="ja-JP"/>
              </w:rPr>
              <w:t>OCOMO</w:t>
            </w:r>
          </w:p>
        </w:tc>
        <w:tc>
          <w:tcPr>
            <w:tcW w:w="8385" w:type="dxa"/>
          </w:tcPr>
          <w:p w:rsidR="000A0B38" w:rsidRPr="00BE4CFE" w:rsidRDefault="000A0B38" w:rsidP="000A0B38">
            <w:pPr>
              <w:rPr>
                <w:rFonts w:eastAsia="Yu Mincho"/>
                <w:lang w:eastAsia="ja-JP"/>
              </w:rPr>
            </w:pPr>
            <w:r>
              <w:rPr>
                <w:rFonts w:eastAsia="Yu Mincho" w:hint="eastAsia"/>
                <w:lang w:eastAsia="ja-JP"/>
              </w:rPr>
              <w:t xml:space="preserve">We support the suggestions from Nokia to </w:t>
            </w:r>
            <w:r>
              <w:rPr>
                <w:rFonts w:eastAsia="Yu Mincho"/>
                <w:lang w:eastAsia="ja-JP"/>
              </w:rPr>
              <w:t>“</w:t>
            </w:r>
            <w:r w:rsidRPr="00BE4CFE">
              <w:rPr>
                <w:rFonts w:eastAsia="Yu Mincho"/>
                <w:lang w:eastAsia="ja-JP"/>
              </w:rPr>
              <w:t>Introduction and Scope sections</w:t>
            </w:r>
            <w:r>
              <w:rPr>
                <w:rFonts w:eastAsia="Yu Mincho"/>
                <w:lang w:eastAsia="ja-JP"/>
              </w:rPr>
              <w:t>” and “Evaluation sections.” Especially for evaluations, one section for evaluation is fine for now, and depending on the progress, we can add sub-sections for capacity, coverage, and so on.</w:t>
            </w:r>
          </w:p>
        </w:tc>
      </w:tr>
      <w:tr w:rsidR="00DE0EEB" w:rsidTr="000A0B38">
        <w:tc>
          <w:tcPr>
            <w:tcW w:w="1246" w:type="dxa"/>
          </w:tcPr>
          <w:p w:rsidR="00DE0EEB" w:rsidRDefault="00571892" w:rsidP="008B65C9">
            <w:r>
              <w:t>Intel</w:t>
            </w:r>
          </w:p>
        </w:tc>
        <w:tc>
          <w:tcPr>
            <w:tcW w:w="8385" w:type="dxa"/>
          </w:tcPr>
          <w:p w:rsidR="00DE0EEB" w:rsidRPr="00571892" w:rsidRDefault="00571892" w:rsidP="008B65C9">
            <w:r w:rsidRPr="00571892">
              <w:t>Quite similar comments as other companies</w:t>
            </w:r>
          </w:p>
          <w:p w:rsidR="00571892" w:rsidRPr="00571892" w:rsidRDefault="00571892" w:rsidP="00571892">
            <w:pPr>
              <w:pStyle w:val="ListParagraph"/>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The objectives from the SID </w:t>
            </w:r>
            <w:r>
              <w:rPr>
                <w:rFonts w:ascii="Times New Roman" w:hAnsi="Times New Roman" w:cs="Times New Roman"/>
                <w:sz w:val="20"/>
                <w:szCs w:val="20"/>
              </w:rPr>
              <w:t>are</w:t>
            </w:r>
            <w:r w:rsidRPr="00571892">
              <w:rPr>
                <w:rFonts w:ascii="Times New Roman" w:hAnsi="Times New Roman" w:cs="Times New Roman"/>
                <w:sz w:val="20"/>
                <w:szCs w:val="20"/>
              </w:rPr>
              <w:t xml:space="preserve"> sufficient to describe the scope of TR</w:t>
            </w:r>
          </w:p>
          <w:p w:rsidR="00571892" w:rsidRPr="00571892" w:rsidRDefault="00571892" w:rsidP="00571892">
            <w:pPr>
              <w:pStyle w:val="ListParagraph"/>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An evaluation section can include </w:t>
            </w:r>
            <w:r>
              <w:rPr>
                <w:rFonts w:ascii="Times New Roman" w:hAnsi="Times New Roman" w:cs="Times New Roman"/>
                <w:sz w:val="20"/>
                <w:szCs w:val="20"/>
              </w:rPr>
              <w:t xml:space="preserve">both </w:t>
            </w:r>
            <w:r w:rsidRPr="00571892">
              <w:rPr>
                <w:rFonts w:ascii="Times New Roman" w:hAnsi="Times New Roman" w:cs="Times New Roman"/>
                <w:sz w:val="20"/>
                <w:szCs w:val="20"/>
              </w:rPr>
              <w:t>EVM and results</w:t>
            </w:r>
          </w:p>
          <w:p w:rsidR="00571892" w:rsidRDefault="00571892" w:rsidP="00571892">
            <w:pPr>
              <w:pStyle w:val="ListParagraph"/>
              <w:numPr>
                <w:ilvl w:val="0"/>
                <w:numId w:val="14"/>
              </w:numPr>
            </w:pPr>
            <w:r w:rsidRPr="00571892">
              <w:rPr>
                <w:rFonts w:ascii="Times New Roman" w:hAnsi="Times New Roman" w:cs="Times New Roman"/>
                <w:sz w:val="20"/>
                <w:szCs w:val="20"/>
              </w:rPr>
              <w:t>we think deployment scenarios pertient to this SID can be part of EVM</w:t>
            </w:r>
          </w:p>
        </w:tc>
        <w:bookmarkStart w:id="13" w:name="_GoBack"/>
        <w:bookmarkEnd w:id="13"/>
      </w:tr>
      <w:tr w:rsidR="00DE0EEB" w:rsidTr="000A0B38">
        <w:tc>
          <w:tcPr>
            <w:tcW w:w="1246" w:type="dxa"/>
          </w:tcPr>
          <w:p w:rsidR="00DE0EEB" w:rsidRDefault="00DE0EEB" w:rsidP="008B65C9"/>
        </w:tc>
        <w:tc>
          <w:tcPr>
            <w:tcW w:w="8385" w:type="dxa"/>
          </w:tcPr>
          <w:p w:rsidR="00DE0EEB" w:rsidRDefault="00DE0EEB" w:rsidP="008B65C9"/>
        </w:tc>
      </w:tr>
      <w:tr w:rsidR="00DE0EEB" w:rsidTr="000A0B38">
        <w:tc>
          <w:tcPr>
            <w:tcW w:w="1246" w:type="dxa"/>
          </w:tcPr>
          <w:p w:rsidR="00DE0EEB" w:rsidRDefault="00DE0EEB" w:rsidP="008B65C9"/>
        </w:tc>
        <w:tc>
          <w:tcPr>
            <w:tcW w:w="8385" w:type="dxa"/>
          </w:tcPr>
          <w:p w:rsidR="00DE0EEB" w:rsidRDefault="00DE0EEB" w:rsidP="008B65C9"/>
        </w:tc>
      </w:tr>
      <w:tr w:rsidR="00DE0EEB" w:rsidTr="000A0B38">
        <w:tc>
          <w:tcPr>
            <w:tcW w:w="1246" w:type="dxa"/>
          </w:tcPr>
          <w:p w:rsidR="00DE0EEB" w:rsidRDefault="00DE0EEB" w:rsidP="008B65C9"/>
        </w:tc>
        <w:tc>
          <w:tcPr>
            <w:tcW w:w="8385"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4BE" w:rsidRDefault="00F464BE">
      <w:r>
        <w:separator/>
      </w:r>
    </w:p>
  </w:endnote>
  <w:endnote w:type="continuationSeparator" w:id="0">
    <w:p w:rsidR="00F464BE" w:rsidRDefault="00F464BE">
      <w:r>
        <w:continuationSeparator/>
      </w:r>
    </w:p>
  </w:endnote>
  <w:endnote w:type="continuationNotice" w:id="1">
    <w:p w:rsidR="00F464BE" w:rsidRDefault="00F46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4BE" w:rsidRDefault="00F464BE">
      <w:r>
        <w:separator/>
      </w:r>
    </w:p>
  </w:footnote>
  <w:footnote w:type="continuationSeparator" w:id="0">
    <w:p w:rsidR="00F464BE" w:rsidRDefault="00F464BE">
      <w:r>
        <w:continuationSeparator/>
      </w:r>
    </w:p>
  </w:footnote>
  <w:footnote w:type="continuationNotice" w:id="1">
    <w:p w:rsidR="00F464BE" w:rsidRDefault="00F464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3C6B8A"/>
    <w:multiLevelType w:val="hybridMultilevel"/>
    <w:tmpl w:val="8A789F12"/>
    <w:lvl w:ilvl="0" w:tplc="B21C5A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0"/>
  </w:num>
  <w:num w:numId="5">
    <w:abstractNumId w:val="5"/>
  </w:num>
  <w:num w:numId="6">
    <w:abstractNumId w:val="12"/>
  </w:num>
  <w:num w:numId="7">
    <w:abstractNumId w:val="11"/>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B38"/>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92"/>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574C"/>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07FF"/>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40"/>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9D"/>
    <w:rsid w:val="00CE16FD"/>
    <w:rsid w:val="00CE1E0F"/>
    <w:rsid w:val="00CE2321"/>
    <w:rsid w:val="00CE2C93"/>
    <w:rsid w:val="00CE2DE9"/>
    <w:rsid w:val="00CE33D1"/>
    <w:rsid w:val="00CE45B1"/>
    <w:rsid w:val="00CE460D"/>
    <w:rsid w:val="00CE4B6A"/>
    <w:rsid w:val="00CE56A3"/>
    <w:rsid w:val="00CE61EE"/>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64BE"/>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DB1772"/>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6BA"/>
    <w:pPr>
      <w:spacing w:after="180"/>
    </w:pPr>
    <w:rPr>
      <w:lang w:val="en-GB" w:eastAsia="en-US"/>
    </w:rPr>
  </w:style>
  <w:style w:type="paragraph" w:styleId="Heading1">
    <w:name w:val="heading 1"/>
    <w:next w:val="Normal"/>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FD56BA"/>
    <w:pPr>
      <w:pBdr>
        <w:top w:val="none" w:sz="0" w:space="0" w:color="auto"/>
      </w:pBdr>
      <w:spacing w:before="180"/>
      <w:outlineLvl w:val="1"/>
    </w:pPr>
    <w:rPr>
      <w:sz w:val="32"/>
    </w:rPr>
  </w:style>
  <w:style w:type="paragraph" w:styleId="Heading3">
    <w:name w:val="heading 3"/>
    <w:basedOn w:val="Heading2"/>
    <w:next w:val="Normal"/>
    <w:link w:val="Heading3Char"/>
    <w:qFormat/>
    <w:rsid w:val="00FD56BA"/>
    <w:pPr>
      <w:spacing w:before="120"/>
      <w:outlineLvl w:val="2"/>
    </w:pPr>
    <w:rPr>
      <w:sz w:val="28"/>
    </w:rPr>
  </w:style>
  <w:style w:type="paragraph" w:styleId="Heading4">
    <w:name w:val="heading 4"/>
    <w:basedOn w:val="Heading3"/>
    <w:next w:val="Normal"/>
    <w:qFormat/>
    <w:rsid w:val="00FD56BA"/>
    <w:pPr>
      <w:ind w:left="1418" w:hanging="1418"/>
      <w:outlineLvl w:val="3"/>
    </w:pPr>
    <w:rPr>
      <w:sz w:val="24"/>
    </w:rPr>
  </w:style>
  <w:style w:type="paragraph" w:styleId="Heading5">
    <w:name w:val="heading 5"/>
    <w:basedOn w:val="Heading4"/>
    <w:next w:val="Normal"/>
    <w:qFormat/>
    <w:rsid w:val="00FD56BA"/>
    <w:pPr>
      <w:ind w:left="1701" w:hanging="1701"/>
      <w:outlineLvl w:val="4"/>
    </w:pPr>
    <w:rPr>
      <w:sz w:val="22"/>
    </w:rPr>
  </w:style>
  <w:style w:type="paragraph" w:styleId="Heading6">
    <w:name w:val="heading 6"/>
    <w:basedOn w:val="H6"/>
    <w:next w:val="Normal"/>
    <w:qFormat/>
    <w:rsid w:val="00FD56BA"/>
    <w:pPr>
      <w:outlineLvl w:val="5"/>
    </w:pPr>
  </w:style>
  <w:style w:type="paragraph" w:styleId="Heading7">
    <w:name w:val="heading 7"/>
    <w:basedOn w:val="H6"/>
    <w:next w:val="Normal"/>
    <w:qFormat/>
    <w:rsid w:val="00FD56BA"/>
    <w:pPr>
      <w:outlineLvl w:val="6"/>
    </w:pPr>
  </w:style>
  <w:style w:type="paragraph" w:styleId="Heading8">
    <w:name w:val="heading 8"/>
    <w:basedOn w:val="Heading1"/>
    <w:next w:val="Normal"/>
    <w:link w:val="Heading8Char"/>
    <w:qFormat/>
    <w:rsid w:val="00FD56BA"/>
    <w:pPr>
      <w:ind w:left="0" w:firstLine="0"/>
      <w:outlineLvl w:val="7"/>
    </w:pPr>
  </w:style>
  <w:style w:type="paragraph" w:styleId="Heading9">
    <w:name w:val="heading 9"/>
    <w:basedOn w:val="Heading8"/>
    <w:next w:val="Normal"/>
    <w:qFormat/>
    <w:rsid w:val="00FD56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D56BA"/>
    <w:pPr>
      <w:ind w:left="1985" w:hanging="1985"/>
      <w:outlineLvl w:val="9"/>
    </w:pPr>
    <w:rPr>
      <w:sz w:val="20"/>
    </w:rPr>
  </w:style>
  <w:style w:type="paragraph" w:styleId="TOC9">
    <w:name w:val="toc 9"/>
    <w:basedOn w:val="TOC8"/>
    <w:uiPriority w:val="39"/>
    <w:rsid w:val="00FD56BA"/>
    <w:pPr>
      <w:ind w:left="1418" w:hanging="1418"/>
    </w:pPr>
  </w:style>
  <w:style w:type="paragraph" w:styleId="TOC8">
    <w:name w:val="toc 8"/>
    <w:basedOn w:val="TOC1"/>
    <w:uiPriority w:val="39"/>
    <w:rsid w:val="00FD56BA"/>
    <w:pPr>
      <w:spacing w:before="180"/>
      <w:ind w:left="2693" w:hanging="2693"/>
    </w:pPr>
    <w:rPr>
      <w:b/>
    </w:rPr>
  </w:style>
  <w:style w:type="paragraph" w:styleId="TOC1">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FD56BA"/>
    <w:pPr>
      <w:keepLines/>
      <w:tabs>
        <w:tab w:val="center" w:pos="4536"/>
        <w:tab w:val="right" w:pos="9072"/>
      </w:tabs>
    </w:pPr>
    <w:rPr>
      <w:noProof/>
    </w:rPr>
  </w:style>
  <w:style w:type="character" w:customStyle="1" w:styleId="ZGSM">
    <w:name w:val="ZGSM"/>
    <w:rsid w:val="00FD56BA"/>
  </w:style>
  <w:style w:type="paragraph" w:styleId="Header">
    <w:name w:val="header"/>
    <w:link w:val="Header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FD56BA"/>
    <w:pPr>
      <w:ind w:left="1701" w:hanging="1701"/>
    </w:pPr>
  </w:style>
  <w:style w:type="paragraph" w:styleId="TOC4">
    <w:name w:val="toc 4"/>
    <w:basedOn w:val="TOC3"/>
    <w:semiHidden/>
    <w:rsid w:val="00FD56BA"/>
    <w:pPr>
      <w:ind w:left="1418" w:hanging="1418"/>
    </w:pPr>
  </w:style>
  <w:style w:type="paragraph" w:styleId="TOC3">
    <w:name w:val="toc 3"/>
    <w:basedOn w:val="TOC2"/>
    <w:uiPriority w:val="39"/>
    <w:rsid w:val="00FD56BA"/>
    <w:pPr>
      <w:ind w:left="1134" w:hanging="1134"/>
    </w:pPr>
  </w:style>
  <w:style w:type="paragraph" w:styleId="TOC2">
    <w:name w:val="toc 2"/>
    <w:basedOn w:val="TOC1"/>
    <w:uiPriority w:val="39"/>
    <w:rsid w:val="00FD56BA"/>
    <w:pPr>
      <w:keepNext w:val="0"/>
      <w:spacing w:before="0"/>
      <w:ind w:left="851" w:hanging="851"/>
    </w:pPr>
    <w:rPr>
      <w:sz w:val="20"/>
    </w:rPr>
  </w:style>
  <w:style w:type="paragraph" w:styleId="Footer">
    <w:name w:val="footer"/>
    <w:basedOn w:val="Header"/>
    <w:rsid w:val="00FD56BA"/>
    <w:pPr>
      <w:jc w:val="center"/>
    </w:pPr>
    <w:rPr>
      <w:i/>
    </w:rPr>
  </w:style>
  <w:style w:type="paragraph" w:customStyle="1" w:styleId="TT">
    <w:name w:val="TT"/>
    <w:basedOn w:val="Heading1"/>
    <w:next w:val="Normal"/>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Normal"/>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Normal"/>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Normal"/>
    <w:rsid w:val="00FD56BA"/>
    <w:pPr>
      <w:keepLines/>
      <w:ind w:left="1702" w:hanging="1418"/>
    </w:pPr>
  </w:style>
  <w:style w:type="paragraph" w:customStyle="1" w:styleId="FP">
    <w:name w:val="FP"/>
    <w:basedOn w:val="Normal"/>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Normal"/>
    <w:rsid w:val="00FD56BA"/>
    <w:pPr>
      <w:ind w:left="568" w:hanging="284"/>
    </w:pPr>
  </w:style>
  <w:style w:type="paragraph" w:styleId="TOC6">
    <w:name w:val="toc 6"/>
    <w:basedOn w:val="TOC5"/>
    <w:next w:val="Normal"/>
    <w:semiHidden/>
    <w:rsid w:val="00FD56BA"/>
    <w:pPr>
      <w:ind w:left="1985" w:hanging="1985"/>
    </w:pPr>
  </w:style>
  <w:style w:type="paragraph" w:styleId="TOC7">
    <w:name w:val="toc 7"/>
    <w:basedOn w:val="TOC6"/>
    <w:next w:val="Normal"/>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Normal"/>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FD56BA"/>
    <w:pPr>
      <w:ind w:left="851" w:hanging="284"/>
    </w:pPr>
  </w:style>
  <w:style w:type="paragraph" w:customStyle="1" w:styleId="B3">
    <w:name w:val="B3"/>
    <w:basedOn w:val="Normal"/>
    <w:rsid w:val="00FD56BA"/>
    <w:pPr>
      <w:ind w:left="1135" w:hanging="284"/>
    </w:pPr>
  </w:style>
  <w:style w:type="paragraph" w:customStyle="1" w:styleId="B4">
    <w:name w:val="B4"/>
    <w:basedOn w:val="Normal"/>
    <w:rsid w:val="00FD56BA"/>
    <w:pPr>
      <w:ind w:left="1418" w:hanging="284"/>
    </w:pPr>
  </w:style>
  <w:style w:type="paragraph" w:customStyle="1" w:styleId="B5">
    <w:name w:val="B5"/>
    <w:basedOn w:val="Normal"/>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Normal"/>
    <w:rsid w:val="00FD56BA"/>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51E72-2FB7-4B87-8F74-1F8212AA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1792</Words>
  <Characters>11422</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13188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2</cp:revision>
  <cp:lastPrinted>2020-05-14T12:07:00Z</cp:lastPrinted>
  <dcterms:created xsi:type="dcterms:W3CDTF">2020-11-05T06:50:00Z</dcterms:created>
  <dcterms:modified xsi:type="dcterms:W3CDTF">2020-11-05T06:50:00Z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