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69821" w14:textId="46D016D9" w:rsidR="00A24A69" w:rsidRPr="00F216CA" w:rsidRDefault="00A24A69" w:rsidP="00A24A69">
      <w:pPr>
        <w:pStyle w:val="aff"/>
        <w:rPr>
          <w:rStyle w:val="a4"/>
          <w:i w:val="0"/>
          <w:iCs w:val="0"/>
        </w:rPr>
      </w:pPr>
      <w:r w:rsidRPr="00F216CA">
        <w:rPr>
          <w:rStyle w:val="a4"/>
          <w:i w:val="0"/>
          <w:iCs w:val="0"/>
          <w:position w:val="8"/>
        </w:rPr>
        <w:t>3GPP TSG RAN WG1 Meeting #103-e</w:t>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r>
      <w:r w:rsidRPr="00F216CA">
        <w:rPr>
          <w:rStyle w:val="a4"/>
          <w:i w:val="0"/>
          <w:iCs w:val="0"/>
          <w:position w:val="8"/>
        </w:rPr>
        <w:tab/>
        <w:t xml:space="preserve"> R1-</w:t>
      </w:r>
      <w:r w:rsidR="003D0D58" w:rsidRPr="00F216CA">
        <w:rPr>
          <w:rStyle w:val="a4"/>
          <w:i w:val="0"/>
          <w:iCs w:val="0"/>
          <w:position w:val="8"/>
        </w:rPr>
        <w:t>20</w:t>
      </w:r>
      <w:r w:rsidRPr="00F216CA">
        <w:rPr>
          <w:rStyle w:val="a4"/>
          <w:i w:val="0"/>
          <w:iCs w:val="0"/>
          <w:position w:val="8"/>
        </w:rPr>
        <w:t>XXXXX</w:t>
      </w:r>
      <w:r w:rsidRPr="00F216CA">
        <w:rPr>
          <w:rStyle w:val="a4"/>
          <w:i w:val="0"/>
          <w:iCs w:val="0"/>
        </w:rPr>
        <w:t xml:space="preserve">     26</w:t>
      </w:r>
      <w:r w:rsidRPr="00F216CA">
        <w:rPr>
          <w:rStyle w:val="a4"/>
          <w:i w:val="0"/>
          <w:iCs w:val="0"/>
          <w:vertAlign w:val="superscript"/>
        </w:rPr>
        <w:t>th</w:t>
      </w:r>
      <w:r w:rsidRPr="00F216CA">
        <w:rPr>
          <w:rStyle w:val="a4"/>
          <w:i w:val="0"/>
          <w:iCs w:val="0"/>
        </w:rPr>
        <w:t xml:space="preserve"> October – 13</w:t>
      </w:r>
      <w:r w:rsidRPr="00F216CA">
        <w:rPr>
          <w:rStyle w:val="a4"/>
          <w:i w:val="0"/>
          <w:iCs w:val="0"/>
          <w:vertAlign w:val="superscript"/>
        </w:rPr>
        <w:t>th</w:t>
      </w:r>
      <w:r w:rsidRPr="00F216CA">
        <w:rPr>
          <w:rStyle w:val="a4"/>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a8"/>
        </w:rPr>
      </w:pPr>
      <w:r>
        <w:rPr>
          <w:rStyle w:val="a4"/>
        </w:rPr>
        <w:t>Agenda Item:</w:t>
      </w:r>
      <w:r>
        <w:rPr>
          <w:rStyle w:val="21"/>
        </w:rPr>
        <w:tab/>
      </w:r>
      <w:r>
        <w:rPr>
          <w:rStyle w:val="21"/>
        </w:rPr>
        <w:tab/>
      </w:r>
      <w:r>
        <w:rPr>
          <w:rStyle w:val="a8"/>
        </w:rPr>
        <w:t>8.10.2</w:t>
      </w:r>
    </w:p>
    <w:p w14:paraId="4A45BB32" w14:textId="77777777" w:rsidR="00A24A69" w:rsidRDefault="00A24A69" w:rsidP="00A24A69">
      <w:pPr>
        <w:pBdr>
          <w:top w:val="single" w:sz="4" w:space="1" w:color="000000"/>
          <w:bottom w:val="single" w:sz="4" w:space="1" w:color="000000"/>
        </w:pBdr>
        <w:rPr>
          <w:rStyle w:val="a4"/>
        </w:rPr>
      </w:pPr>
      <w:r>
        <w:rPr>
          <w:rStyle w:val="a4"/>
        </w:rPr>
        <w:t>Source:</w:t>
      </w:r>
      <w:r>
        <w:rPr>
          <w:rStyle w:val="a4"/>
        </w:rPr>
        <w:tab/>
      </w:r>
      <w:r>
        <w:rPr>
          <w:rStyle w:val="21"/>
        </w:rPr>
        <w:tab/>
      </w:r>
      <w:r>
        <w:rPr>
          <w:rStyle w:val="21"/>
        </w:rPr>
        <w:tab/>
      </w:r>
      <w:r>
        <w:rPr>
          <w:rStyle w:val="a8"/>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a8"/>
        </w:rPr>
      </w:pPr>
      <w:r>
        <w:rPr>
          <w:rStyle w:val="a4"/>
        </w:rPr>
        <w:t xml:space="preserve">Title: </w:t>
      </w:r>
      <w:r>
        <w:rPr>
          <w:rStyle w:val="a4"/>
        </w:rPr>
        <w:tab/>
      </w:r>
      <w:r>
        <w:rPr>
          <w:rStyle w:val="21"/>
        </w:rPr>
        <w:tab/>
      </w:r>
      <w:r w:rsidRPr="00BB4AE6">
        <w:rPr>
          <w:rStyle w:val="a8"/>
        </w:rPr>
        <w:t>Summary #1 of [103-e-NR-eIAB-02]</w:t>
      </w:r>
    </w:p>
    <w:p w14:paraId="452ABBBD" w14:textId="77777777" w:rsidR="00A24A69" w:rsidRDefault="00A24A69" w:rsidP="00A24A69">
      <w:pPr>
        <w:pBdr>
          <w:top w:val="single" w:sz="4" w:space="1" w:color="000000"/>
          <w:bottom w:val="single" w:sz="4" w:space="1" w:color="000000"/>
        </w:pBdr>
        <w:rPr>
          <w:rStyle w:val="a8"/>
        </w:rPr>
      </w:pPr>
      <w:r>
        <w:rPr>
          <w:rStyle w:val="a4"/>
        </w:rPr>
        <w:t>Document for:</w:t>
      </w:r>
      <w:r>
        <w:rPr>
          <w:rStyle w:val="21"/>
        </w:rPr>
        <w:tab/>
      </w:r>
      <w:r>
        <w:rPr>
          <w:rStyle w:val="21"/>
        </w:rPr>
        <w:tab/>
      </w:r>
      <w:r>
        <w:rPr>
          <w:rStyle w:val="a8"/>
        </w:rPr>
        <w:t>Discussion and decision</w:t>
      </w:r>
    </w:p>
    <w:p w14:paraId="1371089F" w14:textId="77777777" w:rsidR="00A24A69" w:rsidRDefault="00A24A69" w:rsidP="00A24A69">
      <w:pPr>
        <w:pStyle w:val="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a9"/>
        <w:numPr>
          <w:ilvl w:val="0"/>
          <w:numId w:val="43"/>
        </w:numPr>
        <w:rPr>
          <w:rFonts w:ascii="Times New Roman" w:hAnsi="Times New Roman" w:cs="Times New Roman"/>
          <w:sz w:val="20"/>
          <w:szCs w:val="20"/>
        </w:rPr>
      </w:pPr>
      <w:r w:rsidRPr="001440C1">
        <w:rPr>
          <w:rFonts w:ascii="Times New Roman" w:hAnsi="Times New Roman" w:cs="Times New Roman"/>
          <w:sz w:val="20"/>
          <w:szCs w:val="20"/>
        </w:rPr>
        <w:t>Timing modes, covered in section 2.</w:t>
      </w:r>
    </w:p>
    <w:p w14:paraId="58B76CE8" w14:textId="72BB45A8" w:rsidR="001440C1" w:rsidRPr="001440C1" w:rsidRDefault="001440C1" w:rsidP="001440C1">
      <w:pPr>
        <w:pStyle w:val="a9"/>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a9"/>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aff1"/>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a9"/>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a9"/>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a9"/>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a9"/>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a9"/>
              <w:numPr>
                <w:ilvl w:val="0"/>
                <w:numId w:val="40"/>
              </w:numPr>
              <w:rPr>
                <w:b/>
                <w:bCs/>
                <w:u w:val="single"/>
              </w:rPr>
            </w:pPr>
            <w:r w:rsidRPr="003B4D7A">
              <w:rPr>
                <w:rFonts w:ascii="TimesNewRomanPSMT" w:eastAsiaTheme="minorHAnsi" w:hAnsi="TimesNewRomanPSMT" w:cs="TimesNewRomanPSMT"/>
                <w:color w:val="auto"/>
                <w:sz w:val="20"/>
                <w:szCs w:val="20"/>
                <w:lang w:val="en-US"/>
              </w:rPr>
              <w:t>The examples of solutions captured in TR38.387 can be a starting points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ZTE, Sanechips</w:t>
            </w:r>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minimal as most of the design and signalling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3: Rel.17 T_delta signalling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timing mode. T1 is signalled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7: Detailed signalling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transmission timing. Specifically, this would occur when the one way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6 In Case‐6, a T_delta‐based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Proposal 3 Adapt T_delta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a9"/>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aff1"/>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A2169F" w14:paraId="23242943" w14:textId="77777777" w:rsidTr="00A56619">
        <w:tc>
          <w:tcPr>
            <w:tcW w:w="2245" w:type="dxa"/>
            <w:shd w:val="clear" w:color="auto" w:fill="auto"/>
          </w:tcPr>
          <w:p w14:paraId="7C7F37FD" w14:textId="49BB8F58"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793DA53" w14:textId="3B76EEA6"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3E2B6DE8" w14:textId="5CAE1B50" w:rsidR="00A2169F" w:rsidRDefault="00A2169F" w:rsidP="00A2169F">
            <w:pPr>
              <w:jc w:val="center"/>
              <w:rPr>
                <w:lang w:eastAsia="ko-KR"/>
              </w:rPr>
            </w:pPr>
            <w:r>
              <w:rPr>
                <w:rStyle w:val="normaltextrun"/>
              </w:rPr>
              <w:t>It is much easier to support symbol level alignment without needing of negative TAs</w:t>
            </w:r>
            <w:r>
              <w:rPr>
                <w:rStyle w:val="eop"/>
              </w:rPr>
              <w:t> </w:t>
            </w:r>
          </w:p>
        </w:tc>
      </w:tr>
      <w:tr w:rsidR="004967A0" w14:paraId="009D893E" w14:textId="77777777" w:rsidTr="00A56619">
        <w:tc>
          <w:tcPr>
            <w:tcW w:w="2245" w:type="dxa"/>
            <w:shd w:val="clear" w:color="auto" w:fill="auto"/>
          </w:tcPr>
          <w:p w14:paraId="1F3A38E7" w14:textId="0FDE9CD6" w:rsidR="004967A0" w:rsidRDefault="004967A0" w:rsidP="004967A0">
            <w:pPr>
              <w:jc w:val="center"/>
              <w:rPr>
                <w:rStyle w:val="normaltextrun"/>
              </w:rPr>
            </w:pPr>
            <w:r>
              <w:rPr>
                <w:rFonts w:eastAsiaTheme="minorEastAsia" w:hint="eastAsia"/>
                <w:lang w:eastAsia="ko-KR"/>
              </w:rPr>
              <w:t>Sa</w:t>
            </w:r>
            <w:r>
              <w:rPr>
                <w:rFonts w:eastAsiaTheme="minorEastAsia"/>
                <w:lang w:eastAsia="ko-KR"/>
              </w:rPr>
              <w:t>msung</w:t>
            </w:r>
          </w:p>
        </w:tc>
        <w:tc>
          <w:tcPr>
            <w:tcW w:w="1981" w:type="dxa"/>
            <w:shd w:val="clear" w:color="auto" w:fill="auto"/>
          </w:tcPr>
          <w:p w14:paraId="17A5A74C" w14:textId="6A33726A"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490FDCFC" w14:textId="52B940F2" w:rsidR="004967A0" w:rsidRDefault="004967A0" w:rsidP="004967A0">
            <w:pPr>
              <w:jc w:val="center"/>
              <w:rPr>
                <w:rStyle w:val="normaltextrun"/>
              </w:rPr>
            </w:pPr>
            <w:r>
              <w:rPr>
                <w:rFonts w:eastAsiaTheme="minorEastAsia" w:hint="eastAsia"/>
                <w:lang w:eastAsia="ko-KR"/>
              </w:rPr>
              <w:t xml:space="preserve">We think symbol level alignment can </w:t>
            </w:r>
            <w:r>
              <w:rPr>
                <w:rFonts w:eastAsiaTheme="minorEastAsia"/>
                <w:lang w:eastAsia="ko-KR"/>
              </w:rPr>
              <w:t xml:space="preserve">enable </w:t>
            </w:r>
            <w:r>
              <w:rPr>
                <w:rFonts w:eastAsiaTheme="minorEastAsia" w:hint="eastAsia"/>
                <w:lang w:eastAsia="ko-KR"/>
              </w:rPr>
              <w:t xml:space="preserve">Case 7 timing </w:t>
            </w:r>
            <w:r>
              <w:rPr>
                <w:rFonts w:eastAsiaTheme="minorEastAsia"/>
                <w:lang w:eastAsia="ko-KR"/>
              </w:rPr>
              <w:t>without the introduction of negative TA</w:t>
            </w:r>
          </w:p>
        </w:tc>
      </w:tr>
      <w:tr w:rsidR="00E550D0" w14:paraId="354B0159" w14:textId="77777777" w:rsidTr="00A56619">
        <w:tc>
          <w:tcPr>
            <w:tcW w:w="2245" w:type="dxa"/>
            <w:shd w:val="clear" w:color="auto" w:fill="auto"/>
          </w:tcPr>
          <w:p w14:paraId="1CF9E791" w14:textId="69A55ECE" w:rsidR="00E550D0" w:rsidRDefault="00E550D0" w:rsidP="00E550D0">
            <w:pPr>
              <w:jc w:val="center"/>
              <w:rPr>
                <w:rFonts w:eastAsiaTheme="minorEastAsia" w:hint="eastAsia"/>
                <w:lang w:eastAsia="ko-KR"/>
              </w:rPr>
            </w:pPr>
            <w:r>
              <w:rPr>
                <w:rStyle w:val="normaltextrun"/>
              </w:rPr>
              <w:t>NTT DOCOMO</w:t>
            </w:r>
          </w:p>
        </w:tc>
        <w:tc>
          <w:tcPr>
            <w:tcW w:w="1981" w:type="dxa"/>
            <w:shd w:val="clear" w:color="auto" w:fill="auto"/>
          </w:tcPr>
          <w:p w14:paraId="3A356597" w14:textId="0832FE39" w:rsidR="00E550D0" w:rsidRDefault="00E550D0" w:rsidP="00E550D0">
            <w:pPr>
              <w:jc w:val="center"/>
              <w:rPr>
                <w:rFonts w:eastAsiaTheme="minorEastAsia" w:hint="eastAsia"/>
                <w:lang w:eastAsia="ko-KR"/>
              </w:rPr>
            </w:pPr>
            <w:r>
              <w:rPr>
                <w:rStyle w:val="normaltextrun"/>
                <w:rFonts w:eastAsia="ＭＳ 明朝" w:hint="eastAsia"/>
                <w:lang w:eastAsia="ja-JP"/>
              </w:rPr>
              <w:t>No</w:t>
            </w:r>
          </w:p>
        </w:tc>
        <w:tc>
          <w:tcPr>
            <w:tcW w:w="5403" w:type="dxa"/>
            <w:shd w:val="clear" w:color="auto" w:fill="auto"/>
          </w:tcPr>
          <w:p w14:paraId="2D872960" w14:textId="274F8E13" w:rsidR="00E550D0" w:rsidRDefault="00E550D0" w:rsidP="00E550D0">
            <w:pPr>
              <w:jc w:val="center"/>
              <w:rPr>
                <w:rFonts w:eastAsiaTheme="minorEastAsia" w:hint="eastAsia"/>
                <w:lang w:eastAsia="ko-KR"/>
              </w:rPr>
            </w:pPr>
            <w:r>
              <w:rPr>
                <w:rStyle w:val="normaltextrun"/>
                <w:rFonts w:eastAsia="ＭＳ 明朝" w:hint="eastAsia"/>
                <w:lang w:eastAsia="ja-JP"/>
              </w:rPr>
              <w:t xml:space="preserve">We support slot level </w:t>
            </w:r>
            <w:r>
              <w:rPr>
                <w:rStyle w:val="normaltextrun"/>
                <w:rFonts w:eastAsia="ＭＳ 明朝"/>
                <w:lang w:eastAsia="ja-JP"/>
              </w:rPr>
              <w:t>alignment</w:t>
            </w:r>
            <w:r>
              <w:rPr>
                <w:rStyle w:val="normaltextrun"/>
                <w:rFonts w:eastAsia="ＭＳ 明朝" w:hint="eastAsia"/>
                <w:lang w:eastAsia="ja-JP"/>
              </w:rPr>
              <w:t>,</w:t>
            </w:r>
            <w:r>
              <w:rPr>
                <w:rStyle w:val="normaltextrun"/>
                <w:rFonts w:eastAsia="ＭＳ 明朝"/>
                <w:lang w:eastAsia="ja-JP"/>
              </w:rPr>
              <w:t xml:space="preserve"> since it’s beneficial for interference and resource handlings. And also we concern the </w:t>
            </w:r>
            <w:r>
              <w:rPr>
                <w:rStyle w:val="normaltextrun"/>
                <w:rFonts w:eastAsia="ＭＳ 明朝"/>
                <w:lang w:eastAsia="ja-JP"/>
              </w:rPr>
              <w:lastRenderedPageBreak/>
              <w:t>impact for the implementations if we use the symbol level aliment which is newly installed for the NR system.</w:t>
            </w: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f1"/>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It is our understanding that Case 6 timing is associated with Case A MUXing and Case 7 timing is associated with Case B MUXing and would prefer a more concrete proposal for timing and multiplexing combinations.</w:t>
            </w:r>
          </w:p>
        </w:tc>
      </w:tr>
      <w:tr w:rsidR="00A2169F" w14:paraId="3DE83DAA" w14:textId="77777777" w:rsidTr="00A56619">
        <w:tc>
          <w:tcPr>
            <w:tcW w:w="2245" w:type="dxa"/>
            <w:shd w:val="clear" w:color="auto" w:fill="auto"/>
          </w:tcPr>
          <w:p w14:paraId="11E5E51E" w14:textId="3E0340D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3B9374E8" w14:textId="1DDC6994" w:rsidR="00A2169F" w:rsidRDefault="00A2169F" w:rsidP="00A2169F">
            <w:pPr>
              <w:jc w:val="center"/>
              <w:rPr>
                <w:lang w:eastAsia="ko-KR"/>
              </w:rPr>
            </w:pPr>
            <w:r>
              <w:rPr>
                <w:rStyle w:val="normaltextrun"/>
              </w:rPr>
              <w:t>Yes</w:t>
            </w:r>
            <w:r>
              <w:rPr>
                <w:rStyle w:val="eop"/>
              </w:rPr>
              <w:t> </w:t>
            </w:r>
          </w:p>
        </w:tc>
        <w:tc>
          <w:tcPr>
            <w:tcW w:w="5403" w:type="dxa"/>
            <w:shd w:val="clear" w:color="auto" w:fill="auto"/>
          </w:tcPr>
          <w:p w14:paraId="22F8CD49" w14:textId="2BCB1FF1" w:rsidR="00A2169F" w:rsidRDefault="00A2169F" w:rsidP="00A2169F">
            <w:pPr>
              <w:jc w:val="center"/>
              <w:rPr>
                <w:lang w:eastAsia="ko-KR"/>
              </w:rPr>
            </w:pPr>
            <w:r>
              <w:rPr>
                <w:rStyle w:val="normaltextrun"/>
              </w:rPr>
              <w:t>Case #6 and Case #7 are directly related to different cases and should be specific to those modes. However, we think that additional spec work is not required for this. </w:t>
            </w:r>
            <w:r>
              <w:rPr>
                <w:rStyle w:val="eop"/>
              </w:rPr>
              <w:t> </w:t>
            </w:r>
          </w:p>
        </w:tc>
      </w:tr>
      <w:tr w:rsidR="004967A0" w14:paraId="26BF6957" w14:textId="77777777" w:rsidTr="00A56619">
        <w:tc>
          <w:tcPr>
            <w:tcW w:w="2245" w:type="dxa"/>
            <w:shd w:val="clear" w:color="auto" w:fill="auto"/>
          </w:tcPr>
          <w:p w14:paraId="2895145A" w14:textId="18768C3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A3A9955" w14:textId="16EE8C14" w:rsidR="004967A0" w:rsidRDefault="004967A0" w:rsidP="004967A0">
            <w:pPr>
              <w:jc w:val="center"/>
              <w:rPr>
                <w:rStyle w:val="normaltextrun"/>
              </w:rPr>
            </w:pPr>
            <w:r>
              <w:rPr>
                <w:rFonts w:eastAsiaTheme="minorEastAsia" w:hint="eastAsia"/>
                <w:lang w:eastAsia="ko-KR"/>
              </w:rPr>
              <w:t>No</w:t>
            </w:r>
          </w:p>
        </w:tc>
        <w:tc>
          <w:tcPr>
            <w:tcW w:w="5403" w:type="dxa"/>
            <w:shd w:val="clear" w:color="auto" w:fill="auto"/>
          </w:tcPr>
          <w:p w14:paraId="35194D83" w14:textId="58808A2B" w:rsidR="004967A0" w:rsidRDefault="004967A0" w:rsidP="004967A0">
            <w:pPr>
              <w:jc w:val="center"/>
              <w:rPr>
                <w:rStyle w:val="normaltextrun"/>
              </w:rPr>
            </w:pPr>
            <w:r>
              <w:rPr>
                <w:rFonts w:eastAsiaTheme="minorEastAsia"/>
                <w:lang w:eastAsia="ko-KR"/>
              </w:rPr>
              <w:t>We think timing mode is tied with multiplexing mode. In addition to that, whether a timing mode is also applied for other multiplexing mode(s) may be up to implementation.</w:t>
            </w:r>
          </w:p>
        </w:tc>
      </w:tr>
      <w:tr w:rsidR="00E550D0" w14:paraId="6FD5B01C" w14:textId="77777777" w:rsidTr="00A56619">
        <w:tc>
          <w:tcPr>
            <w:tcW w:w="2245" w:type="dxa"/>
            <w:shd w:val="clear" w:color="auto" w:fill="auto"/>
          </w:tcPr>
          <w:p w14:paraId="26BD2EC7" w14:textId="613CADD8" w:rsidR="00E550D0" w:rsidRDefault="00E550D0" w:rsidP="00E550D0">
            <w:pPr>
              <w:jc w:val="center"/>
              <w:rPr>
                <w:rFonts w:eastAsiaTheme="minorEastAsia" w:hint="eastAsia"/>
                <w:lang w:eastAsia="ko-KR"/>
              </w:rPr>
            </w:pPr>
            <w:r>
              <w:rPr>
                <w:rFonts w:eastAsiaTheme="minorEastAsia" w:hint="eastAsia"/>
                <w:lang w:eastAsia="ja-JP"/>
              </w:rPr>
              <w:t>NTT DOCOMO</w:t>
            </w:r>
          </w:p>
        </w:tc>
        <w:tc>
          <w:tcPr>
            <w:tcW w:w="1981" w:type="dxa"/>
            <w:shd w:val="clear" w:color="auto" w:fill="auto"/>
          </w:tcPr>
          <w:p w14:paraId="42B8582B" w14:textId="6FE62097" w:rsidR="00E550D0" w:rsidRDefault="00E550D0" w:rsidP="00E550D0">
            <w:pPr>
              <w:jc w:val="center"/>
              <w:rPr>
                <w:rFonts w:eastAsiaTheme="minorEastAsia" w:hint="eastAsia"/>
                <w:lang w:eastAsia="ko-KR"/>
              </w:rPr>
            </w:pPr>
            <w:r>
              <w:rPr>
                <w:rFonts w:eastAsiaTheme="minorEastAsia" w:hint="eastAsia"/>
                <w:lang w:eastAsia="ja-JP"/>
              </w:rPr>
              <w:t>No</w:t>
            </w:r>
          </w:p>
        </w:tc>
        <w:tc>
          <w:tcPr>
            <w:tcW w:w="5403" w:type="dxa"/>
            <w:shd w:val="clear" w:color="auto" w:fill="auto"/>
          </w:tcPr>
          <w:p w14:paraId="351B353A" w14:textId="6A7D3AFD" w:rsidR="00E550D0" w:rsidRDefault="00E550D0" w:rsidP="00E550D0">
            <w:pPr>
              <w:jc w:val="center"/>
              <w:rPr>
                <w:rFonts w:eastAsiaTheme="minorEastAsia"/>
                <w:lang w:eastAsia="ko-KR"/>
              </w:rPr>
            </w:pPr>
            <w:r>
              <w:rPr>
                <w:rFonts w:eastAsiaTheme="minorEastAsia" w:hint="eastAsia"/>
                <w:lang w:eastAsia="ja-JP"/>
              </w:rPr>
              <w:t>We don</w:t>
            </w:r>
            <w:r>
              <w:rPr>
                <w:rFonts w:eastAsiaTheme="minorEastAsia"/>
                <w:lang w:eastAsia="ja-JP"/>
              </w:rPr>
              <w:t>’t see the necessity of supporting the timing modes for Case C and D. Since to support case C and D, IAB needs to operate MT and DU individually (with implementing dual panels / transceivers), and isolation between MT and DU may be guaranteed by implementation.</w:t>
            </w: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f1"/>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A new range for T_delta will likely be needed, but this can likely be comprised within the existing signalling format.</w:t>
            </w:r>
          </w:p>
        </w:tc>
      </w:tr>
      <w:tr w:rsidR="00A2169F" w14:paraId="2B3EBBA2" w14:textId="77777777" w:rsidTr="00A56619">
        <w:tc>
          <w:tcPr>
            <w:tcW w:w="2245" w:type="dxa"/>
            <w:shd w:val="clear" w:color="auto" w:fill="auto"/>
          </w:tcPr>
          <w:p w14:paraId="66E1B2A5" w14:textId="3B81FBDF"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7B8F560E" w14:textId="04A85CA0" w:rsidR="00A2169F" w:rsidRDefault="00A2169F" w:rsidP="00A2169F">
            <w:pPr>
              <w:jc w:val="center"/>
              <w:rPr>
                <w:lang w:eastAsia="ko-KR"/>
              </w:rPr>
            </w:pPr>
            <w:r>
              <w:rPr>
                <w:rStyle w:val="normaltextrun"/>
              </w:rPr>
              <w:t>Not sure</w:t>
            </w:r>
            <w:r>
              <w:rPr>
                <w:rStyle w:val="eop"/>
              </w:rPr>
              <w:t> </w:t>
            </w:r>
          </w:p>
        </w:tc>
        <w:tc>
          <w:tcPr>
            <w:tcW w:w="5403" w:type="dxa"/>
            <w:shd w:val="clear" w:color="auto" w:fill="auto"/>
          </w:tcPr>
          <w:p w14:paraId="44E5496D" w14:textId="49F62BF5" w:rsidR="00A2169F" w:rsidRDefault="00A2169F" w:rsidP="00A2169F">
            <w:pPr>
              <w:jc w:val="center"/>
              <w:rPr>
                <w:lang w:eastAsia="ko-KR"/>
              </w:rPr>
            </w:pPr>
            <w:r>
              <w:rPr>
                <w:rStyle w:val="normaltextrun"/>
              </w:rPr>
              <w:t xml:space="preserve">The intention of the proposal is not clear to us. What is meant by Rel-16 OTA time synchronization here ? is that T_delta that </w:t>
            </w:r>
            <w:r>
              <w:rPr>
                <w:rStyle w:val="normaltextrun"/>
              </w:rPr>
              <w:lastRenderedPageBreak/>
              <w:t>is needed defined for Case #1, or include any other aspects. For Case #6, it is not required to have Case #1 timing. </w:t>
            </w:r>
            <w:r>
              <w:rPr>
                <w:rStyle w:val="eop"/>
              </w:rPr>
              <w:t> </w:t>
            </w:r>
          </w:p>
        </w:tc>
      </w:tr>
      <w:tr w:rsidR="004967A0" w14:paraId="32CC50AF" w14:textId="77777777" w:rsidTr="00A56619">
        <w:tc>
          <w:tcPr>
            <w:tcW w:w="2245" w:type="dxa"/>
            <w:shd w:val="clear" w:color="auto" w:fill="auto"/>
          </w:tcPr>
          <w:p w14:paraId="0D23F84F" w14:textId="417ED9D3" w:rsidR="004967A0" w:rsidRDefault="004967A0" w:rsidP="004967A0">
            <w:pPr>
              <w:jc w:val="center"/>
              <w:rPr>
                <w:rStyle w:val="normaltextrun"/>
              </w:rPr>
            </w:pPr>
            <w:r>
              <w:rPr>
                <w:rFonts w:eastAsiaTheme="minorEastAsia" w:hint="eastAsia"/>
                <w:lang w:eastAsia="ko-KR"/>
              </w:rPr>
              <w:lastRenderedPageBreak/>
              <w:t>Samsung</w:t>
            </w:r>
          </w:p>
        </w:tc>
        <w:tc>
          <w:tcPr>
            <w:tcW w:w="1981" w:type="dxa"/>
            <w:shd w:val="clear" w:color="auto" w:fill="auto"/>
          </w:tcPr>
          <w:p w14:paraId="37F9B19C" w14:textId="3A773FB5"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011F8F62" w14:textId="0BD3C43F" w:rsidR="004967A0" w:rsidRDefault="004967A0" w:rsidP="004967A0">
            <w:pPr>
              <w:jc w:val="center"/>
              <w:rPr>
                <w:rStyle w:val="normaltextrun"/>
              </w:rPr>
            </w:pPr>
            <w:r>
              <w:rPr>
                <w:rFonts w:eastAsiaTheme="minorEastAsia" w:hint="eastAsia"/>
                <w:lang w:eastAsia="ko-KR"/>
              </w:rPr>
              <w:t xml:space="preserve">It should be a baseline because Case 1 is needed to align DL TX timing even </w:t>
            </w:r>
            <w:r>
              <w:rPr>
                <w:rFonts w:eastAsiaTheme="minorEastAsia"/>
                <w:lang w:eastAsia="ko-KR"/>
              </w:rPr>
              <w:t>when operating in</w:t>
            </w:r>
            <w:r>
              <w:rPr>
                <w:rFonts w:eastAsiaTheme="minorEastAsia" w:hint="eastAsia"/>
                <w:lang w:eastAsia="ko-KR"/>
              </w:rPr>
              <w:t xml:space="preserve"> Case </w:t>
            </w:r>
            <w:r>
              <w:rPr>
                <w:rFonts w:eastAsiaTheme="minorEastAsia"/>
                <w:lang w:eastAsia="ko-KR"/>
              </w:rPr>
              <w:t>6</w:t>
            </w:r>
            <w:r>
              <w:rPr>
                <w:rFonts w:eastAsiaTheme="minorEastAsia" w:hint="eastAsia"/>
                <w:lang w:eastAsia="ko-KR"/>
              </w:rPr>
              <w:t xml:space="preserve"> and Case 7</w:t>
            </w:r>
            <w:r>
              <w:rPr>
                <w:rFonts w:eastAsiaTheme="minorEastAsia"/>
                <w:lang w:eastAsia="ko-KR"/>
              </w:rPr>
              <w:t>.</w:t>
            </w:r>
          </w:p>
        </w:tc>
      </w:tr>
      <w:tr w:rsidR="00E550D0" w14:paraId="6200CE0B" w14:textId="77777777" w:rsidTr="00A56619">
        <w:tc>
          <w:tcPr>
            <w:tcW w:w="2245" w:type="dxa"/>
            <w:shd w:val="clear" w:color="auto" w:fill="auto"/>
          </w:tcPr>
          <w:p w14:paraId="74D7F075" w14:textId="161F65F2" w:rsidR="00E550D0" w:rsidRDefault="00E550D0" w:rsidP="00E550D0">
            <w:pPr>
              <w:jc w:val="center"/>
              <w:rPr>
                <w:rFonts w:eastAsiaTheme="minorEastAsia" w:hint="eastAsia"/>
                <w:lang w:eastAsia="ko-KR"/>
              </w:rPr>
            </w:pPr>
            <w:r>
              <w:rPr>
                <w:rFonts w:eastAsiaTheme="minorEastAsia" w:hint="eastAsia"/>
                <w:lang w:eastAsia="ja-JP"/>
              </w:rPr>
              <w:t>NTT DOCOMO</w:t>
            </w:r>
          </w:p>
        </w:tc>
        <w:tc>
          <w:tcPr>
            <w:tcW w:w="1981" w:type="dxa"/>
            <w:shd w:val="clear" w:color="auto" w:fill="auto"/>
          </w:tcPr>
          <w:p w14:paraId="1B30B736" w14:textId="4D96B0C8" w:rsidR="00E550D0" w:rsidRDefault="00E550D0" w:rsidP="00E550D0">
            <w:pPr>
              <w:jc w:val="center"/>
              <w:rPr>
                <w:rFonts w:eastAsiaTheme="minorEastAsia" w:hint="eastAsia"/>
                <w:lang w:eastAsia="ko-KR"/>
              </w:rPr>
            </w:pPr>
            <w:r>
              <w:rPr>
                <w:rFonts w:eastAsiaTheme="minorEastAsia" w:hint="eastAsia"/>
                <w:lang w:eastAsia="ja-JP"/>
              </w:rPr>
              <w:t>Yes</w:t>
            </w:r>
          </w:p>
        </w:tc>
        <w:tc>
          <w:tcPr>
            <w:tcW w:w="5403" w:type="dxa"/>
            <w:shd w:val="clear" w:color="auto" w:fill="auto"/>
          </w:tcPr>
          <w:p w14:paraId="36F14C17" w14:textId="2908C784" w:rsidR="00E550D0" w:rsidRDefault="00E550D0" w:rsidP="00E550D0">
            <w:pPr>
              <w:jc w:val="center"/>
              <w:rPr>
                <w:rFonts w:eastAsiaTheme="minorEastAsia" w:hint="eastAsia"/>
                <w:lang w:eastAsia="ko-KR"/>
              </w:rPr>
            </w:pPr>
            <w:r>
              <w:rPr>
                <w:rFonts w:eastAsiaTheme="minorEastAsia" w:hint="eastAsia"/>
                <w:lang w:eastAsia="ja-JP"/>
              </w:rPr>
              <w:t xml:space="preserve">If the proposal </w:t>
            </w:r>
            <w:r>
              <w:rPr>
                <w:rFonts w:eastAsiaTheme="minorEastAsia"/>
                <w:lang w:eastAsia="ja-JP"/>
              </w:rPr>
              <w:t>indicates</w:t>
            </w:r>
            <w:r>
              <w:rPr>
                <w:rFonts w:eastAsiaTheme="minorEastAsia" w:hint="eastAsia"/>
                <w:lang w:eastAsia="ja-JP"/>
              </w:rPr>
              <w:t xml:space="preserve"> that </w:t>
            </w:r>
            <w:r>
              <w:rPr>
                <w:rFonts w:eastAsiaTheme="minorEastAsia"/>
                <w:lang w:eastAsia="ja-JP"/>
              </w:rPr>
              <w:t>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f1"/>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A2169F" w14:paraId="135AE12F" w14:textId="77777777" w:rsidTr="00A56619">
        <w:tc>
          <w:tcPr>
            <w:tcW w:w="2245" w:type="dxa"/>
            <w:shd w:val="clear" w:color="auto" w:fill="auto"/>
          </w:tcPr>
          <w:p w14:paraId="3A25BBC4" w14:textId="569FFD1E" w:rsidR="00A2169F" w:rsidRDefault="00A2169F" w:rsidP="00A2169F">
            <w:pPr>
              <w:jc w:val="center"/>
              <w:rPr>
                <w:lang w:eastAsia="ko-KR"/>
              </w:rPr>
            </w:pPr>
            <w:r>
              <w:rPr>
                <w:rStyle w:val="normaltextrun"/>
              </w:rPr>
              <w:t>Nokia</w:t>
            </w:r>
            <w:r>
              <w:rPr>
                <w:rStyle w:val="eop"/>
              </w:rPr>
              <w:t> </w:t>
            </w:r>
          </w:p>
        </w:tc>
        <w:tc>
          <w:tcPr>
            <w:tcW w:w="1981" w:type="dxa"/>
            <w:shd w:val="clear" w:color="auto" w:fill="auto"/>
          </w:tcPr>
          <w:p w14:paraId="54A12378" w14:textId="52BE4B67" w:rsidR="00A2169F" w:rsidRDefault="00A2169F" w:rsidP="00A2169F">
            <w:pPr>
              <w:jc w:val="center"/>
              <w:rPr>
                <w:lang w:eastAsia="ko-KR"/>
              </w:rPr>
            </w:pPr>
            <w:r>
              <w:rPr>
                <w:rStyle w:val="normaltextrun"/>
              </w:rPr>
              <w:t>Yes, partly</w:t>
            </w:r>
            <w:r>
              <w:rPr>
                <w:rStyle w:val="eop"/>
              </w:rPr>
              <w:t> </w:t>
            </w:r>
          </w:p>
        </w:tc>
        <w:tc>
          <w:tcPr>
            <w:tcW w:w="5403" w:type="dxa"/>
            <w:shd w:val="clear" w:color="auto" w:fill="auto"/>
          </w:tcPr>
          <w:p w14:paraId="44DAA78F" w14:textId="695F90A6" w:rsidR="00A2169F" w:rsidRDefault="00A2169F" w:rsidP="00A2169F">
            <w:pPr>
              <w:jc w:val="center"/>
              <w:rPr>
                <w:lang w:eastAsia="ko-KR"/>
              </w:rPr>
            </w:pPr>
            <w:r>
              <w:rPr>
                <w:rStyle w:val="normaltextrun"/>
              </w:rPr>
              <w:t xml:space="preserve">May be the wording is not fully clear. But we agree that as we did in the SI stage, the use of Case #6 in UL at the IAB MT should be at least controlled by the parent as parent node UL Rx is impacted by this. </w:t>
            </w:r>
            <w:r>
              <w:rPr>
                <w:rStyle w:val="eop"/>
              </w:rPr>
              <w:t> </w:t>
            </w:r>
          </w:p>
        </w:tc>
      </w:tr>
      <w:tr w:rsidR="004967A0" w14:paraId="0C7DA5DF" w14:textId="77777777" w:rsidTr="00A56619">
        <w:tc>
          <w:tcPr>
            <w:tcW w:w="2245" w:type="dxa"/>
            <w:shd w:val="clear" w:color="auto" w:fill="auto"/>
          </w:tcPr>
          <w:p w14:paraId="3ADB23DE" w14:textId="2656347C"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03FBDD22" w14:textId="542842B3" w:rsidR="004967A0" w:rsidRDefault="004967A0" w:rsidP="004967A0">
            <w:pPr>
              <w:jc w:val="center"/>
              <w:rPr>
                <w:rStyle w:val="normaltextrun"/>
              </w:rPr>
            </w:pPr>
            <w:r>
              <w:rPr>
                <w:rFonts w:eastAsiaTheme="minorEastAsia" w:hint="eastAsia"/>
                <w:lang w:eastAsia="ko-KR"/>
              </w:rPr>
              <w:t>Yes</w:t>
            </w:r>
          </w:p>
        </w:tc>
        <w:tc>
          <w:tcPr>
            <w:tcW w:w="5403" w:type="dxa"/>
            <w:shd w:val="clear" w:color="auto" w:fill="auto"/>
          </w:tcPr>
          <w:p w14:paraId="705F20E3" w14:textId="69A2DFB8" w:rsidR="004967A0" w:rsidRDefault="004967A0" w:rsidP="004967A0">
            <w:pPr>
              <w:jc w:val="center"/>
              <w:rPr>
                <w:rStyle w:val="normaltextrun"/>
              </w:rPr>
            </w:pPr>
          </w:p>
        </w:tc>
      </w:tr>
      <w:tr w:rsidR="00E550D0" w14:paraId="2A93E4E0" w14:textId="77777777" w:rsidTr="00A56619">
        <w:tc>
          <w:tcPr>
            <w:tcW w:w="2245" w:type="dxa"/>
            <w:shd w:val="clear" w:color="auto" w:fill="auto"/>
          </w:tcPr>
          <w:p w14:paraId="5A348F2E" w14:textId="5BEE4C5B" w:rsidR="00E550D0" w:rsidRDefault="00E550D0" w:rsidP="00E550D0">
            <w:pPr>
              <w:jc w:val="center"/>
              <w:rPr>
                <w:rFonts w:eastAsiaTheme="minorEastAsia" w:hint="eastAsia"/>
                <w:lang w:eastAsia="ko-KR"/>
              </w:rPr>
            </w:pPr>
            <w:r>
              <w:rPr>
                <w:rFonts w:eastAsiaTheme="minorEastAsia" w:hint="eastAsia"/>
                <w:lang w:eastAsia="ja-JP"/>
              </w:rPr>
              <w:t>NTT DOCOMO</w:t>
            </w:r>
          </w:p>
        </w:tc>
        <w:tc>
          <w:tcPr>
            <w:tcW w:w="1981" w:type="dxa"/>
            <w:shd w:val="clear" w:color="auto" w:fill="auto"/>
          </w:tcPr>
          <w:p w14:paraId="2D65AB2F" w14:textId="5FF42496" w:rsidR="00E550D0" w:rsidRDefault="00E550D0" w:rsidP="00E550D0">
            <w:pPr>
              <w:jc w:val="center"/>
              <w:rPr>
                <w:rFonts w:eastAsiaTheme="minorEastAsia" w:hint="eastAsia"/>
                <w:lang w:eastAsia="ko-KR"/>
              </w:rPr>
            </w:pPr>
            <w:r>
              <w:rPr>
                <w:rFonts w:eastAsiaTheme="minorEastAsia" w:hint="eastAsia"/>
                <w:lang w:eastAsia="ja-JP"/>
              </w:rPr>
              <w:t>Yes</w:t>
            </w:r>
          </w:p>
        </w:tc>
        <w:tc>
          <w:tcPr>
            <w:tcW w:w="5403" w:type="dxa"/>
            <w:shd w:val="clear" w:color="auto" w:fill="auto"/>
          </w:tcPr>
          <w:p w14:paraId="3064EAE3" w14:textId="342C6D0E" w:rsidR="00E550D0" w:rsidRDefault="00E550D0" w:rsidP="00E550D0">
            <w:pPr>
              <w:jc w:val="center"/>
              <w:rPr>
                <w:rStyle w:val="normaltextrun"/>
              </w:rPr>
            </w:pPr>
            <w:r>
              <w:rPr>
                <w:rFonts w:eastAsiaTheme="minorEastAsia" w:hint="eastAsia"/>
                <w:lang w:eastAsia="ja-JP"/>
              </w:rPr>
              <w:t xml:space="preserve">We support that the parent node control the UL transmission timing </w:t>
            </w:r>
            <w:r>
              <w:rPr>
                <w:rFonts w:eastAsiaTheme="minorEastAsia"/>
                <w:lang w:eastAsia="ja-JP"/>
              </w:rPr>
              <w:t>of IAB-MT.</w:t>
            </w: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aff1"/>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Huawei, HiSilicon</w:t>
            </w:r>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 xml:space="preserve">power gap between the interference and desired signals is </w:t>
            </w:r>
            <w:r w:rsidRPr="00332A2B">
              <w:rPr>
                <w:rFonts w:eastAsiaTheme="minorHAnsi"/>
                <w:i/>
                <w:iCs/>
                <w:lang w:val="en-US"/>
              </w:rPr>
              <w:lastRenderedPageBreak/>
              <w:t>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lastRenderedPageBreak/>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configuration exchange between gNBs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Discuss which cases of inter-IAB-node interference scenario is/are targeted for Rel-17 eIAB.</w:t>
            </w:r>
          </w:p>
          <w:p w14:paraId="28D4C070" w14:textId="213B7509" w:rsidR="00612F47" w:rsidRPr="0047750C" w:rsidRDefault="00612F47" w:rsidP="00612F47">
            <w:pPr>
              <w:pStyle w:val="a9"/>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1: Victim IAB-node is receiving in DL via its MT, interfering IAB-node is transmitting in ULvia its MT;</w:t>
            </w:r>
          </w:p>
          <w:p w14:paraId="3BE10509" w14:textId="6DD78DCD" w:rsidR="00612F47" w:rsidRPr="0047750C" w:rsidRDefault="00612F47" w:rsidP="00612F47">
            <w:pPr>
              <w:pStyle w:val="a9"/>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2: Victim IAB-node is receiving in DL via its MT, interfering IAB-node is transmitting in DLvia its DU;</w:t>
            </w:r>
          </w:p>
          <w:p w14:paraId="67D0B2DF" w14:textId="48BBBF92" w:rsidR="00612F47" w:rsidRPr="0047750C" w:rsidRDefault="00612F47" w:rsidP="00612F47">
            <w:pPr>
              <w:pStyle w:val="a9"/>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a9"/>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r>
              <w:t>CEWiT, Tejas Networks, Reliance Jio, IITM, Saankhya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SI handling methods should be supported for both single panel or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lastRenderedPageBreak/>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lastRenderedPageBreak/>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lastRenderedPageBreak/>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lastRenderedPageBreak/>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if the IAB‐node was an ordinary gNB.</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a9"/>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a9"/>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aff1"/>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 xml:space="preserve">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w:t>
            </w:r>
            <w:r>
              <w:lastRenderedPageBreak/>
              <w:t>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lastRenderedPageBreak/>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First, interference to nodes outside the IAB network must also be considered, in particular for UL slots. Second, we don’t think a discussion about full duplex specific issues is warranted until full duplex has been agreed.</w:t>
            </w:r>
          </w:p>
        </w:tc>
      </w:tr>
      <w:tr w:rsidR="00A2169F" w14:paraId="076DED64" w14:textId="77777777" w:rsidTr="003D0D58">
        <w:tc>
          <w:tcPr>
            <w:tcW w:w="2243" w:type="dxa"/>
            <w:shd w:val="clear" w:color="auto" w:fill="auto"/>
          </w:tcPr>
          <w:p w14:paraId="72E75AFC" w14:textId="0C66066A" w:rsidR="00A2169F" w:rsidRDefault="00A2169F" w:rsidP="00A2169F">
            <w:pPr>
              <w:jc w:val="center"/>
            </w:pPr>
            <w:r>
              <w:rPr>
                <w:rStyle w:val="normaltextrun"/>
              </w:rPr>
              <w:t>Nokia</w:t>
            </w:r>
            <w:r>
              <w:rPr>
                <w:rStyle w:val="eop"/>
              </w:rPr>
              <w:t> </w:t>
            </w:r>
          </w:p>
        </w:tc>
        <w:tc>
          <w:tcPr>
            <w:tcW w:w="1981" w:type="dxa"/>
            <w:shd w:val="clear" w:color="auto" w:fill="auto"/>
          </w:tcPr>
          <w:p w14:paraId="309A59BA" w14:textId="4110C3AF" w:rsidR="00A2169F" w:rsidRDefault="00A2169F" w:rsidP="00A2169F">
            <w:pPr>
              <w:jc w:val="center"/>
            </w:pPr>
            <w:r>
              <w:rPr>
                <w:rStyle w:val="normaltextrun"/>
              </w:rPr>
              <w:t>Yes, partly</w:t>
            </w:r>
            <w:r>
              <w:rPr>
                <w:rStyle w:val="eop"/>
              </w:rPr>
              <w:t> </w:t>
            </w:r>
          </w:p>
        </w:tc>
        <w:tc>
          <w:tcPr>
            <w:tcW w:w="5405" w:type="dxa"/>
            <w:shd w:val="clear" w:color="auto" w:fill="auto"/>
          </w:tcPr>
          <w:p w14:paraId="2C7108DE" w14:textId="3B2FECBD" w:rsidR="00A2169F" w:rsidRDefault="00A2169F" w:rsidP="00A2169F">
            <w:pPr>
              <w:jc w:val="center"/>
            </w:pPr>
            <w:r>
              <w:rPr>
                <w:rStyle w:val="normaltextrun"/>
              </w:rPr>
              <w:t>Agree with the first part, not with the self-interference scenarios. That is not having any spec impact. </w:t>
            </w:r>
            <w:r>
              <w:rPr>
                <w:rStyle w:val="eop"/>
              </w:rPr>
              <w:t> </w:t>
            </w:r>
          </w:p>
        </w:tc>
      </w:tr>
      <w:tr w:rsidR="004967A0" w14:paraId="31CCE125" w14:textId="77777777" w:rsidTr="003D0D58">
        <w:tc>
          <w:tcPr>
            <w:tcW w:w="2243" w:type="dxa"/>
            <w:shd w:val="clear" w:color="auto" w:fill="auto"/>
          </w:tcPr>
          <w:p w14:paraId="5B2ADAA1" w14:textId="224ADC4D"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1612303A" w14:textId="2CF232BE"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52D0DD76" w14:textId="62916269" w:rsidR="004967A0" w:rsidRDefault="004967A0" w:rsidP="004967A0">
            <w:pPr>
              <w:jc w:val="center"/>
              <w:rPr>
                <w:rStyle w:val="normaltextrun"/>
              </w:rPr>
            </w:pPr>
            <w:r>
              <w:rPr>
                <w:rFonts w:eastAsiaTheme="minorEastAsia"/>
                <w:lang w:eastAsia="ko-KR"/>
              </w:rPr>
              <w:t xml:space="preserve">We are fine to discuss interference management at least for </w:t>
            </w:r>
            <w:r>
              <w:rPr>
                <w:rFonts w:eastAsiaTheme="minorEastAsia" w:hint="eastAsia"/>
                <w:lang w:eastAsia="ko-KR"/>
              </w:rPr>
              <w:t>int</w:t>
            </w:r>
            <w:r>
              <w:rPr>
                <w:rFonts w:eastAsiaTheme="minorEastAsia"/>
                <w:lang w:eastAsia="ko-KR"/>
              </w:rPr>
              <w:t>er</w:t>
            </w:r>
            <w:r>
              <w:rPr>
                <w:rFonts w:eastAsiaTheme="minorEastAsia" w:hint="eastAsia"/>
                <w:lang w:eastAsia="ko-KR"/>
              </w:rPr>
              <w:t>-IAB node</w:t>
            </w:r>
            <w:r>
              <w:rPr>
                <w:rFonts w:eastAsiaTheme="minorEastAsia"/>
                <w:lang w:eastAsia="ko-KR"/>
              </w:rPr>
              <w:t xml:space="preserve"> scenario.</w:t>
            </w:r>
          </w:p>
        </w:tc>
      </w:tr>
      <w:tr w:rsidR="00E550D0" w14:paraId="16228589" w14:textId="77777777" w:rsidTr="003D0D58">
        <w:tc>
          <w:tcPr>
            <w:tcW w:w="2243" w:type="dxa"/>
            <w:shd w:val="clear" w:color="auto" w:fill="auto"/>
          </w:tcPr>
          <w:p w14:paraId="6544AF56" w14:textId="77825CAF" w:rsidR="00E550D0" w:rsidRDefault="00E550D0" w:rsidP="00E550D0">
            <w:pPr>
              <w:jc w:val="center"/>
              <w:rPr>
                <w:rFonts w:eastAsiaTheme="minorEastAsia" w:hint="eastAsia"/>
                <w:lang w:eastAsia="ko-KR"/>
              </w:rPr>
            </w:pPr>
            <w:r>
              <w:rPr>
                <w:rStyle w:val="normaltextrun"/>
                <w:rFonts w:eastAsia="ＭＳ 明朝" w:hint="eastAsia"/>
                <w:lang w:eastAsia="ja-JP"/>
              </w:rPr>
              <w:t>NT</w:t>
            </w:r>
            <w:r>
              <w:rPr>
                <w:rStyle w:val="normaltextrun"/>
                <w:rFonts w:eastAsia="ＭＳ 明朝"/>
                <w:lang w:eastAsia="ja-JP"/>
              </w:rPr>
              <w:t>T DOCOMO</w:t>
            </w:r>
          </w:p>
        </w:tc>
        <w:tc>
          <w:tcPr>
            <w:tcW w:w="1981" w:type="dxa"/>
            <w:shd w:val="clear" w:color="auto" w:fill="auto"/>
          </w:tcPr>
          <w:p w14:paraId="17076ECE" w14:textId="5F2A96B7" w:rsidR="00E550D0" w:rsidRDefault="00E550D0" w:rsidP="00E550D0">
            <w:pPr>
              <w:jc w:val="center"/>
              <w:rPr>
                <w:rFonts w:eastAsiaTheme="minorEastAsia" w:hint="eastAsia"/>
                <w:lang w:eastAsia="ko-KR"/>
              </w:rPr>
            </w:pPr>
            <w:r>
              <w:rPr>
                <w:rStyle w:val="normaltextrun"/>
                <w:rFonts w:eastAsia="ＭＳ 明朝" w:hint="eastAsia"/>
                <w:lang w:eastAsia="ja-JP"/>
              </w:rPr>
              <w:t>Yes for inter-IAB</w:t>
            </w:r>
          </w:p>
        </w:tc>
        <w:tc>
          <w:tcPr>
            <w:tcW w:w="5405" w:type="dxa"/>
            <w:shd w:val="clear" w:color="auto" w:fill="auto"/>
          </w:tcPr>
          <w:p w14:paraId="13329248" w14:textId="7FE4CF1B" w:rsidR="00E550D0" w:rsidRDefault="00E550D0" w:rsidP="00E550D0">
            <w:pPr>
              <w:jc w:val="center"/>
              <w:rPr>
                <w:rFonts w:eastAsiaTheme="minorEastAsia"/>
                <w:lang w:eastAsia="ko-KR"/>
              </w:rPr>
            </w:pPr>
            <w:r>
              <w:rPr>
                <w:rStyle w:val="normaltextrun"/>
                <w:rFonts w:eastAsia="ＭＳ 明朝"/>
                <w:lang w:eastAsia="ja-JP"/>
              </w:rPr>
              <w:t>For the self-interference, it may be covered by implementation.</w:t>
            </w: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aff1"/>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Huawei, HiSilicon</w:t>
            </w:r>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configuration exchange between gNBs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lastRenderedPageBreak/>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antenna and beamforming based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a9"/>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and/or signalling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r>
              <w:t>CEWiT, Tejas Networks, Reliance Jio, IITM, Saankhya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like network synchronisation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SI handling methods should be supported for both single panel or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t>ZTE, Sanechips</w:t>
            </w:r>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lastRenderedPageBreak/>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a9"/>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a9"/>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a9"/>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a9"/>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a9"/>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a9"/>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a9"/>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lastRenderedPageBreak/>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a9"/>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a9"/>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a9"/>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a9"/>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a9"/>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a9"/>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a9"/>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a9"/>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a9"/>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a9"/>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a9"/>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a9"/>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aff1"/>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r>
              <w:t>So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MT-to-MT can follow existing UE-to-UE CLI management. Per Proposal 3.1, also DU-to-MT and MT-to-DU interference management may need to be included.</w:t>
            </w:r>
          </w:p>
        </w:tc>
      </w:tr>
      <w:tr w:rsidR="00A2169F" w14:paraId="4BC95A3A" w14:textId="77777777" w:rsidTr="004967A0">
        <w:trPr>
          <w:trHeight w:val="149"/>
        </w:trPr>
        <w:tc>
          <w:tcPr>
            <w:tcW w:w="2243" w:type="dxa"/>
            <w:shd w:val="clear" w:color="auto" w:fill="auto"/>
          </w:tcPr>
          <w:p w14:paraId="3FBCB69A" w14:textId="32EB75C5" w:rsidR="00A2169F" w:rsidRDefault="00A2169F" w:rsidP="00A2169F">
            <w:pPr>
              <w:jc w:val="center"/>
              <w:rPr>
                <w:rFonts w:eastAsia="DengXian"/>
                <w:lang w:eastAsia="zh-CN"/>
              </w:rPr>
            </w:pPr>
            <w:r>
              <w:rPr>
                <w:rStyle w:val="normaltextrun"/>
              </w:rPr>
              <w:lastRenderedPageBreak/>
              <w:t>Nokia</w:t>
            </w:r>
            <w:r>
              <w:rPr>
                <w:rStyle w:val="eop"/>
              </w:rPr>
              <w:t> </w:t>
            </w:r>
          </w:p>
        </w:tc>
        <w:tc>
          <w:tcPr>
            <w:tcW w:w="1981" w:type="dxa"/>
            <w:shd w:val="clear" w:color="auto" w:fill="auto"/>
          </w:tcPr>
          <w:p w14:paraId="45B61453" w14:textId="0E11DAA4" w:rsidR="00A2169F" w:rsidRDefault="00A2169F" w:rsidP="00A2169F">
            <w:pPr>
              <w:jc w:val="center"/>
              <w:rPr>
                <w:rFonts w:eastAsia="DengXian"/>
                <w:lang w:eastAsia="zh-CN"/>
              </w:rPr>
            </w:pPr>
            <w:r>
              <w:rPr>
                <w:rStyle w:val="normaltextrun"/>
              </w:rPr>
              <w:t>Yes</w:t>
            </w:r>
            <w:r>
              <w:rPr>
                <w:rStyle w:val="eop"/>
              </w:rPr>
              <w:t> </w:t>
            </w:r>
          </w:p>
        </w:tc>
        <w:tc>
          <w:tcPr>
            <w:tcW w:w="5405" w:type="dxa"/>
            <w:shd w:val="clear" w:color="auto" w:fill="auto"/>
          </w:tcPr>
          <w:p w14:paraId="5DFD7169" w14:textId="77777777" w:rsidR="00A2169F" w:rsidRDefault="00A2169F" w:rsidP="00A2169F">
            <w:pPr>
              <w:pStyle w:val="paragraph"/>
              <w:textAlignment w:val="baseline"/>
              <w:divId w:val="1997487905"/>
            </w:pPr>
            <w:r>
              <w:rPr>
                <w:rStyle w:val="normaltextrun"/>
                <w:sz w:val="20"/>
              </w:rPr>
              <w:t>We think that wording should be bit relaxed here as specification impact is not fully clear with different proposals.  </w:t>
            </w:r>
            <w:r>
              <w:rPr>
                <w:rStyle w:val="eop"/>
                <w:sz w:val="20"/>
              </w:rPr>
              <w:t> </w:t>
            </w:r>
          </w:p>
          <w:p w14:paraId="5EF4ACF3" w14:textId="77777777" w:rsidR="00A2169F" w:rsidRDefault="00A2169F" w:rsidP="00A2169F">
            <w:pPr>
              <w:pStyle w:val="paragraph"/>
              <w:textAlignment w:val="baseline"/>
              <w:divId w:val="1985239135"/>
            </w:pPr>
            <w:r>
              <w:rPr>
                <w:rStyle w:val="normaltextrun"/>
                <w:sz w:val="20"/>
              </w:rPr>
              <w:t>Extend the Rel-16 CLI framework to handle inter-IAB interference scenarios.</w:t>
            </w:r>
            <w:r>
              <w:rPr>
                <w:rStyle w:val="eop"/>
                <w:sz w:val="20"/>
              </w:rPr>
              <w:t> </w:t>
            </w:r>
          </w:p>
          <w:p w14:paraId="6B9BBE0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w:t>
            </w:r>
            <w:r>
              <w:rPr>
                <w:rStyle w:val="normaltextrun"/>
                <w:strike/>
                <w:color w:val="FF0000"/>
                <w:sz w:val="20"/>
              </w:rPr>
              <w:t>specify</w:t>
            </w:r>
            <w:r>
              <w:rPr>
                <w:rStyle w:val="normaltextrun"/>
                <w:sz w:val="20"/>
              </w:rPr>
              <w:t xml:space="preserve"> </w:t>
            </w:r>
            <w:r>
              <w:rPr>
                <w:rStyle w:val="normaltextrun"/>
                <w:color w:val="FF0000"/>
                <w:sz w:val="20"/>
              </w:rPr>
              <w:t>consider required</w:t>
            </w:r>
            <w:r>
              <w:rPr>
                <w:rStyle w:val="normaltextrun"/>
                <w:sz w:val="20"/>
              </w:rPr>
              <w:t xml:space="preserve"> </w:t>
            </w:r>
            <w:r>
              <w:rPr>
                <w:rStyle w:val="normaltextrun"/>
                <w:color w:val="FF0000"/>
                <w:sz w:val="20"/>
              </w:rPr>
              <w:t xml:space="preserve">enhancements on </w:t>
            </w:r>
            <w:r>
              <w:rPr>
                <w:rStyle w:val="normaltextrun"/>
                <w:sz w:val="20"/>
              </w:rPr>
              <w:t>DU-to-DU CLI management</w:t>
            </w:r>
            <w:r>
              <w:rPr>
                <w:rStyle w:val="eop"/>
                <w:sz w:val="20"/>
              </w:rPr>
              <w:t> </w:t>
            </w:r>
          </w:p>
          <w:p w14:paraId="50D59431"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 xml:space="preserve">FFS: extend the information exchange (e.g. the resource configuration, result of CLI measurements, etc.) among different entities </w:t>
            </w:r>
            <w:r>
              <w:rPr>
                <w:rStyle w:val="normaltextrun"/>
                <w:color w:val="FF0000"/>
                <w:sz w:val="20"/>
              </w:rPr>
              <w:t>(e.g. between parent-child nodes, adjacent IAB nodes) </w:t>
            </w:r>
            <w:r>
              <w:rPr>
                <w:rStyle w:val="eop"/>
                <w:color w:val="FF0000"/>
                <w:sz w:val="20"/>
              </w:rPr>
              <w:t> </w:t>
            </w:r>
          </w:p>
          <w:p w14:paraId="2CA2F5A4" w14:textId="77777777" w:rsidR="00A2169F" w:rsidRDefault="00A2169F" w:rsidP="00A2169F">
            <w:pPr>
              <w:pStyle w:val="paragraph"/>
              <w:numPr>
                <w:ilvl w:val="0"/>
                <w:numId w:val="44"/>
              </w:numPr>
              <w:tabs>
                <w:tab w:val="clear" w:pos="720"/>
              </w:tabs>
              <w:ind w:left="771" w:hanging="283"/>
              <w:textAlignment w:val="baseline"/>
              <w:divId w:val="1799109348"/>
              <w:rPr>
                <w:color w:val="5A5A5A"/>
                <w:sz w:val="20"/>
                <w:szCs w:val="20"/>
              </w:rPr>
            </w:pPr>
            <w:r>
              <w:rPr>
                <w:rStyle w:val="normaltextrun"/>
                <w:sz w:val="20"/>
              </w:rPr>
              <w:t>FFS: enhance the CLI measurement accuracy (e.g. via timing adjustment, etc.)</w:t>
            </w:r>
            <w:r>
              <w:rPr>
                <w:rStyle w:val="eop"/>
                <w:sz w:val="20"/>
              </w:rPr>
              <w:t> </w:t>
            </w:r>
          </w:p>
          <w:p w14:paraId="7536A0F2" w14:textId="233B958A" w:rsidR="00A2169F" w:rsidRDefault="00A2169F" w:rsidP="00A2169F">
            <w:pPr>
              <w:pStyle w:val="paragraph"/>
              <w:numPr>
                <w:ilvl w:val="0"/>
                <w:numId w:val="44"/>
              </w:numPr>
              <w:tabs>
                <w:tab w:val="clear" w:pos="720"/>
              </w:tabs>
              <w:ind w:left="771" w:hanging="283"/>
              <w:textAlignment w:val="baseline"/>
              <w:divId w:val="1799109348"/>
              <w:rPr>
                <w:rFonts w:eastAsia="DengXian"/>
                <w:lang w:eastAsia="zh-CN"/>
              </w:rPr>
            </w:pPr>
            <w:r>
              <w:rPr>
                <w:rStyle w:val="normaltextrun"/>
                <w:sz w:val="20"/>
              </w:rPr>
              <w:t xml:space="preserve">FFS: </w:t>
            </w:r>
            <w:r>
              <w:rPr>
                <w:rStyle w:val="normaltextrun"/>
                <w:strike/>
                <w:color w:val="FF0000"/>
                <w:sz w:val="20"/>
              </w:rPr>
              <w:t>extend</w:t>
            </w:r>
            <w:r>
              <w:rPr>
                <w:rStyle w:val="normaltextrun"/>
                <w:color w:val="FF0000"/>
                <w:sz w:val="20"/>
              </w:rPr>
              <w:t xml:space="preserve"> required enhancements on </w:t>
            </w:r>
            <w:r>
              <w:rPr>
                <w:rStyle w:val="normaltextrun"/>
                <w:sz w:val="20"/>
              </w:rPr>
              <w:t>CLI measurements (e.g. introducing short-term measurements, multi-beam measurements, etc.)</w:t>
            </w:r>
            <w:r>
              <w:rPr>
                <w:rStyle w:val="eop"/>
                <w:sz w:val="20"/>
              </w:rPr>
              <w:t> </w:t>
            </w:r>
          </w:p>
        </w:tc>
      </w:tr>
      <w:tr w:rsidR="004967A0" w14:paraId="07C6D95B" w14:textId="77777777" w:rsidTr="00E550D0">
        <w:trPr>
          <w:trHeight w:val="149"/>
        </w:trPr>
        <w:tc>
          <w:tcPr>
            <w:tcW w:w="2243" w:type="dxa"/>
            <w:shd w:val="clear" w:color="auto" w:fill="auto"/>
          </w:tcPr>
          <w:p w14:paraId="777590C3" w14:textId="5DEBB29D" w:rsidR="004967A0" w:rsidRDefault="004967A0" w:rsidP="004967A0">
            <w:pPr>
              <w:jc w:val="center"/>
              <w:rPr>
                <w:rStyle w:val="normaltextrun"/>
              </w:rPr>
            </w:pPr>
            <w:r w:rsidRPr="000B64A2">
              <w:t>Samsung</w:t>
            </w:r>
          </w:p>
        </w:tc>
        <w:tc>
          <w:tcPr>
            <w:tcW w:w="1981" w:type="dxa"/>
            <w:shd w:val="clear" w:color="auto" w:fill="auto"/>
          </w:tcPr>
          <w:p w14:paraId="743F8D4F" w14:textId="77777777" w:rsidR="004967A0" w:rsidRDefault="004967A0" w:rsidP="004967A0">
            <w:pPr>
              <w:jc w:val="center"/>
              <w:rPr>
                <w:rStyle w:val="normaltextrun"/>
              </w:rPr>
            </w:pPr>
          </w:p>
        </w:tc>
        <w:tc>
          <w:tcPr>
            <w:tcW w:w="5405" w:type="dxa"/>
            <w:shd w:val="clear" w:color="auto" w:fill="auto"/>
          </w:tcPr>
          <w:p w14:paraId="451D154C" w14:textId="3630087A" w:rsidR="004967A0" w:rsidRDefault="004967A0" w:rsidP="004967A0">
            <w:pPr>
              <w:pStyle w:val="paragraph"/>
              <w:textAlignment w:val="baseline"/>
              <w:rPr>
                <w:rStyle w:val="normaltextrun"/>
                <w:sz w:val="20"/>
              </w:rPr>
            </w:pPr>
            <w:r w:rsidRPr="004967A0">
              <w:rPr>
                <w:sz w:val="20"/>
              </w:rPr>
              <w:t xml:space="preserve">We are fine to discuss some enhancements. But, it should be clarified what the issues cannot be addressed by the Rel-16 CLI framework are. </w:t>
            </w:r>
          </w:p>
        </w:tc>
      </w:tr>
      <w:tr w:rsidR="00E550D0" w14:paraId="04E760E0" w14:textId="77777777" w:rsidTr="00A2169F">
        <w:trPr>
          <w:trHeight w:val="149"/>
        </w:trPr>
        <w:tc>
          <w:tcPr>
            <w:tcW w:w="2243" w:type="dxa"/>
            <w:tcBorders>
              <w:bottom w:val="single" w:sz="4" w:space="0" w:color="auto"/>
            </w:tcBorders>
            <w:shd w:val="clear" w:color="auto" w:fill="auto"/>
          </w:tcPr>
          <w:p w14:paraId="0F5B8C90" w14:textId="06F7FCBB" w:rsidR="00E550D0" w:rsidRPr="000B64A2" w:rsidRDefault="00E550D0" w:rsidP="00E550D0">
            <w:pPr>
              <w:jc w:val="center"/>
            </w:pPr>
            <w:r>
              <w:rPr>
                <w:rStyle w:val="normaltextrun"/>
                <w:rFonts w:eastAsia="ＭＳ 明朝" w:hint="eastAsia"/>
                <w:lang w:eastAsia="ja-JP"/>
              </w:rPr>
              <w:t>NTT DOCOMO</w:t>
            </w:r>
          </w:p>
        </w:tc>
        <w:tc>
          <w:tcPr>
            <w:tcW w:w="1981" w:type="dxa"/>
            <w:tcBorders>
              <w:bottom w:val="single" w:sz="4" w:space="0" w:color="auto"/>
            </w:tcBorders>
            <w:shd w:val="clear" w:color="auto" w:fill="auto"/>
          </w:tcPr>
          <w:p w14:paraId="462C2FDA" w14:textId="77777777" w:rsidR="00E550D0" w:rsidRDefault="00E550D0" w:rsidP="00E550D0">
            <w:pPr>
              <w:jc w:val="center"/>
              <w:rPr>
                <w:rStyle w:val="normaltextrun"/>
              </w:rPr>
            </w:pPr>
          </w:p>
        </w:tc>
        <w:tc>
          <w:tcPr>
            <w:tcW w:w="5405" w:type="dxa"/>
            <w:tcBorders>
              <w:bottom w:val="single" w:sz="4" w:space="0" w:color="auto"/>
            </w:tcBorders>
            <w:shd w:val="clear" w:color="auto" w:fill="auto"/>
          </w:tcPr>
          <w:p w14:paraId="2834993C" w14:textId="72A75118" w:rsidR="00E550D0" w:rsidRPr="004967A0" w:rsidRDefault="00E550D0" w:rsidP="00E550D0">
            <w:pPr>
              <w:pStyle w:val="paragraph"/>
              <w:textAlignment w:val="baseline"/>
              <w:rPr>
                <w:sz w:val="20"/>
              </w:rPr>
            </w:pPr>
            <w:r>
              <w:rPr>
                <w:rStyle w:val="normaltextrun"/>
                <w:rFonts w:eastAsia="ＭＳ 明朝"/>
                <w:sz w:val="20"/>
                <w:lang w:eastAsia="ja-JP"/>
              </w:rPr>
              <w:t>W</w:t>
            </w:r>
            <w:r>
              <w:rPr>
                <w:rStyle w:val="normaltextrun"/>
                <w:rFonts w:eastAsia="ＭＳ 明朝" w:hint="eastAsia"/>
                <w:sz w:val="20"/>
                <w:lang w:eastAsia="ja-JP"/>
              </w:rPr>
              <w:t xml:space="preserve">e </w:t>
            </w:r>
            <w:r>
              <w:rPr>
                <w:rStyle w:val="normaltextrun"/>
                <w:rFonts w:eastAsia="ＭＳ 明朝"/>
                <w:sz w:val="20"/>
                <w:lang w:eastAsia="ja-JP"/>
              </w:rPr>
              <w:t>are open for the discussion, though we think enhancements on CLI may not be necessary, e.g. DU to DU CLI measurement may be handled by Rel-16 RIM (Remote Interference Management), or deployment.</w:t>
            </w: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a9"/>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a9"/>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aff1"/>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A2169F" w14:paraId="41D4D3D3" w14:textId="77777777" w:rsidTr="004967A0">
        <w:tc>
          <w:tcPr>
            <w:tcW w:w="2243" w:type="dxa"/>
            <w:shd w:val="clear" w:color="auto" w:fill="auto"/>
          </w:tcPr>
          <w:p w14:paraId="76AC2700" w14:textId="3D9919D5" w:rsidR="00A2169F" w:rsidRDefault="00A2169F" w:rsidP="00A2169F">
            <w:pPr>
              <w:jc w:val="center"/>
              <w:rPr>
                <w:rFonts w:eastAsia="DengXian"/>
                <w:lang w:eastAsia="zh-CN"/>
              </w:rPr>
            </w:pPr>
            <w:r>
              <w:rPr>
                <w:rStyle w:val="normaltextrun"/>
              </w:rPr>
              <w:t>Nokia</w:t>
            </w:r>
            <w:r>
              <w:rPr>
                <w:rStyle w:val="eop"/>
              </w:rPr>
              <w:t> </w:t>
            </w:r>
          </w:p>
        </w:tc>
        <w:tc>
          <w:tcPr>
            <w:tcW w:w="1981" w:type="dxa"/>
            <w:shd w:val="clear" w:color="auto" w:fill="auto"/>
          </w:tcPr>
          <w:p w14:paraId="45613132" w14:textId="3580C8C3" w:rsidR="00A2169F" w:rsidRDefault="00A2169F" w:rsidP="00A2169F">
            <w:pPr>
              <w:jc w:val="center"/>
              <w:rPr>
                <w:rFonts w:eastAsia="DengXian"/>
                <w:lang w:eastAsia="zh-CN"/>
              </w:rPr>
            </w:pPr>
            <w:r>
              <w:rPr>
                <w:rStyle w:val="normaltextrun"/>
              </w:rPr>
              <w:t>No</w:t>
            </w:r>
            <w:r>
              <w:rPr>
                <w:rStyle w:val="eop"/>
              </w:rPr>
              <w:t> </w:t>
            </w:r>
          </w:p>
        </w:tc>
        <w:tc>
          <w:tcPr>
            <w:tcW w:w="5405" w:type="dxa"/>
            <w:shd w:val="clear" w:color="auto" w:fill="auto"/>
          </w:tcPr>
          <w:p w14:paraId="3CA9314B" w14:textId="28A2A626" w:rsidR="00A2169F" w:rsidRDefault="00A2169F" w:rsidP="00A2169F">
            <w:pPr>
              <w:jc w:val="both"/>
              <w:rPr>
                <w:rFonts w:eastAsia="DengXian"/>
                <w:lang w:eastAsia="zh-CN"/>
              </w:rPr>
            </w:pPr>
            <w:r>
              <w:rPr>
                <w:rStyle w:val="normaltextrun"/>
              </w:rPr>
              <w:t>This does not have spec impact and should be pure implementation handling. </w:t>
            </w:r>
            <w:r>
              <w:rPr>
                <w:rStyle w:val="eop"/>
              </w:rPr>
              <w:t> </w:t>
            </w:r>
          </w:p>
        </w:tc>
      </w:tr>
      <w:tr w:rsidR="004967A0" w14:paraId="13E76BC3" w14:textId="77777777" w:rsidTr="00E550D0">
        <w:tc>
          <w:tcPr>
            <w:tcW w:w="2243" w:type="dxa"/>
            <w:shd w:val="clear" w:color="auto" w:fill="auto"/>
          </w:tcPr>
          <w:p w14:paraId="29D543A3" w14:textId="0C3E467E"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75909343" w14:textId="77777777" w:rsidR="004967A0" w:rsidRDefault="004967A0" w:rsidP="004967A0">
            <w:pPr>
              <w:jc w:val="center"/>
              <w:rPr>
                <w:rStyle w:val="normaltextrun"/>
              </w:rPr>
            </w:pPr>
          </w:p>
        </w:tc>
        <w:tc>
          <w:tcPr>
            <w:tcW w:w="5405" w:type="dxa"/>
            <w:shd w:val="clear" w:color="auto" w:fill="auto"/>
          </w:tcPr>
          <w:p w14:paraId="466E6361" w14:textId="4C230B1E" w:rsidR="004967A0" w:rsidRDefault="004967A0" w:rsidP="004967A0">
            <w:pPr>
              <w:jc w:val="both"/>
              <w:rPr>
                <w:rStyle w:val="normaltextrun"/>
              </w:rPr>
            </w:pPr>
            <w:r>
              <w:rPr>
                <w:rFonts w:eastAsiaTheme="minorEastAsia"/>
                <w:lang w:eastAsia="ko-KR"/>
              </w:rPr>
              <w:t>We are fine to discuss it. But, it highly depends on whether or not Case C and Case D is supported in Rel-17.</w:t>
            </w:r>
          </w:p>
        </w:tc>
      </w:tr>
      <w:tr w:rsidR="00E550D0" w14:paraId="33EE2BD6" w14:textId="77777777" w:rsidTr="00A56619">
        <w:tc>
          <w:tcPr>
            <w:tcW w:w="2243" w:type="dxa"/>
            <w:tcBorders>
              <w:bottom w:val="single" w:sz="4" w:space="0" w:color="auto"/>
            </w:tcBorders>
            <w:shd w:val="clear" w:color="auto" w:fill="auto"/>
          </w:tcPr>
          <w:p w14:paraId="280149C4" w14:textId="1E19E143" w:rsidR="00E550D0" w:rsidRDefault="00E550D0" w:rsidP="00E550D0">
            <w:pPr>
              <w:jc w:val="center"/>
              <w:rPr>
                <w:rFonts w:eastAsiaTheme="minorEastAsia" w:hint="eastAsia"/>
                <w:lang w:eastAsia="ko-KR"/>
              </w:rPr>
            </w:pPr>
            <w:r>
              <w:rPr>
                <w:rStyle w:val="normaltextrun"/>
                <w:rFonts w:eastAsia="ＭＳ 明朝" w:hint="eastAsia"/>
                <w:lang w:eastAsia="ja-JP"/>
              </w:rPr>
              <w:t>NTT DOCOMO</w:t>
            </w:r>
          </w:p>
        </w:tc>
        <w:tc>
          <w:tcPr>
            <w:tcW w:w="1981" w:type="dxa"/>
            <w:tcBorders>
              <w:bottom w:val="single" w:sz="4" w:space="0" w:color="auto"/>
            </w:tcBorders>
            <w:shd w:val="clear" w:color="auto" w:fill="auto"/>
          </w:tcPr>
          <w:p w14:paraId="5477B905" w14:textId="61E379FD" w:rsidR="00E550D0" w:rsidRDefault="00E550D0" w:rsidP="00E550D0">
            <w:pPr>
              <w:jc w:val="center"/>
              <w:rPr>
                <w:rStyle w:val="normaltextrun"/>
              </w:rPr>
            </w:pPr>
            <w:r>
              <w:rPr>
                <w:rStyle w:val="normaltextrun"/>
                <w:rFonts w:eastAsia="ＭＳ 明朝" w:hint="eastAsia"/>
                <w:lang w:eastAsia="ja-JP"/>
              </w:rPr>
              <w:t>No</w:t>
            </w:r>
          </w:p>
        </w:tc>
        <w:tc>
          <w:tcPr>
            <w:tcW w:w="5405" w:type="dxa"/>
            <w:tcBorders>
              <w:bottom w:val="single" w:sz="4" w:space="0" w:color="auto"/>
            </w:tcBorders>
            <w:shd w:val="clear" w:color="auto" w:fill="auto"/>
          </w:tcPr>
          <w:p w14:paraId="1001E656" w14:textId="6ECBD705" w:rsidR="00E550D0" w:rsidRDefault="00E550D0" w:rsidP="00E550D0">
            <w:pPr>
              <w:jc w:val="both"/>
              <w:rPr>
                <w:rFonts w:eastAsiaTheme="minorEastAsia"/>
                <w:lang w:eastAsia="ko-KR"/>
              </w:rPr>
            </w:pPr>
            <w:r>
              <w:rPr>
                <w:rStyle w:val="normaltextrun"/>
                <w:rFonts w:eastAsia="ＭＳ 明朝"/>
                <w:lang w:eastAsia="ja-JP"/>
              </w:rPr>
              <w:t>For the self-interference, it may be covered by implementation.</w:t>
            </w: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a9"/>
        <w:numPr>
          <w:ilvl w:val="0"/>
          <w:numId w:val="14"/>
        </w:numPr>
        <w:rPr>
          <w:rFonts w:eastAsia="Calibri"/>
          <w:b/>
          <w:bCs/>
          <w:color w:val="auto"/>
          <w:sz w:val="20"/>
          <w:szCs w:val="20"/>
        </w:rPr>
      </w:pPr>
      <w:r>
        <w:rPr>
          <w:rFonts w:eastAsia="Calibri"/>
          <w:b/>
          <w:bCs/>
          <w:color w:val="auto"/>
          <w:sz w:val="20"/>
          <w:szCs w:val="20"/>
        </w:rPr>
        <w:lastRenderedPageBreak/>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a9"/>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aff1"/>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Regarding limitations to DL slots, we think that a discussion of IAB backhaul operations in UL slots must address legacy UE timing issues (potential negative TA during RA) w.r.t. Case 6 and Case 7 timing (either here or in the timing section).</w:t>
            </w:r>
          </w:p>
        </w:tc>
      </w:tr>
      <w:tr w:rsidR="00A2169F" w14:paraId="6223A57C" w14:textId="77777777" w:rsidTr="004967A0">
        <w:tc>
          <w:tcPr>
            <w:tcW w:w="2243" w:type="dxa"/>
            <w:shd w:val="clear" w:color="auto" w:fill="auto"/>
          </w:tcPr>
          <w:p w14:paraId="03AAD0AE" w14:textId="10A2C842" w:rsidR="00A2169F" w:rsidRDefault="00A2169F" w:rsidP="00A2169F">
            <w:pPr>
              <w:jc w:val="center"/>
              <w:rPr>
                <w:rFonts w:eastAsia="DengXian"/>
                <w:lang w:eastAsia="zh-CN"/>
              </w:rPr>
            </w:pPr>
            <w:r>
              <w:rPr>
                <w:rStyle w:val="normaltextrun"/>
              </w:rPr>
              <w:t>Nokia</w:t>
            </w:r>
            <w:r>
              <w:rPr>
                <w:rStyle w:val="eop"/>
              </w:rPr>
              <w:t> </w:t>
            </w:r>
          </w:p>
        </w:tc>
        <w:tc>
          <w:tcPr>
            <w:tcW w:w="1981" w:type="dxa"/>
            <w:shd w:val="clear" w:color="auto" w:fill="auto"/>
          </w:tcPr>
          <w:p w14:paraId="4B145A82" w14:textId="4FE950D6" w:rsidR="00A2169F" w:rsidRDefault="00A2169F" w:rsidP="00A2169F">
            <w:pPr>
              <w:jc w:val="center"/>
              <w:rPr>
                <w:rFonts w:eastAsia="DengXian"/>
                <w:lang w:eastAsia="zh-CN"/>
              </w:rPr>
            </w:pPr>
            <w:r>
              <w:rPr>
                <w:rStyle w:val="normaltextrun"/>
              </w:rPr>
              <w:t>Yes</w:t>
            </w:r>
            <w:r>
              <w:rPr>
                <w:rStyle w:val="eop"/>
              </w:rPr>
              <w:t> </w:t>
            </w:r>
          </w:p>
        </w:tc>
        <w:tc>
          <w:tcPr>
            <w:tcW w:w="5405" w:type="dxa"/>
            <w:shd w:val="clear" w:color="auto" w:fill="auto"/>
          </w:tcPr>
          <w:p w14:paraId="66E10903" w14:textId="44CEF8CF" w:rsidR="00A2169F" w:rsidRDefault="00A2169F" w:rsidP="00A2169F">
            <w:pPr>
              <w:jc w:val="both"/>
              <w:rPr>
                <w:rFonts w:eastAsia="DengXian"/>
                <w:lang w:eastAsia="zh-CN"/>
              </w:rPr>
            </w:pPr>
            <w:r>
              <w:rPr>
                <w:rStyle w:val="normaltextrun"/>
              </w:rPr>
              <w:t>We are open to discuss issues within this. </w:t>
            </w:r>
            <w:r>
              <w:rPr>
                <w:rStyle w:val="eop"/>
              </w:rPr>
              <w:t> </w:t>
            </w:r>
          </w:p>
        </w:tc>
      </w:tr>
      <w:tr w:rsidR="004967A0" w:rsidRPr="00CD2B6A" w14:paraId="58C27144" w14:textId="77777777" w:rsidTr="004967A0">
        <w:tc>
          <w:tcPr>
            <w:tcW w:w="2243" w:type="dxa"/>
          </w:tcPr>
          <w:p w14:paraId="3150FB29" w14:textId="77777777" w:rsidR="004967A0" w:rsidRPr="00CD2B6A" w:rsidRDefault="004967A0" w:rsidP="00314ED4">
            <w:pPr>
              <w:jc w:val="center"/>
              <w:rPr>
                <w:rFonts w:eastAsiaTheme="minorEastAsia"/>
                <w:lang w:eastAsia="ko-KR"/>
              </w:rPr>
            </w:pPr>
            <w:r>
              <w:rPr>
                <w:rFonts w:eastAsiaTheme="minorEastAsia" w:hint="eastAsia"/>
                <w:lang w:eastAsia="ko-KR"/>
              </w:rPr>
              <w:t>Samsung</w:t>
            </w:r>
          </w:p>
        </w:tc>
        <w:tc>
          <w:tcPr>
            <w:tcW w:w="1981" w:type="dxa"/>
          </w:tcPr>
          <w:p w14:paraId="0AC01696" w14:textId="77777777" w:rsidR="004967A0" w:rsidRPr="00CD2B6A" w:rsidRDefault="004967A0" w:rsidP="00314ED4">
            <w:pPr>
              <w:jc w:val="center"/>
              <w:rPr>
                <w:rFonts w:eastAsiaTheme="minorEastAsia"/>
                <w:lang w:eastAsia="ko-KR"/>
              </w:rPr>
            </w:pPr>
            <w:r>
              <w:rPr>
                <w:rFonts w:eastAsiaTheme="minorEastAsia" w:hint="eastAsia"/>
                <w:lang w:eastAsia="ko-KR"/>
              </w:rPr>
              <w:t>Yes</w:t>
            </w:r>
          </w:p>
        </w:tc>
        <w:tc>
          <w:tcPr>
            <w:tcW w:w="5405" w:type="dxa"/>
          </w:tcPr>
          <w:p w14:paraId="062F1EEF" w14:textId="77777777" w:rsidR="004967A0" w:rsidRPr="00CD2B6A" w:rsidRDefault="004967A0" w:rsidP="00314ED4">
            <w:pPr>
              <w:rPr>
                <w:rFonts w:eastAsiaTheme="minorEastAsia"/>
                <w:lang w:eastAsia="ko-KR"/>
              </w:rPr>
            </w:pPr>
            <w:r>
              <w:rPr>
                <w:rFonts w:eastAsiaTheme="minorEastAsia"/>
                <w:lang w:eastAsia="ko-KR"/>
              </w:rPr>
              <w:t xml:space="preserve">We are open to discuss the interference issues. </w:t>
            </w:r>
          </w:p>
        </w:tc>
      </w:tr>
    </w:tbl>
    <w:p w14:paraId="55D0C74F" w14:textId="77777777" w:rsidR="002B5A1A" w:rsidRPr="004967A0" w:rsidRDefault="002B5A1A" w:rsidP="00A24A69"/>
    <w:p w14:paraId="4EC208C9" w14:textId="77777777" w:rsidR="00A24A69" w:rsidRDefault="00A24A69" w:rsidP="00A24A69">
      <w:pPr>
        <w:pStyle w:val="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aff1"/>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Huawei, HiSilicon</w:t>
            </w:r>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lastRenderedPageBreak/>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lastRenderedPageBreak/>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gNB can be applied for IAB-MT during time designated for gNB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r>
              <w:t>CEWiT, Tejas Networks, Reliance Jio, IITM, Saankhya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ZTE, Sanechips</w:t>
            </w:r>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Child node assisted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lastRenderedPageBreak/>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lastRenderedPageBreak/>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lastRenderedPageBreak/>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lastRenderedPageBreak/>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FL Proposal 5.1b can be agreed with the understanding that “assistance information” can include, but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ＭＳ Ｐゴシック"/>
          <w:lang w:eastAsia="ja-JP"/>
        </w:rPr>
      </w:pPr>
      <w:r>
        <w:rPr>
          <w:rFonts w:eastAsia="ＭＳ Ｐゴシック"/>
          <w:lang w:eastAsia="ja-JP"/>
        </w:rPr>
        <w:t xml:space="preserve">Based on the contributions, there is </w:t>
      </w:r>
      <w:r w:rsidR="00725914">
        <w:rPr>
          <w:rFonts w:eastAsia="ＭＳ Ｐゴシック"/>
          <w:lang w:eastAsia="ja-JP"/>
        </w:rPr>
        <w:t>consensus</w:t>
      </w:r>
      <w:r>
        <w:rPr>
          <w:rFonts w:eastAsia="ＭＳ Ｐゴシック"/>
          <w:lang w:eastAsia="ja-JP"/>
        </w:rPr>
        <w:t xml:space="preserve"> that </w:t>
      </w:r>
      <w:r w:rsidR="00022924">
        <w:rPr>
          <w:rFonts w:eastAsia="ＭＳ Ｐゴシック"/>
          <w:lang w:eastAsia="ja-JP"/>
        </w:rPr>
        <w:t xml:space="preserve">enhanced </w:t>
      </w:r>
      <w:r>
        <w:rPr>
          <w:rFonts w:eastAsia="ＭＳ Ｐゴシック"/>
          <w:lang w:eastAsia="ja-JP"/>
        </w:rPr>
        <w:t xml:space="preserve">power control mechanisms may be helpful </w:t>
      </w:r>
      <w:r w:rsidR="00022924">
        <w:rPr>
          <w:rFonts w:eastAsia="ＭＳ Ｐゴシック"/>
          <w:lang w:eastAsia="ja-JP"/>
        </w:rPr>
        <w:t xml:space="preserve">to address Rx power imbalance, Tx power imbalance, </w:t>
      </w:r>
      <w:r w:rsidR="00012D22">
        <w:rPr>
          <w:rFonts w:eastAsia="ＭＳ Ｐゴシック"/>
          <w:lang w:eastAsia="ja-JP"/>
        </w:rPr>
        <w:t xml:space="preserve">Tx power sharing, and self-interference mitigation. </w:t>
      </w:r>
    </w:p>
    <w:p w14:paraId="404E8976" w14:textId="35309158" w:rsidR="00012D22" w:rsidRDefault="00A2273C" w:rsidP="00022924">
      <w:pPr>
        <w:rPr>
          <w:rFonts w:eastAsia="ＭＳ Ｐゴシック"/>
          <w:lang w:eastAsia="ja-JP"/>
        </w:rPr>
      </w:pPr>
      <w:r>
        <w:rPr>
          <w:rFonts w:eastAsia="ＭＳ Ｐゴシック"/>
          <w:lang w:eastAsia="ja-JP"/>
        </w:rPr>
        <w:t xml:space="preserve">Most companies propose to introduce enhancements to </w:t>
      </w:r>
      <w:r w:rsidR="0090507B">
        <w:rPr>
          <w:rFonts w:eastAsia="ＭＳ Ｐゴシック"/>
          <w:lang w:eastAsia="ja-JP"/>
        </w:rPr>
        <w:t xml:space="preserve">both DU’s DL and MT’s UL </w:t>
      </w:r>
      <w:r>
        <w:rPr>
          <w:rFonts w:eastAsia="ＭＳ Ｐゴシック"/>
          <w:lang w:eastAsia="ja-JP"/>
        </w:rPr>
        <w:t xml:space="preserve">power control. A few companies suggest that power control may be handled by implementation within the existing power control framework. </w:t>
      </w:r>
      <w:r w:rsidR="00535FD4">
        <w:rPr>
          <w:rFonts w:eastAsia="ＭＳ Ｐゴシック"/>
          <w:lang w:eastAsia="ja-JP"/>
        </w:rPr>
        <w:t>A few</w:t>
      </w:r>
      <w:r>
        <w:rPr>
          <w:rFonts w:eastAsia="ＭＳ Ｐゴシック"/>
          <w:lang w:eastAsia="ja-JP"/>
        </w:rPr>
        <w:t xml:space="preserve"> compan</w:t>
      </w:r>
      <w:r w:rsidR="00535FD4">
        <w:rPr>
          <w:rFonts w:eastAsia="ＭＳ Ｐゴシック"/>
          <w:lang w:eastAsia="ja-JP"/>
        </w:rPr>
        <w:t>ies</w:t>
      </w:r>
      <w:r>
        <w:rPr>
          <w:rFonts w:eastAsia="ＭＳ Ｐゴシック"/>
          <w:lang w:eastAsia="ja-JP"/>
        </w:rPr>
        <w:t xml:space="preserve"> </w:t>
      </w:r>
      <w:r w:rsidR="009D7131">
        <w:rPr>
          <w:rFonts w:eastAsia="ＭＳ Ｐゴシック"/>
          <w:lang w:eastAsia="ja-JP"/>
        </w:rPr>
        <w:t xml:space="preserve">also </w:t>
      </w:r>
      <w:r>
        <w:rPr>
          <w:rFonts w:eastAsia="ＭＳ Ｐゴシック"/>
          <w:lang w:eastAsia="ja-JP"/>
        </w:rPr>
        <w:t>raised</w:t>
      </w:r>
      <w:r w:rsidR="0012114E">
        <w:rPr>
          <w:rFonts w:eastAsia="ＭＳ Ｐゴシック"/>
          <w:lang w:eastAsia="ja-JP"/>
        </w:rPr>
        <w:t xml:space="preserve"> concerns about IAB-node </w:t>
      </w:r>
      <w:r w:rsidR="000F7184">
        <w:rPr>
          <w:rFonts w:eastAsia="ＭＳ Ｐゴシック"/>
          <w:lang w:eastAsia="ja-JP"/>
        </w:rPr>
        <w:t xml:space="preserve">implementations </w:t>
      </w:r>
      <w:r w:rsidR="0012114E">
        <w:rPr>
          <w:rFonts w:eastAsia="ＭＳ Ｐゴシック"/>
          <w:lang w:eastAsia="ja-JP"/>
        </w:rPr>
        <w:t xml:space="preserve">that may have limited </w:t>
      </w:r>
      <w:r w:rsidR="00371D02">
        <w:rPr>
          <w:rFonts w:eastAsia="ＭＳ Ｐゴシック"/>
          <w:lang w:eastAsia="ja-JP"/>
        </w:rPr>
        <w:t xml:space="preserve">MT/DU </w:t>
      </w:r>
      <w:r w:rsidR="0012114E">
        <w:rPr>
          <w:rFonts w:eastAsia="ＭＳ Ｐゴシック"/>
          <w:lang w:eastAsia="ja-JP"/>
        </w:rPr>
        <w:t>power control capability</w:t>
      </w:r>
      <w:r>
        <w:rPr>
          <w:rFonts w:eastAsia="ＭＳ Ｐゴシック"/>
          <w:lang w:eastAsia="ja-JP"/>
        </w:rPr>
        <w:t>.</w:t>
      </w:r>
    </w:p>
    <w:p w14:paraId="1D856B0F" w14:textId="67DCF7F5" w:rsidR="000F7184" w:rsidRDefault="00371D02" w:rsidP="00022924">
      <w:pPr>
        <w:rPr>
          <w:rFonts w:eastAsia="ＭＳ Ｐゴシック"/>
          <w:lang w:eastAsia="ja-JP"/>
        </w:rPr>
      </w:pPr>
      <w:r>
        <w:rPr>
          <w:rFonts w:eastAsia="ＭＳ Ｐゴシック"/>
          <w:lang w:eastAsia="ja-JP"/>
        </w:rPr>
        <w:t>Some</w:t>
      </w:r>
      <w:r w:rsidR="00C47F06">
        <w:rPr>
          <w:rFonts w:eastAsia="ＭＳ Ｐゴシック"/>
          <w:lang w:eastAsia="ja-JP"/>
        </w:rPr>
        <w:t xml:space="preserve"> companies propose </w:t>
      </w:r>
      <w:r w:rsidR="00EF3864">
        <w:rPr>
          <w:rFonts w:eastAsia="ＭＳ Ｐゴシック"/>
          <w:lang w:eastAsia="ja-JP"/>
        </w:rPr>
        <w:t xml:space="preserve">an IAB-node </w:t>
      </w:r>
      <w:r w:rsidR="002643B8">
        <w:rPr>
          <w:rFonts w:eastAsia="ＭＳ Ｐゴシック"/>
          <w:lang w:eastAsia="ja-JP"/>
        </w:rPr>
        <w:t>may</w:t>
      </w:r>
      <w:r w:rsidR="00E16D87">
        <w:rPr>
          <w:rFonts w:eastAsia="ＭＳ Ｐゴシック"/>
          <w:lang w:eastAsia="ja-JP"/>
        </w:rPr>
        <w:t xml:space="preserve"> provide assisting information to help the parent-node with </w:t>
      </w:r>
      <w:r>
        <w:rPr>
          <w:rFonts w:eastAsia="ＭＳ Ｐゴシック"/>
          <w:lang w:eastAsia="ja-JP"/>
        </w:rPr>
        <w:t xml:space="preserve">the </w:t>
      </w:r>
      <w:r w:rsidR="00BC572A">
        <w:rPr>
          <w:rFonts w:eastAsia="ＭＳ Ｐゴシック"/>
          <w:lang w:eastAsia="ja-JP"/>
        </w:rPr>
        <w:t>parent-node’s DL and/or IAB-node</w:t>
      </w:r>
      <w:r>
        <w:rPr>
          <w:rFonts w:eastAsia="ＭＳ Ｐゴシック"/>
          <w:lang w:eastAsia="ja-JP"/>
        </w:rPr>
        <w:t>’s</w:t>
      </w:r>
      <w:r w:rsidR="00BC572A">
        <w:rPr>
          <w:rFonts w:eastAsia="ＭＳ Ｐゴシック"/>
          <w:lang w:eastAsia="ja-JP"/>
        </w:rPr>
        <w:t xml:space="preserve"> UL Tx power adjustment. </w:t>
      </w:r>
      <w:r w:rsidR="00003B2E">
        <w:rPr>
          <w:rFonts w:eastAsia="ＭＳ Ｐゴシック"/>
          <w:lang w:eastAsia="ja-JP"/>
        </w:rPr>
        <w:t>Some companies also suggest the coordination</w:t>
      </w:r>
      <w:r w:rsidR="00713EED">
        <w:rPr>
          <w:rFonts w:eastAsia="ＭＳ Ｐゴシック"/>
          <w:lang w:eastAsia="ja-JP"/>
        </w:rPr>
        <w:t xml:space="preserve"> (e.g. in terms of max Tx power)</w:t>
      </w:r>
      <w:r w:rsidR="00003B2E">
        <w:rPr>
          <w:rFonts w:eastAsia="ＭＳ Ｐゴシック"/>
          <w:lang w:eastAsia="ja-JP"/>
        </w:rPr>
        <w:t xml:space="preserve"> can be done </w:t>
      </w:r>
      <w:r w:rsidR="000F0A54">
        <w:rPr>
          <w:rFonts w:eastAsia="ＭＳ Ｐゴシック"/>
          <w:lang w:eastAsia="ja-JP"/>
        </w:rPr>
        <w:t xml:space="preserve">centrally (e.g. by CU). </w:t>
      </w:r>
    </w:p>
    <w:p w14:paraId="3BECE2EE" w14:textId="3B886283" w:rsidR="00BC572A" w:rsidRDefault="00BC572A" w:rsidP="00022924">
      <w:pPr>
        <w:rPr>
          <w:rFonts w:eastAsia="ＭＳ Ｐゴシック"/>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a9"/>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a9"/>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a9"/>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a9"/>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a9"/>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ＭＳ Ｐゴシック"/>
          <w:lang w:eastAsia="ja-JP"/>
        </w:rPr>
      </w:pPr>
    </w:p>
    <w:p w14:paraId="59255EBA" w14:textId="77777777" w:rsidR="00A24A69" w:rsidRDefault="00A24A69" w:rsidP="00A24A69">
      <w:pPr>
        <w:rPr>
          <w:b/>
          <w:bCs/>
        </w:rPr>
      </w:pPr>
    </w:p>
    <w:tbl>
      <w:tblPr>
        <w:tblStyle w:val="aff1"/>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r>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A2169F" w14:paraId="0936DBC0" w14:textId="77777777" w:rsidTr="00A24A69">
        <w:tc>
          <w:tcPr>
            <w:tcW w:w="2243" w:type="dxa"/>
            <w:shd w:val="clear" w:color="auto" w:fill="auto"/>
          </w:tcPr>
          <w:p w14:paraId="2A88BD45" w14:textId="3C88D604" w:rsidR="00A2169F" w:rsidRDefault="00A2169F" w:rsidP="00A2169F">
            <w:pPr>
              <w:jc w:val="center"/>
              <w:rPr>
                <w:rFonts w:eastAsiaTheme="minorEastAsia"/>
                <w:lang w:eastAsia="zh-CN"/>
              </w:rPr>
            </w:pPr>
            <w:r>
              <w:rPr>
                <w:rStyle w:val="normaltextrun"/>
              </w:rPr>
              <w:t>Nokia</w:t>
            </w:r>
            <w:r>
              <w:rPr>
                <w:rStyle w:val="eop"/>
              </w:rPr>
              <w:t> </w:t>
            </w:r>
          </w:p>
        </w:tc>
        <w:tc>
          <w:tcPr>
            <w:tcW w:w="1981" w:type="dxa"/>
            <w:shd w:val="clear" w:color="auto" w:fill="auto"/>
          </w:tcPr>
          <w:p w14:paraId="5AD1D75B" w14:textId="68872BBF" w:rsidR="00A2169F" w:rsidRDefault="00A2169F" w:rsidP="00A2169F">
            <w:pPr>
              <w:jc w:val="center"/>
              <w:rPr>
                <w:rFonts w:eastAsiaTheme="minorEastAsia"/>
                <w:lang w:eastAsia="zh-CN"/>
              </w:rPr>
            </w:pPr>
            <w:r>
              <w:rPr>
                <w:rStyle w:val="normaltextrun"/>
              </w:rPr>
              <w:t>Yes, partly</w:t>
            </w:r>
            <w:r>
              <w:rPr>
                <w:rStyle w:val="eop"/>
              </w:rPr>
              <w:t> </w:t>
            </w:r>
          </w:p>
        </w:tc>
        <w:tc>
          <w:tcPr>
            <w:tcW w:w="5405" w:type="dxa"/>
            <w:shd w:val="clear" w:color="auto" w:fill="auto"/>
          </w:tcPr>
          <w:p w14:paraId="24A6257D" w14:textId="77777777" w:rsidR="00A2169F" w:rsidRDefault="00A2169F" w:rsidP="00A2169F">
            <w:pPr>
              <w:pStyle w:val="paragraph"/>
              <w:textAlignment w:val="baseline"/>
              <w:divId w:val="1038819100"/>
            </w:pPr>
            <w:r>
              <w:rPr>
                <w:rStyle w:val="normaltextrun"/>
                <w:sz w:val="20"/>
              </w:rPr>
              <w:t>It is not clear what we introduce when all sub-bullets are FFS. </w:t>
            </w:r>
            <w:r>
              <w:rPr>
                <w:rStyle w:val="eop"/>
                <w:sz w:val="20"/>
              </w:rPr>
              <w:t> </w:t>
            </w:r>
          </w:p>
          <w:p w14:paraId="14F903DB" w14:textId="77777777" w:rsidR="00A2169F" w:rsidRDefault="00A2169F" w:rsidP="00A2169F">
            <w:pPr>
              <w:pStyle w:val="paragraph"/>
              <w:textAlignment w:val="baseline"/>
              <w:divId w:val="238439898"/>
            </w:pPr>
            <w:r>
              <w:rPr>
                <w:rStyle w:val="normaltextrun"/>
                <w:sz w:val="20"/>
              </w:rPr>
              <w:t>We are ok to further study these, so wording should be changed. </w:t>
            </w:r>
            <w:r>
              <w:rPr>
                <w:rStyle w:val="eop"/>
                <w:sz w:val="20"/>
              </w:rPr>
              <w:t> </w:t>
            </w:r>
          </w:p>
          <w:p w14:paraId="30159B10" w14:textId="77777777" w:rsidR="00A2169F" w:rsidRDefault="00A2169F" w:rsidP="00A2169F">
            <w:pPr>
              <w:pStyle w:val="paragraph"/>
              <w:jc w:val="both"/>
              <w:textAlignment w:val="baseline"/>
              <w:divId w:val="1393890738"/>
            </w:pPr>
            <w:r>
              <w:rPr>
                <w:rStyle w:val="normaltextrun"/>
                <w:sz w:val="20"/>
              </w:rPr>
              <w:t>FL Proposal 4.1:</w:t>
            </w:r>
            <w:r>
              <w:rPr>
                <w:rStyle w:val="eop"/>
                <w:sz w:val="20"/>
              </w:rPr>
              <w:t> </w:t>
            </w:r>
          </w:p>
          <w:p w14:paraId="47EA789F" w14:textId="68A4D38C" w:rsidR="00A2169F" w:rsidRDefault="00A2169F" w:rsidP="00A2169F">
            <w:pPr>
              <w:pStyle w:val="paragraph"/>
              <w:jc w:val="both"/>
              <w:textAlignment w:val="baseline"/>
              <w:divId w:val="1717119572"/>
            </w:pPr>
            <w:r>
              <w:rPr>
                <w:rStyle w:val="normaltextrun"/>
                <w:strike/>
                <w:color w:val="FF0000"/>
                <w:sz w:val="20"/>
              </w:rPr>
              <w:lastRenderedPageBreak/>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0922545E"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050B3D25"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1B356140" w14:textId="77777777" w:rsidR="00A2169F" w:rsidRDefault="00A2169F" w:rsidP="00A2169F">
            <w:pPr>
              <w:pStyle w:val="paragraph"/>
              <w:numPr>
                <w:ilvl w:val="0"/>
                <w:numId w:val="45"/>
              </w:numPr>
              <w:ind w:left="913" w:hanging="283"/>
              <w:jc w:val="both"/>
              <w:textAlignment w:val="baseline"/>
              <w:divId w:val="1263414507"/>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9E09F8D" w14:textId="77777777" w:rsidR="00A2169F" w:rsidRDefault="00A2169F" w:rsidP="00A2169F">
            <w:pPr>
              <w:pStyle w:val="paragraph"/>
              <w:ind w:left="913"/>
              <w:jc w:val="both"/>
              <w:textAlignment w:val="baseline"/>
              <w:divId w:val="1188057752"/>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6955D31D" w14:textId="00CB8135" w:rsidR="00A2169F" w:rsidRPr="00A2169F" w:rsidRDefault="00A2169F" w:rsidP="00A2169F">
            <w:pPr>
              <w:pStyle w:val="paragraph"/>
              <w:numPr>
                <w:ilvl w:val="0"/>
                <w:numId w:val="46"/>
              </w:numPr>
              <w:ind w:left="913" w:hanging="283"/>
              <w:jc w:val="both"/>
              <w:textAlignment w:val="baseline"/>
              <w:divId w:val="2140225028"/>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3F3FAF5A" w14:textId="464633B1" w:rsidR="00A2169F" w:rsidRDefault="00A2169F" w:rsidP="00A2169F">
            <w:pPr>
              <w:pStyle w:val="paragraph"/>
              <w:numPr>
                <w:ilvl w:val="0"/>
                <w:numId w:val="46"/>
              </w:numPr>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890080" w14:paraId="01EDC811" w14:textId="77777777" w:rsidTr="00A24A69">
        <w:tc>
          <w:tcPr>
            <w:tcW w:w="2243" w:type="dxa"/>
            <w:shd w:val="clear" w:color="auto" w:fill="auto"/>
          </w:tcPr>
          <w:p w14:paraId="498E40F1" w14:textId="4015467F" w:rsidR="00890080" w:rsidRDefault="00890080" w:rsidP="00A2169F">
            <w:pPr>
              <w:jc w:val="center"/>
              <w:rPr>
                <w:rStyle w:val="normaltextrun"/>
              </w:rPr>
            </w:pPr>
            <w:r>
              <w:rPr>
                <w:rStyle w:val="normaltextrun"/>
              </w:rPr>
              <w:lastRenderedPageBreak/>
              <w:t>Sharp</w:t>
            </w:r>
          </w:p>
        </w:tc>
        <w:tc>
          <w:tcPr>
            <w:tcW w:w="1981" w:type="dxa"/>
            <w:shd w:val="clear" w:color="auto" w:fill="auto"/>
          </w:tcPr>
          <w:p w14:paraId="715E3B19" w14:textId="1113459C" w:rsidR="00890080" w:rsidRDefault="00890080" w:rsidP="00A2169F">
            <w:pPr>
              <w:jc w:val="center"/>
              <w:rPr>
                <w:rStyle w:val="normaltextrun"/>
              </w:rPr>
            </w:pPr>
            <w:r>
              <w:rPr>
                <w:rStyle w:val="normaltextrun"/>
              </w:rPr>
              <w:t>Yes, with clarification</w:t>
            </w:r>
          </w:p>
        </w:tc>
        <w:tc>
          <w:tcPr>
            <w:tcW w:w="5405" w:type="dxa"/>
            <w:shd w:val="clear" w:color="auto" w:fill="auto"/>
          </w:tcPr>
          <w:p w14:paraId="470E12A3" w14:textId="466E1DC1" w:rsidR="00890080" w:rsidRDefault="00890080" w:rsidP="00A2169F">
            <w:pPr>
              <w:pStyle w:val="paragraph"/>
              <w:textAlignment w:val="baseline"/>
              <w:rPr>
                <w:rStyle w:val="normaltextrun"/>
                <w:sz w:val="20"/>
              </w:rPr>
            </w:pPr>
            <w:r>
              <w:rPr>
                <w:rStyle w:val="normaltextru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4967A0" w14:paraId="76794BA5" w14:textId="77777777" w:rsidTr="00A24A69">
        <w:tc>
          <w:tcPr>
            <w:tcW w:w="2243" w:type="dxa"/>
            <w:shd w:val="clear" w:color="auto" w:fill="auto"/>
          </w:tcPr>
          <w:p w14:paraId="33787F65" w14:textId="27580A54" w:rsidR="004967A0" w:rsidRDefault="004967A0" w:rsidP="004967A0">
            <w:pPr>
              <w:jc w:val="center"/>
              <w:rPr>
                <w:rStyle w:val="normaltextrun"/>
              </w:rPr>
            </w:pPr>
            <w:r>
              <w:rPr>
                <w:rFonts w:eastAsiaTheme="minorEastAsia" w:hint="eastAsia"/>
                <w:lang w:eastAsia="ko-KR"/>
              </w:rPr>
              <w:t>Samsung</w:t>
            </w:r>
          </w:p>
        </w:tc>
        <w:tc>
          <w:tcPr>
            <w:tcW w:w="1981" w:type="dxa"/>
            <w:shd w:val="clear" w:color="auto" w:fill="auto"/>
          </w:tcPr>
          <w:p w14:paraId="30BC1125" w14:textId="7790FFC5" w:rsidR="004967A0" w:rsidRDefault="004967A0" w:rsidP="004967A0">
            <w:pPr>
              <w:jc w:val="center"/>
              <w:rPr>
                <w:rStyle w:val="normaltextrun"/>
              </w:rPr>
            </w:pPr>
            <w:r>
              <w:rPr>
                <w:rFonts w:eastAsiaTheme="minorEastAsia" w:hint="eastAsia"/>
                <w:lang w:eastAsia="ko-KR"/>
              </w:rPr>
              <w:t>Yes</w:t>
            </w:r>
          </w:p>
        </w:tc>
        <w:tc>
          <w:tcPr>
            <w:tcW w:w="5405" w:type="dxa"/>
            <w:shd w:val="clear" w:color="auto" w:fill="auto"/>
          </w:tcPr>
          <w:p w14:paraId="39EA8EE9" w14:textId="10B11ECE" w:rsidR="004967A0" w:rsidRDefault="004967A0" w:rsidP="004967A0">
            <w:pPr>
              <w:pStyle w:val="paragraph"/>
              <w:textAlignment w:val="baseline"/>
              <w:rPr>
                <w:rStyle w:val="normaltextrun"/>
                <w:sz w:val="20"/>
              </w:rPr>
            </w:pPr>
            <w:r w:rsidRPr="004967A0">
              <w:rPr>
                <w:rFonts w:eastAsiaTheme="minorEastAsia" w:hint="eastAsia"/>
                <w:sz w:val="20"/>
                <w:lang w:eastAsia="ko-KR"/>
              </w:rPr>
              <w:t>We are fine to further discuss power control issues</w:t>
            </w:r>
            <w:r w:rsidRPr="004967A0">
              <w:rPr>
                <w:rFonts w:eastAsiaTheme="minorEastAsia"/>
                <w:sz w:val="20"/>
                <w:lang w:eastAsia="ko-KR"/>
              </w:rPr>
              <w:t xml:space="preserve"> including FFS parts</w:t>
            </w:r>
            <w:r w:rsidRPr="004967A0">
              <w:rPr>
                <w:rFonts w:eastAsiaTheme="minorEastAsia" w:hint="eastAsia"/>
                <w:sz w:val="20"/>
                <w:lang w:eastAsia="ko-KR"/>
              </w:rPr>
              <w:t>.</w:t>
            </w:r>
          </w:p>
        </w:tc>
      </w:tr>
      <w:tr w:rsidR="00E550D0" w14:paraId="7432FFE6" w14:textId="77777777" w:rsidTr="00A24A69">
        <w:tc>
          <w:tcPr>
            <w:tcW w:w="2243" w:type="dxa"/>
            <w:shd w:val="clear" w:color="auto" w:fill="auto"/>
          </w:tcPr>
          <w:p w14:paraId="565C184D" w14:textId="0DD5869A" w:rsidR="00E550D0" w:rsidRDefault="00E550D0" w:rsidP="00E550D0">
            <w:pPr>
              <w:jc w:val="center"/>
              <w:rPr>
                <w:rFonts w:eastAsiaTheme="minorEastAsia" w:hint="eastAsia"/>
                <w:lang w:eastAsia="ko-KR"/>
              </w:rPr>
            </w:pPr>
            <w:bookmarkStart w:id="1" w:name="_GoBack" w:colFirst="0" w:colLast="0"/>
            <w:r>
              <w:rPr>
                <w:rFonts w:eastAsiaTheme="minorEastAsia" w:hint="eastAsia"/>
                <w:lang w:eastAsia="ja-JP"/>
              </w:rPr>
              <w:t>NTT DOCOMO</w:t>
            </w:r>
          </w:p>
        </w:tc>
        <w:tc>
          <w:tcPr>
            <w:tcW w:w="1981" w:type="dxa"/>
            <w:shd w:val="clear" w:color="auto" w:fill="auto"/>
          </w:tcPr>
          <w:p w14:paraId="261D355D" w14:textId="539989BA" w:rsidR="00E550D0" w:rsidRDefault="00E550D0" w:rsidP="00E550D0">
            <w:pPr>
              <w:jc w:val="center"/>
              <w:rPr>
                <w:rFonts w:eastAsiaTheme="minorEastAsia" w:hint="eastAsia"/>
                <w:lang w:eastAsia="ko-KR"/>
              </w:rPr>
            </w:pPr>
            <w:r>
              <w:rPr>
                <w:rFonts w:eastAsiaTheme="minorEastAsia" w:hint="eastAsia"/>
                <w:lang w:eastAsia="ja-JP"/>
              </w:rPr>
              <w:t>Yes</w:t>
            </w:r>
          </w:p>
        </w:tc>
        <w:tc>
          <w:tcPr>
            <w:tcW w:w="5405" w:type="dxa"/>
            <w:shd w:val="clear" w:color="auto" w:fill="auto"/>
          </w:tcPr>
          <w:p w14:paraId="49950022" w14:textId="77777777" w:rsidR="00E550D0" w:rsidRPr="004967A0" w:rsidRDefault="00E550D0" w:rsidP="00E550D0">
            <w:pPr>
              <w:pStyle w:val="paragraph"/>
              <w:textAlignment w:val="baseline"/>
              <w:rPr>
                <w:rFonts w:eastAsiaTheme="minorEastAsia" w:hint="eastAsia"/>
                <w:sz w:val="20"/>
                <w:lang w:eastAsia="ko-KR"/>
              </w:rPr>
            </w:pPr>
          </w:p>
        </w:tc>
      </w:tr>
      <w:bookmarkEnd w:id="1"/>
    </w:tbl>
    <w:p w14:paraId="112E2DB5" w14:textId="77777777" w:rsidR="009302C6" w:rsidRDefault="009302C6" w:rsidP="00A24A69">
      <w:pPr>
        <w:rPr>
          <w:rFonts w:eastAsia="ＭＳ Ｐゴシック"/>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E4F0" w14:textId="77777777" w:rsidR="00516149" w:rsidRDefault="00516149" w:rsidP="00A2169F">
      <w:pPr>
        <w:spacing w:after="0" w:line="240" w:lineRule="auto"/>
      </w:pPr>
      <w:r>
        <w:separator/>
      </w:r>
    </w:p>
  </w:endnote>
  <w:endnote w:type="continuationSeparator" w:id="0">
    <w:p w14:paraId="0007488D" w14:textId="77777777" w:rsidR="00516149" w:rsidRDefault="00516149" w:rsidP="00A2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B316E" w14:textId="77777777" w:rsidR="00516149" w:rsidRDefault="00516149" w:rsidP="00A2169F">
      <w:pPr>
        <w:spacing w:after="0" w:line="240" w:lineRule="auto"/>
      </w:pPr>
      <w:r>
        <w:separator/>
      </w:r>
    </w:p>
  </w:footnote>
  <w:footnote w:type="continuationSeparator" w:id="0">
    <w:p w14:paraId="3C163F3F" w14:textId="77777777" w:rsidR="00516149" w:rsidRDefault="00516149" w:rsidP="00A21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5F81AC2"/>
    <w:multiLevelType w:val="multilevel"/>
    <w:tmpl w:val="6868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4"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E0C77"/>
    <w:multiLevelType w:val="multilevel"/>
    <w:tmpl w:val="C60E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4"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228657D"/>
    <w:multiLevelType w:val="multilevel"/>
    <w:tmpl w:val="659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8"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41"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5"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4"/>
  </w:num>
  <w:num w:numId="3">
    <w:abstractNumId w:val="30"/>
  </w:num>
  <w:num w:numId="4">
    <w:abstractNumId w:val="33"/>
  </w:num>
  <w:num w:numId="5">
    <w:abstractNumId w:val="39"/>
  </w:num>
  <w:num w:numId="6">
    <w:abstractNumId w:val="34"/>
  </w:num>
  <w:num w:numId="7">
    <w:abstractNumId w:val="38"/>
  </w:num>
  <w:num w:numId="8">
    <w:abstractNumId w:val="40"/>
  </w:num>
  <w:num w:numId="9">
    <w:abstractNumId w:val="3"/>
  </w:num>
  <w:num w:numId="10">
    <w:abstractNumId w:val="27"/>
  </w:num>
  <w:num w:numId="11">
    <w:abstractNumId w:val="1"/>
  </w:num>
  <w:num w:numId="12">
    <w:abstractNumId w:val="37"/>
  </w:num>
  <w:num w:numId="13">
    <w:abstractNumId w:val="14"/>
  </w:num>
  <w:num w:numId="14">
    <w:abstractNumId w:val="21"/>
  </w:num>
  <w:num w:numId="15">
    <w:abstractNumId w:val="19"/>
  </w:num>
  <w:num w:numId="16">
    <w:abstractNumId w:val="28"/>
  </w:num>
  <w:num w:numId="17">
    <w:abstractNumId w:val="29"/>
  </w:num>
  <w:num w:numId="18">
    <w:abstractNumId w:val="7"/>
  </w:num>
  <w:num w:numId="19">
    <w:abstractNumId w:val="23"/>
  </w:num>
  <w:num w:numId="20">
    <w:abstractNumId w:val="4"/>
  </w:num>
  <w:num w:numId="21">
    <w:abstractNumId w:val="18"/>
  </w:num>
  <w:num w:numId="22">
    <w:abstractNumId w:val="25"/>
  </w:num>
  <w:num w:numId="23">
    <w:abstractNumId w:val="2"/>
  </w:num>
  <w:num w:numId="24">
    <w:abstractNumId w:val="24"/>
  </w:num>
  <w:num w:numId="25">
    <w:abstractNumId w:val="45"/>
  </w:num>
  <w:num w:numId="26">
    <w:abstractNumId w:val="15"/>
  </w:num>
  <w:num w:numId="27">
    <w:abstractNumId w:val="16"/>
  </w:num>
  <w:num w:numId="28">
    <w:abstractNumId w:val="36"/>
  </w:num>
  <w:num w:numId="29">
    <w:abstractNumId w:val="9"/>
  </w:num>
  <w:num w:numId="30">
    <w:abstractNumId w:val="17"/>
  </w:num>
  <w:num w:numId="31">
    <w:abstractNumId w:val="42"/>
  </w:num>
  <w:num w:numId="32">
    <w:abstractNumId w:val="13"/>
  </w:num>
  <w:num w:numId="33">
    <w:abstractNumId w:val="20"/>
  </w:num>
  <w:num w:numId="34">
    <w:abstractNumId w:val="10"/>
  </w:num>
  <w:num w:numId="35">
    <w:abstractNumId w:val="12"/>
  </w:num>
  <w:num w:numId="36">
    <w:abstractNumId w:val="31"/>
  </w:num>
  <w:num w:numId="37">
    <w:abstractNumId w:val="6"/>
  </w:num>
  <w:num w:numId="38">
    <w:abstractNumId w:val="11"/>
  </w:num>
  <w:num w:numId="39">
    <w:abstractNumId w:val="5"/>
  </w:num>
  <w:num w:numId="40">
    <w:abstractNumId w:val="0"/>
  </w:num>
  <w:num w:numId="41">
    <w:abstractNumId w:val="26"/>
  </w:num>
  <w:num w:numId="42">
    <w:abstractNumId w:val="43"/>
  </w:num>
  <w:num w:numId="43">
    <w:abstractNumId w:val="41"/>
  </w:num>
  <w:num w:numId="44">
    <w:abstractNumId w:val="35"/>
  </w:num>
  <w:num w:numId="45">
    <w:abstractNumId w:val="32"/>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1"/>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3F7192"/>
    <w:rsid w:val="00402B6C"/>
    <w:rsid w:val="00407EB9"/>
    <w:rsid w:val="00422605"/>
    <w:rsid w:val="00427B46"/>
    <w:rsid w:val="00442971"/>
    <w:rsid w:val="004543D6"/>
    <w:rsid w:val="00460A51"/>
    <w:rsid w:val="004705F8"/>
    <w:rsid w:val="00470DCC"/>
    <w:rsid w:val="0047750C"/>
    <w:rsid w:val="004847B0"/>
    <w:rsid w:val="004849EB"/>
    <w:rsid w:val="004967A0"/>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16149"/>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84F11"/>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FB9"/>
    <w:rsid w:val="00784E89"/>
    <w:rsid w:val="007D490B"/>
    <w:rsid w:val="007D4CA3"/>
    <w:rsid w:val="007E0CF2"/>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90080"/>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B52B4"/>
    <w:rsid w:val="009C5658"/>
    <w:rsid w:val="009D18CA"/>
    <w:rsid w:val="009D6C54"/>
    <w:rsid w:val="009D7131"/>
    <w:rsid w:val="00A03F1A"/>
    <w:rsid w:val="00A04680"/>
    <w:rsid w:val="00A060E8"/>
    <w:rsid w:val="00A153D3"/>
    <w:rsid w:val="00A16C7D"/>
    <w:rsid w:val="00A2169F"/>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0E36"/>
    <w:rsid w:val="00E255DA"/>
    <w:rsid w:val="00E32DFF"/>
    <w:rsid w:val="00E3752F"/>
    <w:rsid w:val="00E41FF8"/>
    <w:rsid w:val="00E42595"/>
    <w:rsid w:val="00E550D0"/>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1">
    <w:name w:val="heading 1"/>
    <w:basedOn w:val="a"/>
    <w:link w:val="10"/>
    <w:qFormat/>
    <w:rsid w:val="00A24A69"/>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link w:val="20"/>
    <w:qFormat/>
    <w:rsid w:val="00A24A69"/>
    <w:pPr>
      <w:spacing w:before="180"/>
      <w:outlineLvl w:val="1"/>
    </w:pPr>
    <w:rPr>
      <w:sz w:val="32"/>
    </w:rPr>
  </w:style>
  <w:style w:type="paragraph" w:styleId="3">
    <w:name w:val="heading 3"/>
    <w:basedOn w:val="2"/>
    <w:link w:val="30"/>
    <w:qFormat/>
    <w:rsid w:val="00A24A69"/>
    <w:pPr>
      <w:spacing w:before="120"/>
      <w:outlineLvl w:val="2"/>
    </w:pPr>
    <w:rPr>
      <w:sz w:val="28"/>
    </w:rPr>
  </w:style>
  <w:style w:type="paragraph" w:styleId="4">
    <w:name w:val="heading 4"/>
    <w:basedOn w:val="3"/>
    <w:link w:val="40"/>
    <w:qFormat/>
    <w:rsid w:val="00A24A69"/>
    <w:pPr>
      <w:ind w:left="1418" w:hanging="1418"/>
      <w:outlineLvl w:val="3"/>
    </w:pPr>
    <w:rPr>
      <w:sz w:val="24"/>
    </w:rPr>
  </w:style>
  <w:style w:type="paragraph" w:styleId="5">
    <w:name w:val="heading 5"/>
    <w:basedOn w:val="4"/>
    <w:link w:val="50"/>
    <w:qFormat/>
    <w:rsid w:val="00A24A69"/>
    <w:pPr>
      <w:ind w:left="1701" w:hanging="1701"/>
      <w:outlineLvl w:val="4"/>
    </w:pPr>
    <w:rPr>
      <w:sz w:val="22"/>
    </w:rPr>
  </w:style>
  <w:style w:type="paragraph" w:styleId="6">
    <w:name w:val="heading 6"/>
    <w:basedOn w:val="a"/>
    <w:link w:val="60"/>
    <w:qFormat/>
    <w:rsid w:val="00A24A69"/>
    <w:pPr>
      <w:widowControl w:val="0"/>
      <w:spacing w:after="200"/>
      <w:outlineLvl w:val="5"/>
    </w:pPr>
  </w:style>
  <w:style w:type="paragraph" w:styleId="7">
    <w:name w:val="heading 7"/>
    <w:basedOn w:val="a"/>
    <w:link w:val="70"/>
    <w:qFormat/>
    <w:rsid w:val="00A24A69"/>
    <w:pPr>
      <w:widowControl w:val="0"/>
      <w:spacing w:after="200"/>
      <w:outlineLvl w:val="6"/>
    </w:pPr>
  </w:style>
  <w:style w:type="paragraph" w:styleId="8">
    <w:name w:val="heading 8"/>
    <w:basedOn w:val="1"/>
    <w:link w:val="80"/>
    <w:qFormat/>
    <w:rsid w:val="00A24A69"/>
    <w:pPr>
      <w:ind w:left="0" w:firstLine="0"/>
      <w:outlineLvl w:val="7"/>
    </w:pPr>
  </w:style>
  <w:style w:type="paragraph" w:styleId="9">
    <w:name w:val="heading 9"/>
    <w:basedOn w:val="8"/>
    <w:link w:val="90"/>
    <w:qFormat/>
    <w:rsid w:val="00A24A6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24A69"/>
    <w:rPr>
      <w:rFonts w:ascii="Arial" w:eastAsia="Times New Roman" w:hAnsi="Arial" w:cs="Times New Roman"/>
      <w:sz w:val="36"/>
      <w:szCs w:val="20"/>
      <w:lang w:val="en-GB"/>
    </w:rPr>
  </w:style>
  <w:style w:type="character" w:customStyle="1" w:styleId="20">
    <w:name w:val="見出し 2 (文字)"/>
    <w:basedOn w:val="a0"/>
    <w:link w:val="2"/>
    <w:rsid w:val="00A24A69"/>
    <w:rPr>
      <w:rFonts w:ascii="Arial" w:eastAsia="Times New Roman" w:hAnsi="Arial" w:cs="Times New Roman"/>
      <w:sz w:val="32"/>
      <w:szCs w:val="20"/>
      <w:lang w:val="en-GB"/>
    </w:rPr>
  </w:style>
  <w:style w:type="character" w:customStyle="1" w:styleId="30">
    <w:name w:val="見出し 3 (文字)"/>
    <w:basedOn w:val="a0"/>
    <w:link w:val="3"/>
    <w:rsid w:val="00A24A69"/>
    <w:rPr>
      <w:rFonts w:ascii="Arial" w:eastAsia="Times New Roman" w:hAnsi="Arial" w:cs="Times New Roman"/>
      <w:sz w:val="28"/>
      <w:szCs w:val="20"/>
      <w:lang w:val="en-GB"/>
    </w:rPr>
  </w:style>
  <w:style w:type="character" w:customStyle="1" w:styleId="40">
    <w:name w:val="見出し 4 (文字)"/>
    <w:basedOn w:val="a0"/>
    <w:link w:val="4"/>
    <w:rsid w:val="00A24A69"/>
    <w:rPr>
      <w:rFonts w:ascii="Arial" w:eastAsia="Times New Roman" w:hAnsi="Arial" w:cs="Times New Roman"/>
      <w:sz w:val="24"/>
      <w:szCs w:val="20"/>
      <w:lang w:val="en-GB"/>
    </w:rPr>
  </w:style>
  <w:style w:type="character" w:customStyle="1" w:styleId="50">
    <w:name w:val="見出し 5 (文字)"/>
    <w:basedOn w:val="a0"/>
    <w:link w:val="5"/>
    <w:rsid w:val="00A24A69"/>
    <w:rPr>
      <w:rFonts w:ascii="Arial" w:eastAsia="Times New Roman" w:hAnsi="Arial" w:cs="Times New Roman"/>
      <w:szCs w:val="20"/>
      <w:lang w:val="en-GB"/>
    </w:rPr>
  </w:style>
  <w:style w:type="character" w:customStyle="1" w:styleId="60">
    <w:name w:val="見出し 6 (文字)"/>
    <w:basedOn w:val="a0"/>
    <w:link w:val="6"/>
    <w:rsid w:val="00A24A69"/>
    <w:rPr>
      <w:rFonts w:ascii="Times New Roman" w:eastAsia="Times New Roman" w:hAnsi="Times New Roman" w:cs="Times New Roman"/>
      <w:sz w:val="20"/>
      <w:szCs w:val="20"/>
      <w:lang w:val="en-GB"/>
    </w:rPr>
  </w:style>
  <w:style w:type="character" w:customStyle="1" w:styleId="70">
    <w:name w:val="見出し 7 (文字)"/>
    <w:basedOn w:val="a0"/>
    <w:link w:val="7"/>
    <w:rsid w:val="00A24A69"/>
    <w:rPr>
      <w:rFonts w:ascii="Times New Roman" w:eastAsia="Times New Roman" w:hAnsi="Times New Roman" w:cs="Times New Roman"/>
      <w:sz w:val="20"/>
      <w:szCs w:val="20"/>
      <w:lang w:val="en-GB"/>
    </w:rPr>
  </w:style>
  <w:style w:type="character" w:customStyle="1" w:styleId="80">
    <w:name w:val="見出し 8 (文字)"/>
    <w:basedOn w:val="a0"/>
    <w:link w:val="8"/>
    <w:rsid w:val="00A24A69"/>
    <w:rPr>
      <w:rFonts w:ascii="Arial" w:eastAsia="Times New Roman" w:hAnsi="Arial" w:cs="Times New Roman"/>
      <w:sz w:val="36"/>
      <w:szCs w:val="20"/>
      <w:lang w:val="en-GB"/>
    </w:rPr>
  </w:style>
  <w:style w:type="character" w:customStyle="1" w:styleId="90">
    <w:name w:val="見出し 9 (文字)"/>
    <w:basedOn w:val="a0"/>
    <w:link w:val="9"/>
    <w:rsid w:val="00A24A69"/>
    <w:rPr>
      <w:rFonts w:ascii="Arial" w:eastAsia="Times New Roman" w:hAnsi="Arial" w:cs="Times New Roman"/>
      <w:sz w:val="36"/>
      <w:szCs w:val="20"/>
      <w:lang w:val="en-GB"/>
    </w:rPr>
  </w:style>
  <w:style w:type="character" w:customStyle="1" w:styleId="FootnoteCharacters">
    <w:name w:val="Footnote Characters"/>
    <w:basedOn w:val="a0"/>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a3">
    <w:name w:val="Strong"/>
    <w:uiPriority w:val="22"/>
    <w:qFormat/>
    <w:rsid w:val="00A24A69"/>
    <w:rPr>
      <w:b/>
      <w:bCs/>
    </w:rPr>
  </w:style>
  <w:style w:type="character" w:styleId="a4">
    <w:name w:val="Book Title"/>
    <w:basedOn w:val="a0"/>
    <w:uiPriority w:val="33"/>
    <w:qFormat/>
    <w:rsid w:val="00A24A69"/>
    <w:rPr>
      <w:b/>
      <w:bCs/>
      <w:i/>
      <w:iCs/>
      <w:spacing w:val="5"/>
    </w:rPr>
  </w:style>
  <w:style w:type="character" w:styleId="a5">
    <w:name w:val="Emphasis"/>
    <w:basedOn w:val="a0"/>
    <w:uiPriority w:val="20"/>
    <w:qFormat/>
    <w:rsid w:val="00A24A69"/>
    <w:rPr>
      <w:i/>
      <w:iCs/>
    </w:rPr>
  </w:style>
  <w:style w:type="character" w:styleId="21">
    <w:name w:val="Intense Reference"/>
    <w:basedOn w:val="a0"/>
    <w:uiPriority w:val="32"/>
    <w:qFormat/>
    <w:rsid w:val="00A24A69"/>
    <w:rPr>
      <w:b/>
      <w:bCs/>
      <w:smallCaps/>
      <w:color w:val="4472C4" w:themeColor="accent1"/>
      <w:spacing w:val="5"/>
    </w:rPr>
  </w:style>
  <w:style w:type="character" w:customStyle="1" w:styleId="a6">
    <w:name w:val="表題 (文字)"/>
    <w:basedOn w:val="a0"/>
    <w:link w:val="a7"/>
    <w:uiPriority w:val="10"/>
    <w:qFormat/>
    <w:rsid w:val="00A24A69"/>
    <w:rPr>
      <w:rFonts w:asciiTheme="majorHAnsi" w:eastAsiaTheme="majorEastAsia" w:hAnsiTheme="majorHAnsi" w:cstheme="majorBidi"/>
      <w:spacing w:val="-10"/>
      <w:kern w:val="2"/>
      <w:sz w:val="56"/>
      <w:szCs w:val="56"/>
      <w:lang w:val="en-GB"/>
    </w:rPr>
  </w:style>
  <w:style w:type="character" w:customStyle="1" w:styleId="a8">
    <w:name w:val="リスト段落 (文字)"/>
    <w:basedOn w:val="a0"/>
    <w:link w:val="a9"/>
    <w:uiPriority w:val="11"/>
    <w:qFormat/>
    <w:rsid w:val="00A24A69"/>
    <w:rPr>
      <w:rFonts w:eastAsiaTheme="minorEastAsia"/>
      <w:color w:val="5A5A5A" w:themeColor="text1" w:themeTint="A5"/>
      <w:spacing w:val="15"/>
      <w:lang w:val="en-GB"/>
    </w:rPr>
  </w:style>
  <w:style w:type="character" w:styleId="aa">
    <w:name w:val="Placeholder Text"/>
    <w:basedOn w:val="a0"/>
    <w:uiPriority w:val="99"/>
    <w:semiHidden/>
    <w:qFormat/>
    <w:rsid w:val="00A24A69"/>
    <w:rPr>
      <w:color w:val="808080"/>
    </w:rPr>
  </w:style>
  <w:style w:type="character" w:styleId="22">
    <w:name w:val="Intense Emphasis"/>
    <w:basedOn w:val="a0"/>
    <w:uiPriority w:val="21"/>
    <w:qFormat/>
    <w:rsid w:val="00A24A69"/>
    <w:rPr>
      <w:i/>
      <w:iCs/>
      <w:color w:val="4472C4" w:themeColor="accent1"/>
    </w:rPr>
  </w:style>
  <w:style w:type="character" w:customStyle="1" w:styleId="ab">
    <w:name w:val="吹き出し (文字)"/>
    <w:link w:val="ac"/>
    <w:uiPriority w:val="34"/>
    <w:semiHidden/>
    <w:qFormat/>
    <w:rsid w:val="00A24A69"/>
    <w:rPr>
      <w:rFonts w:ascii="Times New Roman" w:hAnsi="Times New Roman"/>
      <w:lang w:val="en-GB"/>
    </w:rPr>
  </w:style>
  <w:style w:type="character" w:customStyle="1" w:styleId="ad">
    <w:name w:val="本文 (文字)"/>
    <w:basedOn w:val="a0"/>
    <w:link w:val="ae"/>
    <w:uiPriority w:val="99"/>
    <w:qFormat/>
    <w:rsid w:val="00A24A69"/>
    <w:rPr>
      <w:rFonts w:ascii="Segoe UI" w:hAnsi="Segoe UI" w:cs="Segoe UI"/>
      <w:sz w:val="18"/>
      <w:szCs w:val="18"/>
      <w:lang w:val="en-GB"/>
    </w:rPr>
  </w:style>
  <w:style w:type="character" w:customStyle="1" w:styleId="af">
    <w:name w:val="図表番号 (文字)"/>
    <w:basedOn w:val="a0"/>
    <w:link w:val="af0"/>
    <w:qFormat/>
    <w:rsid w:val="00A24A69"/>
    <w:rPr>
      <w:rFonts w:ascii="Times" w:hAnsi="Times"/>
      <w:szCs w:val="24"/>
    </w:rPr>
  </w:style>
  <w:style w:type="character" w:customStyle="1" w:styleId="af1">
    <w:name w:val="見出しマップ (文字)"/>
    <w:link w:val="af2"/>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af3">
    <w:name w:val="コメント文字列 (文字)"/>
    <w:basedOn w:val="a0"/>
    <w:link w:val="af4"/>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a0"/>
    <w:uiPriority w:val="99"/>
    <w:semiHidden/>
    <w:qFormat/>
    <w:rsid w:val="00A24A69"/>
    <w:rPr>
      <w:rFonts w:ascii="Times New Roman" w:eastAsia="Times New Roman" w:hAnsi="Times New Roman"/>
      <w:lang w:val="en-GB"/>
    </w:rPr>
  </w:style>
  <w:style w:type="character" w:styleId="af5">
    <w:name w:val="annotation reference"/>
    <w:basedOn w:val="a0"/>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a"/>
    <w:next w:val="ae"/>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ae">
    <w:name w:val="Body Text"/>
    <w:basedOn w:val="a"/>
    <w:link w:val="ad"/>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a0"/>
    <w:uiPriority w:val="99"/>
    <w:semiHidden/>
    <w:rsid w:val="00A24A69"/>
    <w:rPr>
      <w:rFonts w:ascii="Times New Roman" w:eastAsia="Times New Roman" w:hAnsi="Times New Roman" w:cs="Times New Roman"/>
      <w:sz w:val="20"/>
      <w:szCs w:val="20"/>
      <w:lang w:val="en-GB"/>
    </w:rPr>
  </w:style>
  <w:style w:type="paragraph" w:styleId="af6">
    <w:name w:val="List"/>
    <w:basedOn w:val="a"/>
    <w:semiHidden/>
    <w:rsid w:val="00A24A69"/>
    <w:pPr>
      <w:ind w:left="568" w:hanging="284"/>
    </w:pPr>
  </w:style>
  <w:style w:type="paragraph" w:styleId="af0">
    <w:name w:val="caption"/>
    <w:basedOn w:val="a"/>
    <w:link w:val="af"/>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a"/>
    <w:qFormat/>
    <w:rsid w:val="00A24A69"/>
    <w:pPr>
      <w:suppressLineNumbers/>
    </w:pPr>
    <w:rPr>
      <w:rFonts w:cs="Lohit Devanagari"/>
    </w:rPr>
  </w:style>
  <w:style w:type="paragraph" w:styleId="81">
    <w:name w:val="toc 8"/>
    <w:basedOn w:val="11"/>
    <w:semiHidden/>
    <w:rsid w:val="00A24A69"/>
    <w:pPr>
      <w:spacing w:before="180"/>
      <w:ind w:left="2693" w:hanging="2693"/>
    </w:pPr>
    <w:rPr>
      <w:b/>
    </w:rPr>
  </w:style>
  <w:style w:type="paragraph" w:styleId="11">
    <w:name w:val="toc 1"/>
    <w:basedOn w:val="a"/>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51">
    <w:name w:val="toc 5"/>
    <w:basedOn w:val="41"/>
    <w:semiHidden/>
    <w:rsid w:val="00A24A69"/>
    <w:pPr>
      <w:ind w:left="1701" w:hanging="1701"/>
    </w:pPr>
  </w:style>
  <w:style w:type="paragraph" w:styleId="41">
    <w:name w:val="toc 4"/>
    <w:basedOn w:val="31"/>
    <w:semiHidden/>
    <w:rsid w:val="00A24A69"/>
    <w:pPr>
      <w:ind w:left="1418" w:hanging="1418"/>
    </w:pPr>
  </w:style>
  <w:style w:type="paragraph" w:styleId="31">
    <w:name w:val="toc 3"/>
    <w:basedOn w:val="23"/>
    <w:semiHidden/>
    <w:rsid w:val="00A24A69"/>
    <w:pPr>
      <w:ind w:left="1134" w:hanging="1134"/>
    </w:pPr>
  </w:style>
  <w:style w:type="paragraph" w:styleId="23">
    <w:name w:val="toc 2"/>
    <w:basedOn w:val="11"/>
    <w:semiHidden/>
    <w:rsid w:val="00A24A69"/>
    <w:pPr>
      <w:keepNext w:val="0"/>
      <w:spacing w:before="0"/>
      <w:ind w:left="851" w:hanging="851"/>
    </w:pPr>
    <w:rPr>
      <w:sz w:val="20"/>
    </w:rPr>
  </w:style>
  <w:style w:type="paragraph" w:styleId="24">
    <w:name w:val="index 2"/>
    <w:basedOn w:val="12"/>
    <w:semiHidden/>
    <w:qFormat/>
    <w:rsid w:val="00A24A69"/>
    <w:pPr>
      <w:ind w:left="284"/>
    </w:pPr>
  </w:style>
  <w:style w:type="paragraph" w:styleId="12">
    <w:name w:val="index 1"/>
    <w:basedOn w:val="a"/>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1"/>
    <w:qFormat/>
    <w:rsid w:val="00A24A69"/>
  </w:style>
  <w:style w:type="paragraph" w:styleId="25">
    <w:name w:val="List Number 2"/>
    <w:basedOn w:val="af7"/>
    <w:semiHidden/>
    <w:qFormat/>
    <w:rsid w:val="00A24A69"/>
    <w:pPr>
      <w:ind w:left="851"/>
    </w:pPr>
  </w:style>
  <w:style w:type="paragraph" w:styleId="af8">
    <w:name w:val="header"/>
    <w:basedOn w:val="a"/>
    <w:link w:val="af9"/>
    <w:semiHidden/>
    <w:rsid w:val="00A24A69"/>
    <w:pPr>
      <w:widowControl w:val="0"/>
    </w:pPr>
    <w:rPr>
      <w:rFonts w:ascii="Arial" w:hAnsi="Arial"/>
      <w:b/>
      <w:sz w:val="18"/>
    </w:rPr>
  </w:style>
  <w:style w:type="character" w:customStyle="1" w:styleId="af9">
    <w:name w:val="ヘッダー (文字)"/>
    <w:basedOn w:val="a0"/>
    <w:link w:val="af8"/>
    <w:semiHidden/>
    <w:rsid w:val="00A24A69"/>
    <w:rPr>
      <w:rFonts w:ascii="Arial" w:eastAsia="Times New Roman" w:hAnsi="Arial" w:cs="Times New Roman"/>
      <w:b/>
      <w:sz w:val="18"/>
      <w:szCs w:val="20"/>
      <w:lang w:val="en-GB"/>
    </w:rPr>
  </w:style>
  <w:style w:type="paragraph" w:styleId="afa">
    <w:name w:val="footnote text"/>
    <w:basedOn w:val="a"/>
    <w:link w:val="afb"/>
    <w:semiHidden/>
    <w:rsid w:val="00A24A69"/>
    <w:pPr>
      <w:keepLines/>
      <w:spacing w:after="0"/>
      <w:ind w:left="454" w:hanging="454"/>
    </w:pPr>
    <w:rPr>
      <w:sz w:val="16"/>
    </w:rPr>
  </w:style>
  <w:style w:type="character" w:customStyle="1" w:styleId="afb">
    <w:name w:val="脚注文字列 (文字)"/>
    <w:basedOn w:val="a0"/>
    <w:link w:val="afa"/>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a"/>
    <w:qFormat/>
    <w:rsid w:val="00A24A69"/>
    <w:pPr>
      <w:keepLines/>
      <w:ind w:left="1135" w:hanging="851"/>
    </w:pPr>
  </w:style>
  <w:style w:type="paragraph" w:styleId="91">
    <w:name w:val="toc 9"/>
    <w:basedOn w:val="81"/>
    <w:semiHidden/>
    <w:rsid w:val="00A24A69"/>
    <w:pPr>
      <w:ind w:left="1418" w:hanging="1418"/>
    </w:pPr>
  </w:style>
  <w:style w:type="paragraph" w:customStyle="1" w:styleId="EX">
    <w:name w:val="EX"/>
    <w:basedOn w:val="a"/>
    <w:qFormat/>
    <w:rsid w:val="00A24A69"/>
    <w:pPr>
      <w:keepLines/>
      <w:ind w:left="1702" w:hanging="1418"/>
    </w:pPr>
  </w:style>
  <w:style w:type="paragraph" w:customStyle="1" w:styleId="FP">
    <w:name w:val="FP"/>
    <w:basedOn w:val="a"/>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61">
    <w:name w:val="toc 6"/>
    <w:basedOn w:val="51"/>
    <w:semiHidden/>
    <w:rsid w:val="00A24A69"/>
    <w:pPr>
      <w:ind w:left="1985" w:hanging="1985"/>
    </w:pPr>
  </w:style>
  <w:style w:type="paragraph" w:styleId="71">
    <w:name w:val="toc 7"/>
    <w:basedOn w:val="61"/>
    <w:semiHidden/>
    <w:rsid w:val="00A24A69"/>
    <w:pPr>
      <w:ind w:left="2268" w:hanging="2268"/>
    </w:pPr>
  </w:style>
  <w:style w:type="paragraph" w:styleId="26">
    <w:name w:val="List Bullet 2"/>
    <w:basedOn w:val="afc"/>
    <w:semiHidden/>
    <w:qFormat/>
    <w:rsid w:val="00A24A69"/>
    <w:pPr>
      <w:ind w:left="851" w:firstLine="0"/>
    </w:pPr>
  </w:style>
  <w:style w:type="paragraph" w:styleId="32">
    <w:name w:val="List Bullet 3"/>
    <w:basedOn w:val="af6"/>
    <w:semiHidden/>
    <w:qFormat/>
    <w:rsid w:val="00A24A69"/>
    <w:pPr>
      <w:ind w:left="851" w:firstLine="0"/>
    </w:pPr>
  </w:style>
  <w:style w:type="paragraph" w:styleId="af7">
    <w:name w:val="List Number"/>
    <w:basedOn w:val="52"/>
    <w:semiHidden/>
    <w:qFormat/>
    <w:rsid w:val="00A24A69"/>
  </w:style>
  <w:style w:type="paragraph" w:customStyle="1" w:styleId="EQ">
    <w:name w:val="EQ"/>
    <w:basedOn w:val="a"/>
    <w:qFormat/>
    <w:rsid w:val="00A24A69"/>
    <w:pPr>
      <w:keepLines/>
      <w:tabs>
        <w:tab w:val="center" w:pos="4536"/>
        <w:tab w:val="right" w:pos="9072"/>
      </w:tabs>
    </w:pPr>
  </w:style>
  <w:style w:type="paragraph" w:customStyle="1" w:styleId="TH">
    <w:name w:val="TH"/>
    <w:basedOn w:val="a"/>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a"/>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42">
    <w:name w:val="List Bullet 4"/>
    <w:basedOn w:val="32"/>
    <w:semiHidden/>
    <w:qFormat/>
    <w:rsid w:val="00A24A69"/>
    <w:pPr>
      <w:ind w:left="1418"/>
    </w:pPr>
  </w:style>
  <w:style w:type="paragraph" w:styleId="52">
    <w:name w:val="List Bullet 5"/>
    <w:basedOn w:val="42"/>
    <w:semiHidden/>
    <w:qFormat/>
    <w:rsid w:val="00A24A69"/>
    <w:pPr>
      <w:ind w:left="1702"/>
    </w:pPr>
  </w:style>
  <w:style w:type="paragraph" w:customStyle="1" w:styleId="EditorsNote">
    <w:name w:val="Editor's Note"/>
    <w:basedOn w:val="NO"/>
    <w:qFormat/>
    <w:rsid w:val="00A24A69"/>
    <w:rPr>
      <w:color w:val="FF0000"/>
    </w:rPr>
  </w:style>
  <w:style w:type="paragraph" w:styleId="afc">
    <w:name w:val="List Bullet"/>
    <w:basedOn w:val="af6"/>
    <w:semiHidden/>
    <w:qFormat/>
    <w:rsid w:val="00A24A69"/>
  </w:style>
  <w:style w:type="paragraph" w:customStyle="1" w:styleId="B1">
    <w:name w:val="B1"/>
    <w:basedOn w:val="af6"/>
    <w:qFormat/>
    <w:rsid w:val="00A24A69"/>
  </w:style>
  <w:style w:type="paragraph" w:customStyle="1" w:styleId="B2">
    <w:name w:val="B2"/>
    <w:basedOn w:val="32"/>
    <w:qFormat/>
    <w:rsid w:val="00A24A69"/>
  </w:style>
  <w:style w:type="paragraph" w:customStyle="1" w:styleId="B3">
    <w:name w:val="B3"/>
    <w:basedOn w:val="42"/>
    <w:qFormat/>
    <w:rsid w:val="00A24A69"/>
  </w:style>
  <w:style w:type="paragraph" w:customStyle="1" w:styleId="B4">
    <w:name w:val="B4"/>
    <w:basedOn w:val="52"/>
    <w:qFormat/>
    <w:rsid w:val="00A24A69"/>
  </w:style>
  <w:style w:type="paragraph" w:customStyle="1" w:styleId="B5">
    <w:name w:val="B5"/>
    <w:basedOn w:val="af7"/>
    <w:qFormat/>
    <w:rsid w:val="00A24A69"/>
  </w:style>
  <w:style w:type="paragraph" w:styleId="afd">
    <w:name w:val="footer"/>
    <w:basedOn w:val="af8"/>
    <w:link w:val="afe"/>
    <w:semiHidden/>
    <w:rsid w:val="00A24A69"/>
    <w:pPr>
      <w:jc w:val="center"/>
    </w:pPr>
    <w:rPr>
      <w:i/>
    </w:rPr>
  </w:style>
  <w:style w:type="character" w:customStyle="1" w:styleId="afe">
    <w:name w:val="フッター (文字)"/>
    <w:basedOn w:val="a0"/>
    <w:link w:val="afd"/>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a7">
    <w:name w:val="Title"/>
    <w:basedOn w:val="a"/>
    <w:link w:val="a6"/>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a0"/>
    <w:uiPriority w:val="10"/>
    <w:rsid w:val="00A24A69"/>
    <w:rPr>
      <w:rFonts w:asciiTheme="majorHAnsi" w:eastAsiaTheme="majorEastAsia" w:hAnsiTheme="majorHAnsi" w:cstheme="majorBidi"/>
      <w:spacing w:val="-10"/>
      <w:kern w:val="28"/>
      <w:sz w:val="56"/>
      <w:szCs w:val="56"/>
      <w:lang w:val="en-GB"/>
    </w:rPr>
  </w:style>
  <w:style w:type="paragraph" w:styleId="aff">
    <w:name w:val="Subtitle"/>
    <w:basedOn w:val="a"/>
    <w:link w:val="aff0"/>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副題 (文字)"/>
    <w:basedOn w:val="a0"/>
    <w:link w:val="aff"/>
    <w:uiPriority w:val="11"/>
    <w:rsid w:val="00A24A69"/>
    <w:rPr>
      <w:rFonts w:eastAsiaTheme="minorEastAsia"/>
      <w:color w:val="5A5A5A" w:themeColor="text1" w:themeTint="A5"/>
      <w:spacing w:val="15"/>
      <w:lang w:val="en-GB"/>
    </w:rPr>
  </w:style>
  <w:style w:type="paragraph" w:styleId="a9">
    <w:name w:val="List Paragraph"/>
    <w:basedOn w:val="a"/>
    <w:link w:val="a8"/>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ac">
    <w:name w:val="Balloon Text"/>
    <w:basedOn w:val="a"/>
    <w:link w:val="ab"/>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a0"/>
    <w:uiPriority w:val="99"/>
    <w:semiHidden/>
    <w:rsid w:val="00A24A69"/>
    <w:rPr>
      <w:rFonts w:ascii="Segoe UI" w:eastAsia="Times New Roman" w:hAnsi="Segoe UI" w:cs="Segoe UI"/>
      <w:sz w:val="18"/>
      <w:szCs w:val="18"/>
      <w:lang w:val="en-GB"/>
    </w:rPr>
  </w:style>
  <w:style w:type="paragraph" w:customStyle="1" w:styleId="YJ-Proposal">
    <w:name w:val="YJ-Proposal"/>
    <w:basedOn w:val="a"/>
    <w:qFormat/>
    <w:rsid w:val="00A24A69"/>
    <w:pPr>
      <w:jc w:val="both"/>
      <w:textAlignment w:val="auto"/>
    </w:pPr>
    <w:rPr>
      <w:rFonts w:eastAsiaTheme="minorEastAsia"/>
      <w:b/>
      <w:bCs/>
      <w:i/>
      <w:iCs/>
      <w:kern w:val="2"/>
    </w:rPr>
  </w:style>
  <w:style w:type="paragraph" w:customStyle="1" w:styleId="maintext">
    <w:name w:val="main text"/>
    <w:basedOn w:val="a"/>
    <w:qFormat/>
    <w:rsid w:val="00A24A69"/>
    <w:pPr>
      <w:spacing w:before="60" w:after="60" w:line="288" w:lineRule="auto"/>
      <w:ind w:firstLine="200"/>
      <w:jc w:val="both"/>
      <w:textAlignment w:val="auto"/>
    </w:pPr>
    <w:rPr>
      <w:rFonts w:eastAsia="Malgun Gothic" w:cs="Batang"/>
      <w:lang w:eastAsia="ko-KR"/>
    </w:rPr>
  </w:style>
  <w:style w:type="paragraph" w:styleId="af2">
    <w:name w:val="Document Map"/>
    <w:basedOn w:val="a"/>
    <w:link w:val="af1"/>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a0"/>
    <w:uiPriority w:val="99"/>
    <w:semiHidden/>
    <w:rsid w:val="00A24A69"/>
    <w:rPr>
      <w:rFonts w:ascii="Segoe UI" w:eastAsia="Times New Roman" w:hAnsi="Segoe UI" w:cs="Segoe UI"/>
      <w:sz w:val="16"/>
      <w:szCs w:val="16"/>
      <w:lang w:val="en-GB"/>
    </w:rPr>
  </w:style>
  <w:style w:type="paragraph" w:styleId="af4">
    <w:name w:val="annotation text"/>
    <w:basedOn w:val="a"/>
    <w:link w:val="af3"/>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a0"/>
    <w:uiPriority w:val="99"/>
    <w:semiHidden/>
    <w:rsid w:val="00A24A69"/>
    <w:rPr>
      <w:rFonts w:ascii="Times New Roman" w:eastAsia="Times New Roman" w:hAnsi="Times New Roman" w:cs="Times New Roman"/>
      <w:sz w:val="20"/>
      <w:szCs w:val="20"/>
      <w:lang w:val="en-GB"/>
    </w:rPr>
  </w:style>
  <w:style w:type="table" w:styleId="aff1">
    <w:name w:val="Table Grid"/>
    <w:basedOn w:val="a1"/>
    <w:uiPriority w:val="39"/>
    <w:rsid w:val="00A24A69"/>
    <w:pPr>
      <w:spacing w:after="0" w:line="240" w:lineRule="auto"/>
    </w:pPr>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2169F"/>
  </w:style>
  <w:style w:type="character" w:customStyle="1" w:styleId="eop">
    <w:name w:val="eop"/>
    <w:basedOn w:val="a0"/>
    <w:rsid w:val="00A2169F"/>
  </w:style>
  <w:style w:type="paragraph" w:customStyle="1" w:styleId="paragraph">
    <w:name w:val="paragraph"/>
    <w:basedOn w:val="a"/>
    <w:rsid w:val="00A2169F"/>
    <w:pPr>
      <w:spacing w:before="100" w:beforeAutospacing="1" w:after="100" w:afterAutospacing="1" w:line="240" w:lineRule="auto"/>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6335">
      <w:bodyDiv w:val="1"/>
      <w:marLeft w:val="0"/>
      <w:marRight w:val="0"/>
      <w:marTop w:val="0"/>
      <w:marBottom w:val="0"/>
      <w:divBdr>
        <w:top w:val="none" w:sz="0" w:space="0" w:color="auto"/>
        <w:left w:val="none" w:sz="0" w:space="0" w:color="auto"/>
        <w:bottom w:val="none" w:sz="0" w:space="0" w:color="auto"/>
        <w:right w:val="none" w:sz="0" w:space="0" w:color="auto"/>
      </w:divBdr>
      <w:divsChild>
        <w:div w:id="948850697">
          <w:marLeft w:val="0"/>
          <w:marRight w:val="0"/>
          <w:marTop w:val="0"/>
          <w:marBottom w:val="0"/>
          <w:divBdr>
            <w:top w:val="none" w:sz="0" w:space="0" w:color="auto"/>
            <w:left w:val="none" w:sz="0" w:space="0" w:color="auto"/>
            <w:bottom w:val="none" w:sz="0" w:space="0" w:color="auto"/>
            <w:right w:val="none" w:sz="0" w:space="0" w:color="auto"/>
          </w:divBdr>
          <w:divsChild>
            <w:div w:id="1952087747">
              <w:marLeft w:val="0"/>
              <w:marRight w:val="0"/>
              <w:marTop w:val="0"/>
              <w:marBottom w:val="0"/>
              <w:divBdr>
                <w:top w:val="none" w:sz="0" w:space="0" w:color="auto"/>
                <w:left w:val="none" w:sz="0" w:space="0" w:color="auto"/>
                <w:bottom w:val="none" w:sz="0" w:space="0" w:color="auto"/>
                <w:right w:val="none" w:sz="0" w:space="0" w:color="auto"/>
              </w:divBdr>
              <w:divsChild>
                <w:div w:id="1235774028">
                  <w:marLeft w:val="0"/>
                  <w:marRight w:val="0"/>
                  <w:marTop w:val="0"/>
                  <w:marBottom w:val="0"/>
                  <w:divBdr>
                    <w:top w:val="none" w:sz="0" w:space="0" w:color="auto"/>
                    <w:left w:val="none" w:sz="0" w:space="0" w:color="auto"/>
                    <w:bottom w:val="none" w:sz="0" w:space="0" w:color="auto"/>
                    <w:right w:val="none" w:sz="0" w:space="0" w:color="auto"/>
                  </w:divBdr>
                  <w:divsChild>
                    <w:div w:id="1997487905">
                      <w:marLeft w:val="0"/>
                      <w:marRight w:val="0"/>
                      <w:marTop w:val="0"/>
                      <w:marBottom w:val="0"/>
                      <w:divBdr>
                        <w:top w:val="none" w:sz="0" w:space="0" w:color="auto"/>
                        <w:left w:val="none" w:sz="0" w:space="0" w:color="auto"/>
                        <w:bottom w:val="none" w:sz="0" w:space="0" w:color="auto"/>
                        <w:right w:val="none" w:sz="0" w:space="0" w:color="auto"/>
                      </w:divBdr>
                    </w:div>
                    <w:div w:id="1985239135">
                      <w:marLeft w:val="0"/>
                      <w:marRight w:val="0"/>
                      <w:marTop w:val="0"/>
                      <w:marBottom w:val="0"/>
                      <w:divBdr>
                        <w:top w:val="none" w:sz="0" w:space="0" w:color="auto"/>
                        <w:left w:val="none" w:sz="0" w:space="0" w:color="auto"/>
                        <w:bottom w:val="none" w:sz="0" w:space="0" w:color="auto"/>
                        <w:right w:val="none" w:sz="0" w:space="0" w:color="auto"/>
                      </w:divBdr>
                    </w:div>
                    <w:div w:id="17991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9868">
      <w:bodyDiv w:val="1"/>
      <w:marLeft w:val="0"/>
      <w:marRight w:val="0"/>
      <w:marTop w:val="0"/>
      <w:marBottom w:val="0"/>
      <w:divBdr>
        <w:top w:val="none" w:sz="0" w:space="0" w:color="auto"/>
        <w:left w:val="none" w:sz="0" w:space="0" w:color="auto"/>
        <w:bottom w:val="none" w:sz="0" w:space="0" w:color="auto"/>
        <w:right w:val="none" w:sz="0" w:space="0" w:color="auto"/>
      </w:divBdr>
      <w:divsChild>
        <w:div w:id="1703745056">
          <w:marLeft w:val="0"/>
          <w:marRight w:val="0"/>
          <w:marTop w:val="0"/>
          <w:marBottom w:val="0"/>
          <w:divBdr>
            <w:top w:val="none" w:sz="0" w:space="0" w:color="auto"/>
            <w:left w:val="none" w:sz="0" w:space="0" w:color="auto"/>
            <w:bottom w:val="none" w:sz="0" w:space="0" w:color="auto"/>
            <w:right w:val="none" w:sz="0" w:space="0" w:color="auto"/>
          </w:divBdr>
          <w:divsChild>
            <w:div w:id="1913663901">
              <w:marLeft w:val="0"/>
              <w:marRight w:val="0"/>
              <w:marTop w:val="0"/>
              <w:marBottom w:val="0"/>
              <w:divBdr>
                <w:top w:val="none" w:sz="0" w:space="0" w:color="auto"/>
                <w:left w:val="none" w:sz="0" w:space="0" w:color="auto"/>
                <w:bottom w:val="none" w:sz="0" w:space="0" w:color="auto"/>
                <w:right w:val="none" w:sz="0" w:space="0" w:color="auto"/>
              </w:divBdr>
              <w:divsChild>
                <w:div w:id="858813588">
                  <w:marLeft w:val="0"/>
                  <w:marRight w:val="0"/>
                  <w:marTop w:val="0"/>
                  <w:marBottom w:val="0"/>
                  <w:divBdr>
                    <w:top w:val="none" w:sz="0" w:space="0" w:color="auto"/>
                    <w:left w:val="none" w:sz="0" w:space="0" w:color="auto"/>
                    <w:bottom w:val="none" w:sz="0" w:space="0" w:color="auto"/>
                    <w:right w:val="none" w:sz="0" w:space="0" w:color="auto"/>
                  </w:divBdr>
                  <w:divsChild>
                    <w:div w:id="1038819100">
                      <w:marLeft w:val="0"/>
                      <w:marRight w:val="0"/>
                      <w:marTop w:val="0"/>
                      <w:marBottom w:val="0"/>
                      <w:divBdr>
                        <w:top w:val="none" w:sz="0" w:space="0" w:color="auto"/>
                        <w:left w:val="none" w:sz="0" w:space="0" w:color="auto"/>
                        <w:bottom w:val="none" w:sz="0" w:space="0" w:color="auto"/>
                        <w:right w:val="none" w:sz="0" w:space="0" w:color="auto"/>
                      </w:divBdr>
                    </w:div>
                    <w:div w:id="238439898">
                      <w:marLeft w:val="0"/>
                      <w:marRight w:val="0"/>
                      <w:marTop w:val="0"/>
                      <w:marBottom w:val="0"/>
                      <w:divBdr>
                        <w:top w:val="none" w:sz="0" w:space="0" w:color="auto"/>
                        <w:left w:val="none" w:sz="0" w:space="0" w:color="auto"/>
                        <w:bottom w:val="none" w:sz="0" w:space="0" w:color="auto"/>
                        <w:right w:val="none" w:sz="0" w:space="0" w:color="auto"/>
                      </w:divBdr>
                    </w:div>
                    <w:div w:id="1393890738">
                      <w:marLeft w:val="0"/>
                      <w:marRight w:val="0"/>
                      <w:marTop w:val="0"/>
                      <w:marBottom w:val="0"/>
                      <w:divBdr>
                        <w:top w:val="none" w:sz="0" w:space="0" w:color="auto"/>
                        <w:left w:val="none" w:sz="0" w:space="0" w:color="auto"/>
                        <w:bottom w:val="none" w:sz="0" w:space="0" w:color="auto"/>
                        <w:right w:val="none" w:sz="0" w:space="0" w:color="auto"/>
                      </w:divBdr>
                    </w:div>
                    <w:div w:id="1717119572">
                      <w:marLeft w:val="0"/>
                      <w:marRight w:val="0"/>
                      <w:marTop w:val="0"/>
                      <w:marBottom w:val="0"/>
                      <w:divBdr>
                        <w:top w:val="none" w:sz="0" w:space="0" w:color="auto"/>
                        <w:left w:val="none" w:sz="0" w:space="0" w:color="auto"/>
                        <w:bottom w:val="none" w:sz="0" w:space="0" w:color="auto"/>
                        <w:right w:val="none" w:sz="0" w:space="0" w:color="auto"/>
                      </w:divBdr>
                    </w:div>
                    <w:div w:id="1263414507">
                      <w:marLeft w:val="0"/>
                      <w:marRight w:val="0"/>
                      <w:marTop w:val="0"/>
                      <w:marBottom w:val="0"/>
                      <w:divBdr>
                        <w:top w:val="none" w:sz="0" w:space="0" w:color="auto"/>
                        <w:left w:val="none" w:sz="0" w:space="0" w:color="auto"/>
                        <w:bottom w:val="none" w:sz="0" w:space="0" w:color="auto"/>
                        <w:right w:val="none" w:sz="0" w:space="0" w:color="auto"/>
                      </w:divBdr>
                    </w:div>
                    <w:div w:id="1188057752">
                      <w:marLeft w:val="0"/>
                      <w:marRight w:val="0"/>
                      <w:marTop w:val="0"/>
                      <w:marBottom w:val="0"/>
                      <w:divBdr>
                        <w:top w:val="none" w:sz="0" w:space="0" w:color="auto"/>
                        <w:left w:val="none" w:sz="0" w:space="0" w:color="auto"/>
                        <w:bottom w:val="none" w:sz="0" w:space="0" w:color="auto"/>
                        <w:right w:val="none" w:sz="0" w:space="0" w:color="auto"/>
                      </w:divBdr>
                    </w:div>
                    <w:div w:id="21402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93888">
      <w:bodyDiv w:val="1"/>
      <w:marLeft w:val="0"/>
      <w:marRight w:val="0"/>
      <w:marTop w:val="0"/>
      <w:marBottom w:val="0"/>
      <w:divBdr>
        <w:top w:val="none" w:sz="0" w:space="0" w:color="auto"/>
        <w:left w:val="none" w:sz="0" w:space="0" w:color="auto"/>
        <w:bottom w:val="none" w:sz="0" w:space="0" w:color="auto"/>
        <w:right w:val="none" w:sz="0" w:space="0" w:color="auto"/>
      </w:divBdr>
      <w:divsChild>
        <w:div w:id="802120941">
          <w:marLeft w:val="0"/>
          <w:marRight w:val="0"/>
          <w:marTop w:val="0"/>
          <w:marBottom w:val="0"/>
          <w:divBdr>
            <w:top w:val="none" w:sz="0" w:space="0" w:color="auto"/>
            <w:left w:val="none" w:sz="0" w:space="0" w:color="auto"/>
            <w:bottom w:val="none" w:sz="0" w:space="0" w:color="auto"/>
            <w:right w:val="none" w:sz="0" w:space="0" w:color="auto"/>
          </w:divBdr>
          <w:divsChild>
            <w:div w:id="689333249">
              <w:marLeft w:val="0"/>
              <w:marRight w:val="0"/>
              <w:marTop w:val="0"/>
              <w:marBottom w:val="0"/>
              <w:divBdr>
                <w:top w:val="none" w:sz="0" w:space="0" w:color="auto"/>
                <w:left w:val="none" w:sz="0" w:space="0" w:color="auto"/>
                <w:bottom w:val="none" w:sz="0" w:space="0" w:color="auto"/>
                <w:right w:val="none" w:sz="0" w:space="0" w:color="auto"/>
              </w:divBdr>
              <w:divsChild>
                <w:div w:id="353506980">
                  <w:marLeft w:val="0"/>
                  <w:marRight w:val="0"/>
                  <w:marTop w:val="0"/>
                  <w:marBottom w:val="0"/>
                  <w:divBdr>
                    <w:top w:val="none" w:sz="0" w:space="0" w:color="auto"/>
                    <w:left w:val="none" w:sz="0" w:space="0" w:color="auto"/>
                    <w:bottom w:val="none" w:sz="0" w:space="0" w:color="auto"/>
                    <w:right w:val="none" w:sz="0" w:space="0" w:color="auto"/>
                  </w:divBdr>
                  <w:divsChild>
                    <w:div w:id="282082399">
                      <w:marLeft w:val="0"/>
                      <w:marRight w:val="0"/>
                      <w:marTop w:val="0"/>
                      <w:marBottom w:val="0"/>
                      <w:divBdr>
                        <w:top w:val="none" w:sz="0" w:space="0" w:color="auto"/>
                        <w:left w:val="none" w:sz="0" w:space="0" w:color="auto"/>
                        <w:bottom w:val="none" w:sz="0" w:space="0" w:color="auto"/>
                        <w:right w:val="none" w:sz="0" w:space="0" w:color="auto"/>
                      </w:divBdr>
                    </w:div>
                  </w:divsChild>
                </w:div>
                <w:div w:id="1432891134">
                  <w:marLeft w:val="0"/>
                  <w:marRight w:val="0"/>
                  <w:marTop w:val="0"/>
                  <w:marBottom w:val="0"/>
                  <w:divBdr>
                    <w:top w:val="none" w:sz="0" w:space="0" w:color="auto"/>
                    <w:left w:val="none" w:sz="0" w:space="0" w:color="auto"/>
                    <w:bottom w:val="none" w:sz="0" w:space="0" w:color="auto"/>
                    <w:right w:val="none" w:sz="0" w:space="0" w:color="auto"/>
                  </w:divBdr>
                  <w:divsChild>
                    <w:div w:id="831484721">
                      <w:marLeft w:val="0"/>
                      <w:marRight w:val="0"/>
                      <w:marTop w:val="0"/>
                      <w:marBottom w:val="0"/>
                      <w:divBdr>
                        <w:top w:val="none" w:sz="0" w:space="0" w:color="auto"/>
                        <w:left w:val="none" w:sz="0" w:space="0" w:color="auto"/>
                        <w:bottom w:val="none" w:sz="0" w:space="0" w:color="auto"/>
                        <w:right w:val="none" w:sz="0" w:space="0" w:color="auto"/>
                      </w:divBdr>
                    </w:div>
                  </w:divsChild>
                </w:div>
                <w:div w:id="1475373773">
                  <w:marLeft w:val="0"/>
                  <w:marRight w:val="0"/>
                  <w:marTop w:val="0"/>
                  <w:marBottom w:val="0"/>
                  <w:divBdr>
                    <w:top w:val="none" w:sz="0" w:space="0" w:color="auto"/>
                    <w:left w:val="none" w:sz="0" w:space="0" w:color="auto"/>
                    <w:bottom w:val="none" w:sz="0" w:space="0" w:color="auto"/>
                    <w:right w:val="none" w:sz="0" w:space="0" w:color="auto"/>
                  </w:divBdr>
                  <w:divsChild>
                    <w:div w:id="13142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7519</Words>
  <Characters>42860</Characters>
  <Application>Microsoft Office Word</Application>
  <DocSecurity>0</DocSecurity>
  <Lines>357</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kurita</cp:lastModifiedBy>
  <cp:revision>4</cp:revision>
  <dcterms:created xsi:type="dcterms:W3CDTF">2020-11-04T02:03:00Z</dcterms:created>
  <dcterms:modified xsi:type="dcterms:W3CDTF">2020-11-04T02:27:00Z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C:\Users\seunghoon.choi\Downloads\Summary of [103-e-NR-eIAB-02] v005_Nokia_Sharp (1).docx</vt:lpwstr>
  </property>
</Properties>
</file>