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50477" w14:textId="77777777" w:rsidR="00076871" w:rsidRDefault="004D04F0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3GPP TSG RAN WG1 #103-e</w:t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  <w:t>R1-20xxxxx</w:t>
      </w:r>
    </w:p>
    <w:p w14:paraId="0DF939C7" w14:textId="77777777" w:rsidR="00076871" w:rsidRDefault="004D04F0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e-Meeting, October 26th – November 13th, 2020</w:t>
      </w:r>
    </w:p>
    <w:p w14:paraId="2D2A342D" w14:textId="77777777" w:rsidR="00076871" w:rsidRDefault="00076871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720749E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4326BC2C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400DB79B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Feature Lead Summary of [103-e-NR-IAB-02] Issue with IAB-DU “serving” cell terminology</w:t>
      </w:r>
    </w:p>
    <w:p w14:paraId="6949840E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445C099E" w14:textId="77777777" w:rsidR="00076871" w:rsidRDefault="004D04F0">
      <w:pPr>
        <w:pStyle w:val="Heading1"/>
      </w:pPr>
      <w:r>
        <w:t>Introduction</w:t>
      </w:r>
    </w:p>
    <w:p w14:paraId="19E9C7E5" w14:textId="77777777" w:rsidR="00076871" w:rsidRDefault="004D04F0">
      <w:pPr>
        <w:pStyle w:val="BodyText"/>
      </w:pPr>
      <w:r>
        <w:t>This contribution provides a summary of the following email discussion:</w:t>
      </w:r>
    </w:p>
    <w:p w14:paraId="38A65955" w14:textId="77777777" w:rsidR="00076871" w:rsidRDefault="004D04F0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[103-e-NR-IAB-02] Issue with IAB-DU “serving” cell terminology – Thomas (AT&amp;T)</w:t>
      </w:r>
    </w:p>
    <w:p w14:paraId="60BDF41C" w14:textId="77777777" w:rsidR="00076871" w:rsidRDefault="004D04F0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Determine whether the term “serving cells” should be removed for IAB-DUs in 38.213</w:t>
      </w:r>
    </w:p>
    <w:p w14:paraId="724AB507" w14:textId="77777777" w:rsidR="00076871" w:rsidRDefault="004D04F0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10/27, TPs (if needed) by 10/29</w:t>
      </w:r>
    </w:p>
    <w:p w14:paraId="370FCC19" w14:textId="77777777" w:rsidR="00076871" w:rsidRDefault="00076871">
      <w:pPr>
        <w:pStyle w:val="BodyText"/>
      </w:pPr>
    </w:p>
    <w:p w14:paraId="7415ACFA" w14:textId="77777777" w:rsidR="00076871" w:rsidRDefault="004D04F0">
      <w:pPr>
        <w:pStyle w:val="Heading1"/>
      </w:pPr>
      <w:r>
        <w:rPr>
          <w:lang w:val="en-GB"/>
        </w:rPr>
        <w:t>Issue with IAB-DU “serving” cell terminology</w:t>
      </w:r>
    </w:p>
    <w:p w14:paraId="7E99E11C" w14:textId="77777777" w:rsidR="00076871" w:rsidRDefault="004D04F0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>: R1-2008742</w:t>
      </w:r>
    </w:p>
    <w:p w14:paraId="705DFDC2" w14:textId="77777777" w:rsidR="00076871" w:rsidRDefault="0007687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60DCEECA" w14:textId="77777777" w:rsidR="00076871" w:rsidRDefault="004D04F0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 xml:space="preserve">In 38.213 Section 14, multiple references to a “serving cell” in relation to an IAB-DU are made, which are consistent with the terminology used for UEs and IAB-MTs. However, this is inconsistent with other specifications where </w:t>
      </w:r>
      <w:proofErr w:type="spellStart"/>
      <w:r>
        <w:rPr>
          <w:rFonts w:ascii="Calibri" w:eastAsia="Calibri" w:hAnsi="Calibri"/>
          <w:sz w:val="22"/>
          <w:szCs w:val="22"/>
        </w:rPr>
        <w:t>gNB</w:t>
      </w:r>
      <w:proofErr w:type="spellEnd"/>
      <w:r>
        <w:rPr>
          <w:rFonts w:ascii="Calibri" w:eastAsia="Calibri" w:hAnsi="Calibri"/>
          <w:sz w:val="22"/>
          <w:szCs w:val="22"/>
        </w:rPr>
        <w:t xml:space="preserve">-DUs do not use the term “serving” for associated cells, including for IAB-DUs (see 38.331 and 38.401 for examples from RAN2 and RAN3 respectively). Unless a clear motivation is made for keeping the term “serving cells,” since the IAB-DU hosts </w:t>
      </w:r>
      <w:proofErr w:type="spellStart"/>
      <w:r>
        <w:rPr>
          <w:rFonts w:ascii="Calibri" w:eastAsia="Calibri" w:hAnsi="Calibri"/>
          <w:sz w:val="22"/>
          <w:szCs w:val="22"/>
        </w:rPr>
        <w:t>gNB</w:t>
      </w:r>
      <w:proofErr w:type="spellEnd"/>
      <w:r>
        <w:rPr>
          <w:rFonts w:ascii="Calibri" w:eastAsia="Calibri" w:hAnsi="Calibri"/>
          <w:sz w:val="22"/>
          <w:szCs w:val="22"/>
        </w:rPr>
        <w:t>-DU functionality, it seems more appropriate to remove the instances of “IAB-DU serving cell(s)” or “serving cell(s) of an IAB-DU.” Since there does not appear to be any functional impact, an editorial correction of the specification could be used to make the update instead of a CR.</w:t>
      </w:r>
    </w:p>
    <w:p w14:paraId="16C1AA34" w14:textId="77777777" w:rsidR="00076871" w:rsidRDefault="00076871">
      <w:pPr>
        <w:rPr>
          <w:rFonts w:ascii="Calibri" w:eastAsia="Calibri" w:hAnsi="Calibri"/>
          <w:sz w:val="22"/>
          <w:szCs w:val="22"/>
        </w:rPr>
      </w:pPr>
    </w:p>
    <w:p w14:paraId="1EAB592C" w14:textId="77777777" w:rsidR="00076871" w:rsidRDefault="004D04F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2.1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Remove all references to “serving” in relation of IAB-DU cell(s) in TS 38.213 Section 14. </w:t>
      </w:r>
    </w:p>
    <w:p w14:paraId="2E889D04" w14:textId="77777777" w:rsidR="00076871" w:rsidRDefault="004D04F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  <w:t xml:space="preserve">Note: This will be done via editorial update of the alignment CR </w:t>
      </w:r>
    </w:p>
    <w:p w14:paraId="49FC667D" w14:textId="77777777" w:rsidR="00076871" w:rsidRDefault="00076871">
      <w:pPr>
        <w:rPr>
          <w:rFonts w:ascii="Calibri" w:eastAsia="Calibri" w:hAnsi="Calibri"/>
          <w:sz w:val="22"/>
          <w:szCs w:val="22"/>
        </w:rPr>
      </w:pPr>
    </w:p>
    <w:p w14:paraId="72F4A08D" w14:textId="77777777" w:rsidR="00076871" w:rsidRDefault="004D04F0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076871" w14:paraId="5DAAE072" w14:textId="77777777">
        <w:tc>
          <w:tcPr>
            <w:tcW w:w="1696" w:type="dxa"/>
          </w:tcPr>
          <w:p w14:paraId="2DC02494" w14:textId="77777777"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3F481636" w14:textId="77777777"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 w14:paraId="4B88E44B" w14:textId="77777777"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076871" w14:paraId="2DFF7F22" w14:textId="77777777">
        <w:tc>
          <w:tcPr>
            <w:tcW w:w="1696" w:type="dxa"/>
          </w:tcPr>
          <w:p w14:paraId="7F714F06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38F1A2AD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28FA8650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 serving cell is a cell from a UE or IAB-MT perspective. It has no bearing on the IAB-DU side.</w:t>
            </w:r>
          </w:p>
        </w:tc>
      </w:tr>
      <w:tr w:rsidR="00076871" w14:paraId="3667F8E0" w14:textId="77777777">
        <w:tc>
          <w:tcPr>
            <w:tcW w:w="1696" w:type="dxa"/>
          </w:tcPr>
          <w:p w14:paraId="3DBD0D8C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18BD97AB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3C702C80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</w:p>
        </w:tc>
      </w:tr>
      <w:tr w:rsidR="00076871" w14:paraId="4D3E2345" w14:textId="77777777">
        <w:tc>
          <w:tcPr>
            <w:tcW w:w="1696" w:type="dxa"/>
          </w:tcPr>
          <w:p w14:paraId="4DC38310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6087E6E9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58B25A46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076871" w14:paraId="64D89012" w14:textId="77777777">
        <w:tc>
          <w:tcPr>
            <w:tcW w:w="1696" w:type="dxa"/>
          </w:tcPr>
          <w:p w14:paraId="63DBE0DC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265" w:type="dxa"/>
          </w:tcPr>
          <w:p w14:paraId="054E4D1D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09" w:type="dxa"/>
          </w:tcPr>
          <w:p w14:paraId="27F1084F" w14:textId="77777777" w:rsidR="00076871" w:rsidRDefault="004D04F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his was agreed before.</w:t>
            </w:r>
          </w:p>
        </w:tc>
      </w:tr>
      <w:tr w:rsidR="00076871" w14:paraId="73C94CAA" w14:textId="77777777">
        <w:tc>
          <w:tcPr>
            <w:tcW w:w="1696" w:type="dxa"/>
          </w:tcPr>
          <w:p w14:paraId="631BE66B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40637595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42A29F62" w14:textId="77777777" w:rsidR="00076871" w:rsidRDefault="004D04F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076871" w14:paraId="06361DF4" w14:textId="77777777">
        <w:tc>
          <w:tcPr>
            <w:tcW w:w="1696" w:type="dxa"/>
          </w:tcPr>
          <w:p w14:paraId="0C8EFC57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14:paraId="64733C57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33DED24A" w14:textId="77777777" w:rsidR="00076871" w:rsidRDefault="004D04F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None</w:t>
            </w:r>
          </w:p>
        </w:tc>
      </w:tr>
      <w:tr w:rsidR="00076871" w14:paraId="580048B6" w14:textId="77777777">
        <w:tc>
          <w:tcPr>
            <w:tcW w:w="1696" w:type="dxa"/>
          </w:tcPr>
          <w:p w14:paraId="6527CE8A" w14:textId="77777777" w:rsidR="00076871" w:rsidRDefault="004D04F0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265" w:type="dxa"/>
          </w:tcPr>
          <w:p w14:paraId="432B671D" w14:textId="77777777" w:rsidR="00076871" w:rsidRDefault="00076871">
            <w:pPr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31F9B59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After checking 38.331, the term </w:t>
            </w:r>
            <w:r>
              <w:rPr>
                <w:rFonts w:ascii="Calibri" w:eastAsia="Calibri" w:hAnsi="Calibri"/>
                <w:sz w:val="22"/>
                <w:szCs w:val="22"/>
              </w:rPr>
              <w:t>“serving”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is also used for a IAB DU related cell in the following text:</w:t>
            </w:r>
          </w:p>
          <w:p w14:paraId="1E97A10A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----------------------------------------------------</w:t>
            </w:r>
          </w:p>
          <w:p w14:paraId="3A09D247" w14:textId="77777777" w:rsidR="00076871" w:rsidRDefault="004D04F0">
            <w:pPr>
              <w:rPr>
                <w:rFonts w:ascii="Arial" w:hAnsi="Arial"/>
                <w:i/>
                <w:iCs/>
                <w:lang w:val="en-GB" w:eastAsia="ja-JP"/>
              </w:rPr>
            </w:pPr>
            <w:r>
              <w:rPr>
                <w:rFonts w:ascii="Arial" w:eastAsia="SimSun" w:hAnsi="Arial" w:hint="eastAsia"/>
                <w:lang w:eastAsia="zh-CN"/>
              </w:rPr>
              <w:t xml:space="preserve"> -  </w:t>
            </w:r>
            <w:proofErr w:type="spellStart"/>
            <w:r>
              <w:rPr>
                <w:rFonts w:ascii="Arial" w:hAnsi="Arial"/>
                <w:i/>
                <w:iCs/>
                <w:lang w:val="en-GB" w:eastAsia="ja-JP"/>
              </w:rPr>
              <w:t>AvailabilityCombinationsPerCell</w:t>
            </w:r>
            <w:proofErr w:type="spellEnd"/>
          </w:p>
          <w:p w14:paraId="25D4B8DF" w14:textId="77777777" w:rsidR="00076871" w:rsidRDefault="00076871">
            <w:pPr>
              <w:rPr>
                <w:rFonts w:ascii="Arial" w:hAnsi="Arial"/>
                <w:i/>
                <w:iCs/>
                <w:lang w:eastAsia="zh-CN"/>
              </w:rPr>
            </w:pPr>
          </w:p>
          <w:p w14:paraId="6CC51D00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The IE </w:t>
            </w:r>
            <w:proofErr w:type="spellStart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>AvailabiltyCombinationsPerCell</w:t>
            </w:r>
            <w:proofErr w:type="spellEnd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 is used to configure the </w:t>
            </w:r>
            <w:proofErr w:type="spellStart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>AvailabiltyCombinations</w:t>
            </w:r>
            <w:proofErr w:type="spellEnd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 applicable for a</w:t>
            </w:r>
            <w:r>
              <w:rPr>
                <w:rStyle w:val="apple-converted-space"/>
                <w:rFonts w:ascii="Arial" w:eastAsia="SimSun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mphasis"/>
                <w:rFonts w:ascii="Arial" w:eastAsia="SimSun" w:hAnsi="Arial" w:cs="Arial"/>
                <w:color w:val="FF0000"/>
                <w:sz w:val="22"/>
                <w:szCs w:val="22"/>
                <w:shd w:val="clear" w:color="auto" w:fill="FFFFFF"/>
              </w:rPr>
              <w:t>serving cell of the IAB-node DU</w:t>
            </w:r>
            <w:r>
              <w:rPr>
                <w:rStyle w:val="apple-converted-space"/>
                <w:rFonts w:ascii="Arial" w:eastAsia="SimSun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mphasis"/>
                <w:rFonts w:ascii="Arial" w:eastAsia="SimSun" w:hAnsi="Arial" w:cs="Arial"/>
                <w:color w:val="000000"/>
                <w:sz w:val="22"/>
                <w:szCs w:val="22"/>
                <w:shd w:val="clear" w:color="auto" w:fill="FFFFFF"/>
              </w:rPr>
              <w:t>(see TS 38.213 [13], clause 14).</w:t>
            </w:r>
          </w:p>
          <w:p w14:paraId="60F6689B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lastRenderedPageBreak/>
              <w:t>-----------------------------------------------------</w:t>
            </w:r>
          </w:p>
          <w:p w14:paraId="6817F9D1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The inconsistent issue may still there if just RAN1 chooses to remove </w:t>
            </w:r>
            <w:r>
              <w:rPr>
                <w:rFonts w:ascii="Calibri" w:eastAsia="Calibri" w:hAnsi="Calibri"/>
                <w:sz w:val="22"/>
                <w:szCs w:val="22"/>
              </w:rPr>
              <w:t>all references to “serving” in relation of IAB-DU cell(s) in TS 38.213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Given 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both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RAN1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and RAN2 spec have used  term </w:t>
            </w:r>
            <w:r>
              <w:rPr>
                <w:rFonts w:ascii="Calibri" w:eastAsia="Calibri" w:hAnsi="Calibri"/>
                <w:sz w:val="22"/>
                <w:szCs w:val="22"/>
              </w:rPr>
              <w:t>“serving”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 for IAB DU, the following either way is OK for us:</w:t>
            </w:r>
          </w:p>
          <w:p w14:paraId="7AD7BC43" w14:textId="77777777" w:rsidR="00076871" w:rsidRDefault="004D04F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 w:hint="eastAsia"/>
                <w:b/>
                <w:sz w:val="22"/>
                <w:szCs w:val="22"/>
                <w:lang w:eastAsia="zh-CN"/>
              </w:rPr>
              <w:t>Option 1: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Remove all references to “serving” in relation of IAB-DU cell(s) in TS 38.213 Section 14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, also inform RAN2 to update its spec accordingly.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 </w:t>
            </w:r>
          </w:p>
          <w:p w14:paraId="415E416A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/>
                <w:sz w:val="22"/>
                <w:szCs w:val="22"/>
                <w:lang w:eastAsia="zh-CN"/>
              </w:rPr>
              <w:t xml:space="preserve">Option 2: 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Do nothing, since current text does not cause any misunderstanding.</w:t>
            </w:r>
          </w:p>
        </w:tc>
      </w:tr>
      <w:tr w:rsidR="00076871" w14:paraId="0CB54B98" w14:textId="77777777">
        <w:tc>
          <w:tcPr>
            <w:tcW w:w="1696" w:type="dxa"/>
          </w:tcPr>
          <w:p w14:paraId="1DF259B7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lastRenderedPageBreak/>
              <w:t>Vivo</w:t>
            </w:r>
          </w:p>
        </w:tc>
        <w:tc>
          <w:tcPr>
            <w:tcW w:w="2265" w:type="dxa"/>
          </w:tcPr>
          <w:p w14:paraId="75689506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4829F553" w14:textId="77777777" w:rsidR="00076871" w:rsidRDefault="004D04F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As commented by ZTE, RAN1 and RAN2 should align the name.</w:t>
            </w:r>
          </w:p>
        </w:tc>
      </w:tr>
      <w:tr w:rsidR="00076871" w14:paraId="55497504" w14:textId="77777777">
        <w:tc>
          <w:tcPr>
            <w:tcW w:w="1696" w:type="dxa"/>
          </w:tcPr>
          <w:p w14:paraId="2221C2EA" w14:textId="07050A18" w:rsidR="00076871" w:rsidRDefault="0047635B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265" w:type="dxa"/>
          </w:tcPr>
          <w:p w14:paraId="043F436F" w14:textId="77777777" w:rsidR="00076871" w:rsidRDefault="00076871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A0AA430" w14:textId="35755B30" w:rsidR="00076871" w:rsidRDefault="0047635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Agree with ZTE’s comments. Either Option 1 or Option 2 is Ok. </w:t>
            </w:r>
          </w:p>
        </w:tc>
      </w:tr>
      <w:tr w:rsidR="00076871" w14:paraId="7A8D4C7E" w14:textId="77777777">
        <w:tc>
          <w:tcPr>
            <w:tcW w:w="1696" w:type="dxa"/>
          </w:tcPr>
          <w:p w14:paraId="7E1B0167" w14:textId="77777777"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6D11BC49" w14:textId="77777777" w:rsidR="00076871" w:rsidRDefault="00076871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C711DB3" w14:textId="77777777" w:rsidR="00076871" w:rsidRDefault="00076871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076871" w14:paraId="4AC7AC87" w14:textId="77777777">
        <w:tc>
          <w:tcPr>
            <w:tcW w:w="1696" w:type="dxa"/>
          </w:tcPr>
          <w:p w14:paraId="19BC7044" w14:textId="77777777"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6D2BA928" w14:textId="77777777"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3F05562C" w14:textId="77777777" w:rsidR="00076871" w:rsidRDefault="00076871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69328903" w14:textId="694FE660" w:rsidR="00076871" w:rsidRDefault="00076871">
      <w:pPr>
        <w:rPr>
          <w:rFonts w:ascii="Calibri" w:eastAsia="Calibri" w:hAnsi="Calibri"/>
          <w:sz w:val="22"/>
          <w:szCs w:val="22"/>
        </w:rPr>
      </w:pPr>
    </w:p>
    <w:p w14:paraId="4A8F05D3" w14:textId="7E99DA97" w:rsidR="00993E14" w:rsidRPr="00993E14" w:rsidRDefault="00993E14" w:rsidP="00993E14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Pr="00993E14">
        <w:rPr>
          <w:rFonts w:ascii="Calibri" w:eastAsia="Calibri" w:hAnsi="Calibri"/>
          <w:b/>
          <w:bCs/>
          <w:sz w:val="22"/>
          <w:szCs w:val="22"/>
          <w:highlight w:val="yellow"/>
        </w:rPr>
        <w:t>Proposal 2.</w:t>
      </w:r>
      <w:r w:rsidRPr="00993E14"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993E14">
        <w:rPr>
          <w:rFonts w:ascii="Calibri" w:eastAsia="Calibri" w:hAnsi="Calibri"/>
          <w:b/>
          <w:bCs/>
          <w:sz w:val="22"/>
          <w:szCs w:val="22"/>
        </w:rPr>
        <w:t xml:space="preserve">Remove all references to “serving” in relation of IAB-DU cell(s) in TS 38.213 Section 14. </w:t>
      </w:r>
    </w:p>
    <w:p w14:paraId="6BDF5E3F" w14:textId="5C77F1AB" w:rsidR="00993E14" w:rsidRPr="00993E14" w:rsidRDefault="00993E14" w:rsidP="00993E14">
      <w:pPr>
        <w:rPr>
          <w:rFonts w:ascii="Calibri" w:eastAsia="Calibri" w:hAnsi="Calibri"/>
          <w:b/>
          <w:bCs/>
          <w:sz w:val="22"/>
          <w:szCs w:val="22"/>
        </w:rPr>
      </w:pPr>
      <w:r w:rsidRPr="00993E14">
        <w:rPr>
          <w:rFonts w:ascii="Calibri" w:eastAsia="Calibri" w:hAnsi="Calibri"/>
          <w:b/>
          <w:bCs/>
          <w:sz w:val="22"/>
          <w:szCs w:val="22"/>
        </w:rPr>
        <w:tab/>
        <w:t>Note</w:t>
      </w:r>
      <w:r w:rsidRPr="00993E14">
        <w:rPr>
          <w:rFonts w:ascii="Calibri" w:eastAsia="Calibri" w:hAnsi="Calibri"/>
          <w:b/>
          <w:bCs/>
          <w:sz w:val="22"/>
          <w:szCs w:val="22"/>
        </w:rPr>
        <w:t xml:space="preserve"> 1</w:t>
      </w:r>
      <w:r w:rsidRPr="00993E14">
        <w:rPr>
          <w:rFonts w:ascii="Calibri" w:eastAsia="Calibri" w:hAnsi="Calibri"/>
          <w:b/>
          <w:bCs/>
          <w:sz w:val="22"/>
          <w:szCs w:val="22"/>
        </w:rPr>
        <w:t xml:space="preserve">: This will be done via editorial update of the alignment CR </w:t>
      </w:r>
    </w:p>
    <w:p w14:paraId="10051F0D" w14:textId="77777777" w:rsidR="00993E14" w:rsidRPr="00993E14" w:rsidRDefault="00993E14" w:rsidP="00993E14">
      <w:pPr>
        <w:ind w:left="720"/>
        <w:rPr>
          <w:rFonts w:ascii="Calibri" w:eastAsia="Calibri" w:hAnsi="Calibri"/>
          <w:b/>
          <w:bCs/>
          <w:sz w:val="22"/>
          <w:szCs w:val="22"/>
        </w:rPr>
      </w:pPr>
      <w:r w:rsidRPr="00993E14">
        <w:rPr>
          <w:rFonts w:ascii="Calibri" w:eastAsia="Calibri" w:hAnsi="Calibri"/>
          <w:b/>
          <w:bCs/>
          <w:sz w:val="22"/>
          <w:szCs w:val="22"/>
        </w:rPr>
        <w:t xml:space="preserve">Note 2: It is RAN1’s understanding that the description of </w:t>
      </w:r>
      <w:proofErr w:type="spellStart"/>
      <w:r w:rsidRPr="00993E14">
        <w:rPr>
          <w:rFonts w:ascii="Calibri" w:eastAsia="Calibri" w:hAnsi="Calibri"/>
          <w:b/>
          <w:bCs/>
          <w:i/>
          <w:iCs/>
          <w:sz w:val="22"/>
          <w:szCs w:val="22"/>
        </w:rPr>
        <w:t>AvailabilityCombinationsPerCell</w:t>
      </w:r>
      <w:proofErr w:type="spellEnd"/>
      <w:r w:rsidRPr="00993E14">
        <w:rPr>
          <w:rFonts w:ascii="Calibri" w:eastAsia="Calibri" w:hAnsi="Calibri"/>
          <w:b/>
          <w:bCs/>
          <w:sz w:val="22"/>
          <w:szCs w:val="22"/>
        </w:rPr>
        <w:t xml:space="preserve">  in 38.331 should also remove a reference to a “serving” cell of the IAB-node DU and recommends the following update: </w:t>
      </w:r>
    </w:p>
    <w:p w14:paraId="17974ADA" w14:textId="77777777" w:rsidR="00993E14" w:rsidRPr="00993E14" w:rsidRDefault="00993E14" w:rsidP="00993E14">
      <w:pPr>
        <w:rPr>
          <w:rFonts w:ascii="Calibri" w:eastAsia="Calibri" w:hAnsi="Calibri"/>
          <w:b/>
          <w:bCs/>
          <w:sz w:val="22"/>
          <w:szCs w:val="22"/>
        </w:rPr>
      </w:pPr>
    </w:p>
    <w:p w14:paraId="007F06F7" w14:textId="2F84E022" w:rsidR="00993E14" w:rsidRPr="00993E14" w:rsidRDefault="00993E14" w:rsidP="00993E14">
      <w:pPr>
        <w:ind w:left="1440"/>
        <w:rPr>
          <w:rFonts w:ascii="Calibri" w:eastAsia="SimSun" w:hAnsi="Calibri"/>
          <w:b/>
          <w:bCs/>
          <w:sz w:val="22"/>
          <w:szCs w:val="22"/>
          <w:lang w:eastAsia="zh-CN"/>
        </w:rPr>
      </w:pPr>
      <w:r w:rsidRPr="00993E14">
        <w:rPr>
          <w:rFonts w:ascii="Calibri" w:eastAsia="Calibri" w:hAnsi="Calibri"/>
          <w:b/>
          <w:bCs/>
          <w:sz w:val="22"/>
          <w:szCs w:val="22"/>
        </w:rPr>
        <w:t>“</w:t>
      </w:r>
      <w:r w:rsidRPr="00993E14">
        <w:rPr>
          <w:rStyle w:val="Emphasis"/>
          <w:rFonts w:ascii="Arial" w:eastAsia="SimSun" w:hAnsi="Arial" w:cs="Arial" w:hint="eastAsia"/>
          <w:b/>
          <w:bCs/>
          <w:color w:val="000000"/>
          <w:sz w:val="22"/>
          <w:szCs w:val="22"/>
          <w:shd w:val="clear" w:color="auto" w:fill="FFFFFF"/>
        </w:rPr>
        <w:t xml:space="preserve">The IE </w:t>
      </w:r>
      <w:proofErr w:type="spellStart"/>
      <w:r w:rsidRPr="00993E14">
        <w:rPr>
          <w:rStyle w:val="Emphasis"/>
          <w:rFonts w:ascii="Arial" w:eastAsia="SimSun" w:hAnsi="Arial" w:cs="Arial" w:hint="eastAsia"/>
          <w:b/>
          <w:bCs/>
          <w:color w:val="000000"/>
          <w:sz w:val="22"/>
          <w:szCs w:val="22"/>
          <w:shd w:val="clear" w:color="auto" w:fill="FFFFFF"/>
        </w:rPr>
        <w:t>AvailabiltyCombinationsPerCell</w:t>
      </w:r>
      <w:proofErr w:type="spellEnd"/>
      <w:r w:rsidRPr="00993E14">
        <w:rPr>
          <w:rStyle w:val="Emphasis"/>
          <w:rFonts w:ascii="Arial" w:eastAsia="SimSun" w:hAnsi="Arial" w:cs="Arial" w:hint="eastAsia"/>
          <w:b/>
          <w:bCs/>
          <w:color w:val="000000"/>
          <w:sz w:val="22"/>
          <w:szCs w:val="22"/>
          <w:shd w:val="clear" w:color="auto" w:fill="FFFFFF"/>
        </w:rPr>
        <w:t xml:space="preserve"> is used to configure the </w:t>
      </w:r>
      <w:proofErr w:type="spellStart"/>
      <w:r w:rsidRPr="00993E14">
        <w:rPr>
          <w:rStyle w:val="Emphasis"/>
          <w:rFonts w:ascii="Arial" w:eastAsia="SimSun" w:hAnsi="Arial" w:cs="Arial" w:hint="eastAsia"/>
          <w:b/>
          <w:bCs/>
          <w:color w:val="000000"/>
          <w:sz w:val="22"/>
          <w:szCs w:val="22"/>
          <w:shd w:val="clear" w:color="auto" w:fill="FFFFFF"/>
        </w:rPr>
        <w:t>AvailabiltyCombinations</w:t>
      </w:r>
      <w:proofErr w:type="spellEnd"/>
      <w:r w:rsidRPr="00993E14">
        <w:rPr>
          <w:rStyle w:val="Emphasis"/>
          <w:rFonts w:ascii="Arial" w:eastAsia="SimSun" w:hAnsi="Arial" w:cs="Arial" w:hint="eastAsia"/>
          <w:b/>
          <w:bCs/>
          <w:color w:val="000000"/>
          <w:sz w:val="22"/>
          <w:szCs w:val="22"/>
          <w:shd w:val="clear" w:color="auto" w:fill="FFFFFF"/>
        </w:rPr>
        <w:t xml:space="preserve"> applicable for a</w:t>
      </w:r>
      <w:r w:rsidRPr="00993E14">
        <w:rPr>
          <w:rStyle w:val="apple-converted-space"/>
          <w:rFonts w:ascii="Arial" w:eastAsia="SimSun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993E14">
        <w:rPr>
          <w:rStyle w:val="Emphasis"/>
          <w:rFonts w:ascii="Arial" w:eastAsia="SimSun" w:hAnsi="Arial" w:cs="Arial"/>
          <w:b/>
          <w:bCs/>
          <w:strike/>
          <w:color w:val="FF0000"/>
          <w:sz w:val="22"/>
          <w:szCs w:val="22"/>
          <w:shd w:val="clear" w:color="auto" w:fill="FFFFFF"/>
        </w:rPr>
        <w:t>serving</w:t>
      </w:r>
      <w:r w:rsidRPr="00993E14">
        <w:rPr>
          <w:rStyle w:val="Emphasis"/>
          <w:rFonts w:ascii="Arial" w:eastAsia="SimSun" w:hAnsi="Arial" w:cs="Arial"/>
          <w:b/>
          <w:bCs/>
          <w:color w:val="FF0000"/>
          <w:sz w:val="22"/>
          <w:szCs w:val="22"/>
          <w:shd w:val="clear" w:color="auto" w:fill="FFFFFF"/>
        </w:rPr>
        <w:t xml:space="preserve"> cell of the IAB-</w:t>
      </w:r>
      <w:r w:rsidRPr="00993E14">
        <w:rPr>
          <w:rStyle w:val="Emphasis"/>
          <w:rFonts w:ascii="Arial" w:eastAsia="SimSun" w:hAnsi="Arial" w:cs="Arial"/>
          <w:b/>
          <w:bCs/>
          <w:strike/>
          <w:color w:val="FF0000"/>
          <w:sz w:val="22"/>
          <w:szCs w:val="22"/>
          <w:shd w:val="clear" w:color="auto" w:fill="FFFFFF"/>
        </w:rPr>
        <w:t xml:space="preserve">node </w:t>
      </w:r>
      <w:r w:rsidRPr="00993E14">
        <w:rPr>
          <w:rStyle w:val="Emphasis"/>
          <w:rFonts w:ascii="Arial" w:eastAsia="SimSun" w:hAnsi="Arial" w:cs="Arial"/>
          <w:b/>
          <w:bCs/>
          <w:color w:val="FF0000"/>
          <w:sz w:val="22"/>
          <w:szCs w:val="22"/>
          <w:shd w:val="clear" w:color="auto" w:fill="FFFFFF"/>
        </w:rPr>
        <w:t>DU</w:t>
      </w:r>
      <w:r w:rsidRPr="00993E14">
        <w:rPr>
          <w:rStyle w:val="apple-converted-space"/>
          <w:rFonts w:ascii="Arial" w:eastAsia="SimSun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Pr="00993E14">
        <w:rPr>
          <w:rStyle w:val="Emphasis"/>
          <w:rFonts w:ascii="Arial" w:eastAsia="SimSun" w:hAnsi="Arial" w:cs="Arial"/>
          <w:b/>
          <w:bCs/>
          <w:color w:val="000000"/>
          <w:sz w:val="22"/>
          <w:szCs w:val="22"/>
          <w:shd w:val="clear" w:color="auto" w:fill="FFFFFF"/>
        </w:rPr>
        <w:t>(see TS 38.213 [13], clause 14).</w:t>
      </w:r>
      <w:r w:rsidRPr="00993E14">
        <w:rPr>
          <w:rFonts w:ascii="Calibri" w:eastAsia="SimSun" w:hAnsi="Calibri"/>
          <w:b/>
          <w:bCs/>
          <w:sz w:val="22"/>
          <w:szCs w:val="22"/>
          <w:lang w:eastAsia="zh-CN"/>
        </w:rPr>
        <w:t>”</w:t>
      </w:r>
    </w:p>
    <w:p w14:paraId="3945EC82" w14:textId="77777777" w:rsidR="00993E14" w:rsidRDefault="00993E14">
      <w:pPr>
        <w:rPr>
          <w:rFonts w:ascii="Calibri" w:eastAsia="Calibri" w:hAnsi="Calibri"/>
          <w:sz w:val="22"/>
          <w:szCs w:val="22"/>
        </w:rPr>
      </w:pPr>
    </w:p>
    <w:p w14:paraId="52BF2D5A" w14:textId="77777777" w:rsidR="00076871" w:rsidRDefault="00076871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0B3BB9CE" w14:textId="77777777" w:rsidR="00076871" w:rsidRDefault="004D04F0">
      <w:pPr>
        <w:pStyle w:val="Heading1"/>
      </w:pPr>
      <w:r>
        <w:t>Summary</w:t>
      </w:r>
    </w:p>
    <w:p w14:paraId="0D53BABA" w14:textId="77777777" w:rsidR="00076871" w:rsidRDefault="004D04F0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02F2F76" w14:textId="77777777" w:rsidR="00076871" w:rsidRDefault="00076871">
      <w:pPr>
        <w:rPr>
          <w:rFonts w:ascii="Calibri" w:hAnsi="Calibri" w:cs="Calibri"/>
          <w:color w:val="000000"/>
          <w:sz w:val="22"/>
          <w:szCs w:val="22"/>
        </w:rPr>
      </w:pPr>
    </w:p>
    <w:p w14:paraId="0D3C9D0F" w14:textId="77777777" w:rsidR="00076871" w:rsidRDefault="00076871">
      <w:pPr>
        <w:rPr>
          <w:rFonts w:ascii="Arial" w:hAnsi="Arial"/>
          <w:b/>
          <w:sz w:val="32"/>
          <w:szCs w:val="20"/>
        </w:rPr>
      </w:pPr>
    </w:p>
    <w:sectPr w:rsidR="000768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E8C32" w14:textId="77777777" w:rsidR="001361E9" w:rsidRDefault="001361E9" w:rsidP="0047635B">
      <w:r>
        <w:separator/>
      </w:r>
    </w:p>
  </w:endnote>
  <w:endnote w:type="continuationSeparator" w:id="0">
    <w:p w14:paraId="4031B5F6" w14:textId="77777777" w:rsidR="001361E9" w:rsidRDefault="001361E9" w:rsidP="0047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C69FB" w14:textId="77777777" w:rsidR="001361E9" w:rsidRDefault="001361E9" w:rsidP="0047635B">
      <w:r>
        <w:separator/>
      </w:r>
    </w:p>
  </w:footnote>
  <w:footnote w:type="continuationSeparator" w:id="0">
    <w:p w14:paraId="70091844" w14:textId="77777777" w:rsidR="001361E9" w:rsidRDefault="001361E9" w:rsidP="0047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687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61E9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37F3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130E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1CE4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39E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0E7A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5DDC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6472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35B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04F0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A7FB3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2F87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36BA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14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233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B67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097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0D28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2A9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408C"/>
    <w:rsid w:val="00FF5346"/>
    <w:rsid w:val="00FF568E"/>
    <w:rsid w:val="00FF56BD"/>
    <w:rsid w:val="00FF6FC8"/>
    <w:rsid w:val="00FF7275"/>
    <w:rsid w:val="00FF7CCE"/>
    <w:rsid w:val="79E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E104"/>
  <w15:docId w15:val="{CD3D9651-211D-4E05-9EDD-D22B9C9B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qFormat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qFormat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115289-79CE-4EDB-9384-5043912D2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E25AB-CA00-4ADE-9CE6-FC2CE149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3AAF1-42BC-4C71-A700-33CCD7B1F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7FC8337-D076-4448-B3CE-829CAD10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2992</Characters>
  <Application>Microsoft Office Word</Application>
  <DocSecurity>0</DocSecurity>
  <Lines>24</Lines>
  <Paragraphs>7</Paragraphs>
  <ScaleCrop>false</ScaleCrop>
  <Company>AT&amp;T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Thomas Novlan (AT&amp;T Labs)</cp:lastModifiedBy>
  <cp:revision>3</cp:revision>
  <cp:lastPrinted>2016-02-23T10:51:00Z</cp:lastPrinted>
  <dcterms:created xsi:type="dcterms:W3CDTF">2020-10-27T21:47:00Z</dcterms:created>
  <dcterms:modified xsi:type="dcterms:W3CDTF">2020-10-27T21:52:00Z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