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</w:pP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>3GPP TSG RAN WG1 #103-e</w:t>
      </w: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ab/>
      </w:r>
      <w:r>
        <w:rPr>
          <w:rFonts w:ascii="Arial" w:hAnsi="Arial" w:eastAsia="Batang" w:cs="Arial"/>
          <w:b/>
          <w:bCs/>
          <w:kern w:val="0"/>
          <w:sz w:val="24"/>
          <w:szCs w:val="24"/>
          <w:lang w:val="en-GB" w:eastAsia="en-US"/>
        </w:rPr>
        <w:t xml:space="preserve">                                       R1-200xxxx</w:t>
      </w:r>
    </w:p>
    <w:p>
      <w:pPr>
        <w:widowControl/>
        <w:tabs>
          <w:tab w:val="center" w:pos="4536"/>
          <w:tab w:val="right" w:pos="9072"/>
        </w:tabs>
        <w:jc w:val="left"/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</w:pPr>
      <w:r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  <w:t>e-Meeting, October 26</w:t>
      </w:r>
      <w:r>
        <w:rPr>
          <w:rFonts w:ascii="Arial" w:hAnsi="Arial" w:eastAsia="MS Mincho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  <w:t xml:space="preserve"> – November 13</w:t>
      </w:r>
      <w:r>
        <w:rPr>
          <w:rFonts w:ascii="Arial" w:hAnsi="Arial" w:eastAsia="MS Mincho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>
        <w:rPr>
          <w:rFonts w:ascii="Arial" w:hAnsi="Arial" w:eastAsia="MS Mincho" w:cs="Arial"/>
          <w:b/>
          <w:bCs/>
          <w:kern w:val="0"/>
          <w:sz w:val="24"/>
          <w:szCs w:val="24"/>
          <w:lang w:val="en-GB" w:eastAsia="ja-JP"/>
        </w:rPr>
        <w:t>, 2020</w:t>
      </w:r>
    </w:p>
    <w:p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hAnsi="Times New Roman" w:eastAsia="宋体" w:cs="Times New Roman"/>
          <w:b/>
          <w:kern w:val="0"/>
          <w:sz w:val="22"/>
          <w:lang w:val="en-GB"/>
        </w:rPr>
      </w:pPr>
    </w:p>
    <w:p>
      <w:pPr>
        <w:widowControl/>
        <w:pBdr>
          <w:top w:val="single" w:color="auto" w:sz="4" w:space="1"/>
        </w:pBdr>
        <w:autoSpaceDE w:val="0"/>
        <w:autoSpaceDN w:val="0"/>
        <w:adjustRightInd w:val="0"/>
        <w:snapToGrid w:val="0"/>
        <w:jc w:val="left"/>
        <w:rPr>
          <w:rFonts w:ascii="Times New Roman" w:hAnsi="Times New Roman" w:eastAsia="宋体" w:cs="Times New Roman"/>
          <w:b/>
          <w:sz w:val="22"/>
        </w:rPr>
      </w:pP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kern w:val="0"/>
          <w:sz w:val="22"/>
        </w:rPr>
        <w:t>Agenda Item:</w:t>
      </w:r>
      <w:r>
        <w:rPr>
          <w:rFonts w:ascii="Times New Roman" w:hAnsi="Times New Roman" w:eastAsia="宋体" w:cs="Times New Roman"/>
          <w:b/>
          <w:kern w:val="0"/>
          <w:sz w:val="22"/>
        </w:rPr>
        <w:tab/>
      </w:r>
      <w:r>
        <w:rPr>
          <w:rFonts w:ascii="Times New Roman" w:hAnsi="Times New Roman" w:eastAsia="宋体" w:cs="Times New Roman"/>
          <w:b/>
          <w:kern w:val="0"/>
          <w:sz w:val="22"/>
        </w:rPr>
        <w:t>6.2.2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kern w:val="0"/>
          <w:sz w:val="22"/>
        </w:rPr>
        <w:t>Source:</w:t>
      </w:r>
      <w:r>
        <w:rPr>
          <w:rFonts w:ascii="Times New Roman" w:hAnsi="Times New Roman" w:eastAsia="宋体" w:cs="Times New Roman"/>
          <w:b/>
          <w:kern w:val="0"/>
          <w:sz w:val="22"/>
        </w:rPr>
        <w:tab/>
      </w:r>
      <w:r>
        <w:rPr>
          <w:rFonts w:ascii="Times New Roman" w:hAnsi="Times New Roman" w:eastAsia="宋体" w:cs="Times New Roman"/>
          <w:b/>
          <w:kern w:val="0"/>
          <w:sz w:val="22"/>
        </w:rPr>
        <w:t>Moderator (ZTE)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kern w:val="0"/>
          <w:sz w:val="22"/>
        </w:rPr>
      </w:pPr>
      <w:r>
        <w:rPr>
          <w:rFonts w:ascii="Times New Roman" w:hAnsi="Times New Roman" w:eastAsia="宋体" w:cs="Times New Roman"/>
          <w:b/>
          <w:sz w:val="22"/>
        </w:rPr>
        <w:t>Title:</w:t>
      </w:r>
      <w:r>
        <w:rPr>
          <w:rFonts w:ascii="Times New Roman" w:hAnsi="Times New Roman" w:eastAsia="宋体" w:cs="Times New Roman"/>
          <w:b/>
          <w:sz w:val="22"/>
        </w:rPr>
        <w:tab/>
      </w:r>
      <w:r>
        <w:rPr>
          <w:rFonts w:hint="eastAsia" w:ascii="Times New Roman" w:hAnsi="Times New Roman" w:eastAsia="宋体" w:cs="Times New Roman"/>
          <w:b/>
          <w:kern w:val="0"/>
          <w:sz w:val="22"/>
        </w:rPr>
        <w:t>S</w:t>
      </w:r>
      <w:r>
        <w:rPr>
          <w:rFonts w:ascii="Times New Roman" w:hAnsi="Times New Roman" w:eastAsia="宋体" w:cs="Times New Roman"/>
          <w:b/>
          <w:kern w:val="0"/>
          <w:sz w:val="22"/>
        </w:rPr>
        <w:t>ummary o</w:t>
      </w:r>
      <w:r>
        <w:rPr>
          <w:rFonts w:hint="eastAsia" w:ascii="Times New Roman" w:hAnsi="Times New Roman" w:eastAsia="宋体" w:cs="Times New Roman"/>
          <w:b/>
          <w:kern w:val="0"/>
          <w:sz w:val="22"/>
        </w:rPr>
        <w:t>f</w:t>
      </w:r>
      <w:r>
        <w:rPr>
          <w:rFonts w:ascii="Times New Roman" w:hAnsi="Times New Roman" w:eastAsia="宋体" w:cs="Times New Roman"/>
          <w:b/>
          <w:kern w:val="0"/>
          <w:sz w:val="22"/>
        </w:rPr>
        <w:t xml:space="preserve"> email discussion [103-e-LTE-NB_IoTenh3-03]</w:t>
      </w:r>
    </w:p>
    <w:p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hAnsi="Times New Roman" w:eastAsia="宋体" w:cs="Times New Roman"/>
          <w:b/>
          <w:sz w:val="22"/>
        </w:rPr>
      </w:pPr>
      <w:r>
        <w:rPr>
          <w:rFonts w:ascii="Times New Roman" w:hAnsi="Times New Roman" w:eastAsia="宋体" w:cs="Times New Roman"/>
          <w:b/>
          <w:sz w:val="22"/>
        </w:rPr>
        <w:t>Document for:</w:t>
      </w:r>
      <w:r>
        <w:rPr>
          <w:rFonts w:ascii="Times New Roman" w:hAnsi="Times New Roman" w:eastAsia="宋体" w:cs="Times New Roman"/>
          <w:b/>
          <w:sz w:val="22"/>
        </w:rPr>
        <w:tab/>
      </w:r>
      <w:r>
        <w:rPr>
          <w:rFonts w:ascii="Times New Roman" w:hAnsi="Times New Roman" w:eastAsia="宋体" w:cs="Times New Roman"/>
          <w:b/>
          <w:sz w:val="22"/>
        </w:rPr>
        <w:t>Discussion and Decision</w:t>
      </w:r>
    </w:p>
    <w:p>
      <w:pPr>
        <w:widowControl/>
        <w:pBdr>
          <w:bottom w:val="single" w:color="auto" w:sz="4" w:space="1"/>
        </w:pBdr>
        <w:autoSpaceDE w:val="0"/>
        <w:autoSpaceDN w:val="0"/>
        <w:adjustRightInd w:val="0"/>
        <w:snapToGrid w:val="0"/>
        <w:jc w:val="left"/>
        <w:rPr>
          <w:rFonts w:ascii="Times New Roman" w:hAnsi="Times New Roman" w:eastAsia="宋体" w:cs="Times New Roman"/>
          <w:b/>
          <w:kern w:val="0"/>
          <w:sz w:val="16"/>
          <w:szCs w:val="16"/>
          <w:lang w:eastAsia="en-US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</w:rPr>
        <w:t>This contribution provides discussion on the following issues:</w:t>
      </w:r>
    </w:p>
    <w:p>
      <w:pPr>
        <w:widowControl/>
        <w:shd w:val="clear" w:color="auto" w:fill="FFFFFF"/>
        <w:spacing w:line="360" w:lineRule="atLeast"/>
        <w:ind w:left="405" w:leftChars="193"/>
        <w:jc w:val="left"/>
        <w:rPr>
          <w:rFonts w:cs="Times"/>
          <w:sz w:val="2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  <w:shd w:val="clear" w:color="auto" w:fill="00FFFF"/>
        </w:rPr>
        <w:t xml:space="preserve"> [103-e-LTE-NB_IoTenh3-03] Multi-TB issues – Huiying (ZTE)</w:t>
      </w:r>
    </w:p>
    <w:p>
      <w:pPr>
        <w:widowControl/>
        <w:numPr>
          <w:ilvl w:val="0"/>
          <w:numId w:val="3"/>
        </w:numPr>
        <w:spacing w:before="120" w:beforeLines="50" w:after="120" w:afterLines="5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#1: clarification of HARQ ID assumption (section 2.1 of R1-2007714)</w:t>
      </w:r>
    </w:p>
    <w:p>
      <w:pPr>
        <w:widowControl/>
        <w:numPr>
          <w:ilvl w:val="0"/>
          <w:numId w:val="3"/>
        </w:numPr>
        <w:spacing w:before="120" w:beforeLines="50" w:after="120" w:afterLines="5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Issue #2: clarification of usage of NDI (section 2.2 of R1-2007714)</w:t>
      </w:r>
    </w:p>
    <w:p>
      <w:pPr>
        <w:widowControl/>
        <w:numPr>
          <w:ilvl w:val="0"/>
          <w:numId w:val="3"/>
        </w:numPr>
        <w:spacing w:before="120" w:beforeLines="50" w:after="240" w:afterLines="100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and decision by 10/29, TPs by 11/5</w:t>
      </w: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lang w:eastAsia="zh-CN"/>
        </w:rPr>
        <w:t>Discussion</w:t>
      </w:r>
    </w:p>
    <w:p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hAnsi="Times New Roman" w:cs="Times New Roman" w:eastAsiaTheme="majorEastAsia"/>
          <w:b/>
          <w:kern w:val="0"/>
          <w:sz w:val="24"/>
          <w:szCs w:val="26"/>
        </w:rPr>
      </w:pPr>
      <w:r>
        <w:rPr>
          <w:rFonts w:ascii="Times New Roman" w:hAnsi="Times New Roman" w:cs="Times New Roman" w:eastAsiaTheme="majorEastAsia"/>
          <w:b/>
          <w:kern w:val="0"/>
          <w:sz w:val="24"/>
          <w:szCs w:val="26"/>
        </w:rPr>
        <w:t>Issue #1: clarification of HARQ ID assumption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As discussed in section 2.1 of [1], ‘otherwise’ part in 16.4.1.5 of 36.213 includes single HARQ process case and multiple TB case, ‘HARQ process ID of 0 shall be assumed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’ is correct for single HARQ process case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but cannot be applied for multiple TB case.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  <w:t xml:space="preserve">Proposal: </w:t>
      </w:r>
      <w:r>
        <w:rPr>
          <w:rFonts w:ascii="Times New Roman" w:hAnsi="Times New Roman" w:eastAsia="宋体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FF0000"/>
          <w:kern w:val="0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 Start of Text Proposal # 1 to 36.213 --------------------------------------</w:t>
      </w:r>
    </w:p>
    <w:p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hAnsi="Arial" w:eastAsia="Times New Roman" w:cs="Times New Roman"/>
          <w:kern w:val="0"/>
          <w:sz w:val="24"/>
          <w:szCs w:val="20"/>
          <w:lang w:val="en-GB" w:eastAsia="en-GB"/>
        </w:rPr>
      </w:pPr>
      <w:r>
        <w:rPr>
          <w:rFonts w:ascii="Arial" w:hAnsi="Arial" w:eastAsia="Times New Roman" w:cs="Times New Roman"/>
          <w:kern w:val="0"/>
          <w:sz w:val="24"/>
          <w:szCs w:val="20"/>
          <w:lang w:val="en-GB" w:eastAsia="en-GB"/>
        </w:rPr>
        <w:t>16.4.1.5</w:t>
      </w:r>
      <w:r>
        <w:rPr>
          <w:rFonts w:ascii="Arial" w:hAnsi="Arial" w:eastAsia="Times New Roman" w:cs="Times New Roman"/>
          <w:kern w:val="0"/>
          <w:sz w:val="24"/>
          <w:szCs w:val="20"/>
          <w:lang w:val="en-GB" w:eastAsia="en-GB"/>
        </w:rPr>
        <w:tab/>
      </w:r>
      <w:r>
        <w:rPr>
          <w:rFonts w:ascii="Arial" w:hAnsi="Arial" w:eastAsia="Times New Roman" w:cs="Times New Roman"/>
          <w:kern w:val="0"/>
          <w:sz w:val="24"/>
          <w:szCs w:val="20"/>
          <w:lang w:val="en-GB" w:eastAsia="en-GB"/>
        </w:rPr>
        <w:t>Modulation order and transport block size determination</w:t>
      </w:r>
    </w:p>
    <w:p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hAnsi="Times New Roman" w:eastAsia="宋体" w:cs="Times New Roman"/>
          <w:color w:val="FF0000"/>
          <w:kern w:val="0"/>
          <w:sz w:val="24"/>
          <w:lang w:val="en-GB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i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For a NPDCCH UE-specific search space, if the UE is configured with higher layer parameter </w:t>
      </w:r>
      <w:r>
        <w:rPr>
          <w:rFonts w:ascii="Times New Roman" w:hAnsi="Times New Roman" w:eastAsia="宋体" w:cs="Times New Roman"/>
          <w:i/>
          <w:kern w:val="0"/>
          <w:sz w:val="20"/>
          <w:szCs w:val="20"/>
          <w:lang w:val="en-GB" w:eastAsia="en-US"/>
        </w:rPr>
        <w:t>twoHARQ-ProcessesConfig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,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ja-JP"/>
        </w:rPr>
        <w:t xml:space="preserve"> or the UE is configured with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npdsch-MultiTB-Config</w:t>
      </w:r>
      <w:r>
        <w:rPr>
          <w:rFonts w:ascii="Times New Roman" w:hAnsi="Times New Roman" w:eastAsia="宋体" w:cs="Times New Roman"/>
          <w:iCs/>
          <w:kern w:val="0"/>
          <w:sz w:val="20"/>
          <w:szCs w:val="20"/>
          <w:lang w:val="en-GB" w:eastAsia="en-US"/>
        </w:rPr>
        <w:t xml:space="preserve"> and single TB is scheduled in the corresponding DCI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the NDI and HARQ process ID as signalled on NPDCCH, and the TBS, as determined above, shall be delivered to higher layers,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otherwise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the NDI as signalled on NPDCCH, and the TBS, as determined above, shall be delivered to higher layers. </w:t>
      </w:r>
      <w:del w:id="0" w:author="ZTE" w:date="2020-10-09T19:57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 w:eastAsia="en-US"/>
          </w:rPr>
          <w:delText xml:space="preserve">HARQ process ID of 0 shall be assumed. </w:delText>
        </w:r>
      </w:del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If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ja-JP"/>
        </w:rPr>
        <w:t xml:space="preserve">the UE is configured with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npdsch-MultiTB-Config</w:t>
      </w:r>
      <w:r>
        <w:rPr>
          <w:rFonts w:ascii="Times New Roman" w:hAnsi="Times New Roman" w:eastAsia="宋体" w:cs="Times New Roman"/>
          <w:iCs/>
          <w:kern w:val="0"/>
          <w:sz w:val="20"/>
          <w:szCs w:val="20"/>
          <w:lang w:val="en-GB" w:eastAsia="en-US"/>
        </w:rPr>
        <w:t xml:space="preserve"> and multiple TB are scheduled in the corresponding DCI, the HARQ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process ID of 0 is for the first TB and HARQ process ID of 1 shall be assumed for the second TB</w:t>
      </w:r>
      <w:ins w:id="1" w:author="ZTE" w:date="2020-10-09T19:57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, otherwise, </w:t>
        </w:r>
      </w:ins>
      <w:ins w:id="2" w:author="ZTE" w:date="2020-10-09T19:57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 w:eastAsia="en-US"/>
          </w:rPr>
          <w:t>HARQ process ID of 0 shall be assumed</w:t>
        </w:r>
      </w:ins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.</w:t>
      </w:r>
    </w:p>
    <w:p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hAnsi="Times New Roman" w:eastAsia="宋体" w:cs="Times New Roman"/>
          <w:color w:val="FF0000"/>
          <w:kern w:val="0"/>
          <w:sz w:val="24"/>
          <w:lang w:val="en-GB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kern w:val="0"/>
          <w:sz w:val="20"/>
          <w:lang w:eastAsia="en-US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-------------------------------------------------- End of Text Proposal #1 to 36.213 --------------------------------------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lang w:eastAsia="en-US"/>
        </w:rPr>
      </w:pP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Please input your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 views/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comments in the following table: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Seems ok, although perhaps the text could be made a bit more readable by splitting the modified bullet into two or more bullets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Lenovo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, MotoM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Huawei, HiSilic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W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are OK with the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676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OK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hAnsi="Times New Roman" w:cs="Times New Roman" w:eastAsiaTheme="majorEastAsia"/>
          <w:b/>
          <w:kern w:val="0"/>
          <w:sz w:val="24"/>
          <w:szCs w:val="26"/>
        </w:rPr>
      </w:pPr>
      <w:r>
        <w:rPr>
          <w:rFonts w:ascii="Times New Roman" w:hAnsi="Times New Roman" w:cs="Times New Roman" w:eastAsiaTheme="majorEastAsia"/>
          <w:b/>
          <w:kern w:val="0"/>
          <w:sz w:val="24"/>
          <w:szCs w:val="26"/>
        </w:rPr>
        <w:t>Issue #2: clarification of usage of NDI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As discussed in section 2.2 of [1], in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current specification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 TS36.212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, if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‘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Number of scheduled TB for Unicast’ field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indicates that 2 TBs are scheduled,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‘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HARQ process number’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field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would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function as New data indicator for the second TB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. However, it is not clear which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DCI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field is used for the NDI corresponding to the first TB. In a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n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other word,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the function of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1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-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bit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‘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New data indicator’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field is not clear when multiple TBs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 xml:space="preserve"> are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 xml:space="preserve"> scheduled. 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Therefore, a clarification is proposed for ‘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New data indicator’ filed.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i/>
          <w:kern w:val="0"/>
          <w:sz w:val="22"/>
        </w:rPr>
      </w:pPr>
      <w:r>
        <w:rPr>
          <w:rFonts w:hint="eastAsia" w:ascii="Times New Roman" w:hAnsi="Times New Roman" w:eastAsia="宋体" w:cs="Times New Roman"/>
          <w:b/>
          <w:i/>
          <w:kern w:val="0"/>
          <w:sz w:val="20"/>
          <w:u w:val="single"/>
        </w:rPr>
        <w:t>Proposal</w:t>
      </w:r>
      <w:r>
        <w:rPr>
          <w:rFonts w:hint="eastAsia" w:ascii="Times New Roman" w:hAnsi="Times New Roman" w:eastAsia="宋体" w:cs="Times New Roman"/>
          <w:b/>
          <w:i/>
          <w:kern w:val="0"/>
          <w:sz w:val="20"/>
        </w:rPr>
        <w:t>: Endor</w:t>
      </w:r>
      <w:r>
        <w:rPr>
          <w:rFonts w:ascii="Times New Roman" w:hAnsi="Times New Roman" w:eastAsia="宋体" w:cs="Times New Roman"/>
          <w:b/>
          <w:i/>
          <w:kern w:val="0"/>
          <w:sz w:val="20"/>
        </w:rPr>
        <w:t>se Text Proposal #2.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FF0000"/>
          <w:kern w:val="0"/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 Start of Text Proposal #2 to 36.212 ---------------------------------------</w:t>
      </w:r>
    </w:p>
    <w:p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hAnsi="Arial" w:eastAsia="宋体" w:cs="Times New Roman"/>
          <w:kern w:val="0"/>
          <w:sz w:val="24"/>
          <w:szCs w:val="20"/>
          <w:lang w:val="en-GB"/>
        </w:rPr>
      </w:pP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6.4.</w:t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>3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.1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ab/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 xml:space="preserve">DCI 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Format</w:t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  <w:lang w:val="en-GB"/>
        </w:rPr>
        <w:t>N0</w:t>
      </w:r>
    </w:p>
    <w:p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hAnsi="Times New Roman" w:eastAsia="宋体" w:cs="Times New Roman"/>
          <w:color w:val="FF0000"/>
          <w:kern w:val="0"/>
          <w:sz w:val="24"/>
          <w:lang w:val="en-GB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Otherwise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Subcarrier indication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6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 as defined in clause 16.5.1.1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Resource assignment –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3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bits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as defined in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16.5.1.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1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Scheduling delay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2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 as defined in clause 16.5.1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Modulation and coding scheme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4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16.5.1.2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[3]. This field is not present if format N0 CRC is scrambled by PUR C-RNTI.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Redundancy version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–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1 bit as defined in clause 16.5.1.2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R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epetition number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3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16.5.1.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1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New data indicator – 1 bit</w:t>
      </w:r>
      <w:ins w:id="3" w:author="ZTE" w:date="2020-10-13T09:35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. </w:t>
        </w:r>
      </w:ins>
      <w:ins w:id="4" w:author="ZTE" w:date="2020-10-13T09:35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/>
          </w:rPr>
          <w:t xml:space="preserve">If multiple TB are scheduled, it functions for the </w:t>
        </w:r>
      </w:ins>
      <w:ins w:id="5" w:author="ZTE" w:date="2020-10-13T09:35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first </w:t>
        </w:r>
      </w:ins>
      <w:ins w:id="6" w:author="ZTE" w:date="2020-10-13T09:35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/>
          </w:rPr>
          <w:t>TB.</w:t>
        </w:r>
      </w:ins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DCI subframe repetition number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2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 as defined in clause 16.6 in [3]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npusch-MultiTB-Config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[3]. The field is set to 0 if the CRC of the DCI is scrambled by SPS C-RNTI.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Resource reservation – 1 bit as defined in clause 16.5 of [3]. This field is only present if higher layer parameter </w:t>
      </w:r>
      <w:r>
        <w:rPr>
          <w:rFonts w:ascii="Times New Roman" w:hAnsi="Times New Roman" w:eastAsia="宋体" w:cs="Times New Roman"/>
          <w:i/>
          <w:iCs/>
          <w:kern w:val="0"/>
          <w:sz w:val="20"/>
          <w:szCs w:val="20"/>
          <w:lang w:val="en-GB"/>
        </w:rPr>
        <w:t>valid-subframe-config-UL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or </w:t>
      </w:r>
      <w:r>
        <w:rPr>
          <w:rFonts w:ascii="Times New Roman" w:hAnsi="Times New Roman" w:eastAsia="宋体" w:cs="Times New Roman"/>
          <w:i/>
          <w:kern w:val="0"/>
          <w:sz w:val="20"/>
          <w:szCs w:val="20"/>
          <w:lang w:val="en-GB"/>
        </w:rPr>
        <w:t>slot-</w:t>
      </w:r>
      <w:r>
        <w:rPr>
          <w:rFonts w:ascii="Times New Roman" w:hAnsi="Times New Roman" w:eastAsia="宋体" w:cs="Times New Roman"/>
          <w:i/>
          <w:iCs/>
          <w:kern w:val="0"/>
          <w:sz w:val="20"/>
          <w:szCs w:val="20"/>
          <w:lang w:val="en-GB"/>
        </w:rPr>
        <w:t>reserved-resource-config-UL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 </w:t>
      </w:r>
    </w:p>
    <w:p>
      <w:pPr>
        <w:widowControl/>
        <w:spacing w:before="120" w:beforeLines="50" w:after="120" w:line="276" w:lineRule="auto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If the number of information bits in format N0 mapped onto the UE specific search space given by the C-RNTI as defined in [3] is less than that of format N1 in the same search space, zeros shall be appended to format N0 until the payload size equals that of format N1.</w:t>
      </w:r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hAnsi="Arial" w:eastAsia="宋体" w:cs="Times New Roman"/>
          <w:kern w:val="0"/>
          <w:sz w:val="24"/>
          <w:szCs w:val="20"/>
          <w:lang w:val="en-GB"/>
        </w:rPr>
      </w:pPr>
      <w:bookmarkStart w:id="2" w:name="_Toc478047967"/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6.4.</w:t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>3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.</w:t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>2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ab/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 xml:space="preserve">DCI </w:t>
      </w:r>
      <w:r>
        <w:rPr>
          <w:rFonts w:ascii="Arial" w:hAnsi="Arial" w:eastAsia="宋体" w:cs="Times New Roman"/>
          <w:kern w:val="0"/>
          <w:sz w:val="24"/>
          <w:szCs w:val="20"/>
          <w:lang w:val="en-GB" w:eastAsia="en-US"/>
        </w:rPr>
        <w:t>Format</w:t>
      </w:r>
      <w:r>
        <w:rPr>
          <w:rFonts w:hint="eastAsia" w:ascii="Arial" w:hAnsi="Arial" w:eastAsia="宋体" w:cs="Times New Roman"/>
          <w:kern w:val="0"/>
          <w:sz w:val="24"/>
          <w:szCs w:val="20"/>
          <w:lang w:val="en-GB"/>
        </w:rPr>
        <w:t xml:space="preserve"> N</w:t>
      </w:r>
      <w:r>
        <w:rPr>
          <w:rFonts w:ascii="Arial" w:hAnsi="Arial" w:eastAsia="宋体" w:cs="Times New Roman"/>
          <w:kern w:val="0"/>
          <w:sz w:val="24"/>
          <w:szCs w:val="20"/>
          <w:lang w:val="en-GB"/>
        </w:rPr>
        <w:t>1</w:t>
      </w:r>
      <w:bookmarkEnd w:id="2"/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 w:eastAsia="ja-JP"/>
        </w:rPr>
        <w:t xml:space="preserve">Otherwise, 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Scheduling delay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3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 as defined in clause 16.4.1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Resource assignment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–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 3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16.4.1.3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Modulation and coding scheme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4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16.4.1.5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R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epetition number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4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bits as defined in clause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16.4.1.3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of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New data indicator – 1 bit</w:t>
      </w:r>
      <w:ins w:id="7" w:author="ZTE" w:date="2020-10-13T09:34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. </w:t>
        </w:r>
      </w:ins>
      <w:ins w:id="8" w:author="ZTE" w:date="2020-10-13T09:34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/>
          </w:rPr>
          <w:t xml:space="preserve">If multiple TB are scheduled, it functions as New data indicator for the </w:t>
        </w:r>
      </w:ins>
      <w:ins w:id="9" w:author="ZTE" w:date="2020-10-13T09:35:00Z">
        <w:r>
          <w:rPr>
            <w:rFonts w:hint="eastAsia" w:ascii="Times New Roman" w:hAnsi="Times New Roman" w:eastAsia="宋体" w:cs="Times New Roman"/>
            <w:kern w:val="0"/>
            <w:sz w:val="20"/>
            <w:szCs w:val="20"/>
          </w:rPr>
          <w:t xml:space="preserve">first </w:t>
        </w:r>
      </w:ins>
      <w:ins w:id="10" w:author="ZTE" w:date="2020-10-13T09:34:00Z">
        <w:r>
          <w:rPr>
            <w:rFonts w:ascii="Times New Roman" w:hAnsi="Times New Roman" w:eastAsia="宋体" w:cs="Times New Roman"/>
            <w:kern w:val="0"/>
            <w:sz w:val="20"/>
            <w:szCs w:val="20"/>
            <w:lang w:val="en-GB"/>
          </w:rPr>
          <w:t>TB.</w:t>
        </w:r>
      </w:ins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HARQ-ACK resource 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4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. 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DCI subframe repetition number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– 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 xml:space="preserve">2 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bit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val="en-GB"/>
        </w:rPr>
        <w:t>s as defined in clause 16.6 in [3]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Number of scheduled TB for SC-MTCH – 3 bits, indicating from 1 to 8 TBs. This field is only present if higher layer parameter </w:t>
      </w:r>
      <w:r>
        <w:rPr>
          <w:rFonts w:ascii="Times New Roman" w:hAnsi="Times New Roman" w:eastAsia="等线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Number of scheduled TB for Unicast – 1 bit, where value 0 indicates a single TB is scheduled and value 1 indicates multiple TB are scheduled. This field is only present if higher layer parameter </w:t>
      </w:r>
      <w:r>
        <w:rPr>
          <w:rFonts w:ascii="Times New Roman" w:hAnsi="Times New Roman" w:eastAsia="等线" w:cs="Times New Roman"/>
          <w:i/>
          <w:kern w:val="0"/>
          <w:sz w:val="20"/>
          <w:szCs w:val="20"/>
          <w:lang w:val="en-GB" w:eastAsia="en-US"/>
        </w:rPr>
        <w:t>npdsch-MultiTB-Config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>
      <w:pPr>
        <w:widowControl/>
        <w:spacing w:before="120" w:beforeLines="50" w:after="120" w:line="276" w:lineRule="auto"/>
        <w:ind w:left="568" w:hanging="284"/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>-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Resource reservation – 1 bit as defined in clause 16.4 of [3]. This field is only present if higher layer parameter </w:t>
      </w:r>
      <w:r>
        <w:rPr>
          <w:rFonts w:ascii="Times New Roman" w:hAnsi="Times New Roman" w:eastAsia="宋体" w:cs="Times New Roman"/>
          <w:i/>
          <w:iCs/>
          <w:kern w:val="0"/>
          <w:sz w:val="20"/>
          <w:szCs w:val="20"/>
          <w:lang w:val="en-GB"/>
        </w:rPr>
        <w:t>valid-subframe-config-DL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or </w:t>
      </w:r>
      <w:r>
        <w:rPr>
          <w:rFonts w:ascii="Times New Roman" w:hAnsi="Times New Roman" w:eastAsia="宋体" w:cs="Times New Roman"/>
          <w:i/>
          <w:kern w:val="0"/>
          <w:sz w:val="20"/>
          <w:szCs w:val="20"/>
          <w:lang w:val="en-GB"/>
        </w:rPr>
        <w:t>slot-</w:t>
      </w:r>
      <w:r>
        <w:rPr>
          <w:rFonts w:ascii="Times New Roman" w:hAnsi="Times New Roman" w:eastAsia="宋体" w:cs="Times New Roman"/>
          <w:i/>
          <w:iCs/>
          <w:kern w:val="0"/>
          <w:sz w:val="20"/>
          <w:szCs w:val="20"/>
          <w:lang w:val="en-GB"/>
        </w:rPr>
        <w:t>reserved-resource-config-DL</w:t>
      </w:r>
      <w:r>
        <w:rPr>
          <w:rFonts w:ascii="Times New Roman" w:hAnsi="Times New Roman" w:eastAsia="宋体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>
      <w:pPr>
        <w:widowControl/>
        <w:spacing w:before="120" w:beforeLines="50" w:after="120" w:line="276" w:lineRule="auto"/>
        <w:jc w:val="center"/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</w:pPr>
      <w:r>
        <w:rPr>
          <w:rFonts w:ascii="Times New Roman" w:hAnsi="Times New Roman" w:eastAsia="宋体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14:textFill>
            <w14:solidFill>
              <w14:schemeClr w14:val="tx1"/>
            </w14:solidFill>
          </w14:textFill>
        </w:rPr>
        <w:t>--------------------------------------------------- End of Text Proposal #2 to 36.212 -------------------------------------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 xml:space="preserve">Please input your </w:t>
      </w:r>
      <w:r>
        <w:rPr>
          <w:rFonts w:ascii="Times New Roman" w:hAnsi="Times New Roman" w:eastAsia="宋体" w:cs="Times New Roman"/>
          <w:kern w:val="0"/>
          <w:sz w:val="20"/>
          <w:szCs w:val="20"/>
          <w:lang w:eastAsia="en-US"/>
        </w:rPr>
        <w:t>views/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  <w:t>comments in the following table: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8D8D8" w:themeFill="background1" w:themeFillShade="D9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Views/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en-US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Ericsson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Seems ok, but perhaps the same wording should be used in both places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Nokia, NSB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OK, agree with Ericsson to have consistent wording. We prefer the wording in 6.4.3.2.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Qualcomm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  <w:t>We suggest to reuse the wording in “HARQ process number” field:</w:t>
            </w:r>
          </w:p>
          <w:p>
            <w:pPr>
              <w:widowControl/>
              <w:spacing w:before="120" w:beforeLines="50" w:after="120" w:line="276" w:lineRule="auto"/>
              <w:ind w:left="568" w:hanging="284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GB"/>
              </w:rPr>
              <w:t>If multiple TB are scheduled, it functions as New data indicator for the first TB.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L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enovo,MotoM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K with the updated version from E///, Nokia and Qualcomm.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Huawei, HiSilicon</w:t>
            </w:r>
          </w:p>
        </w:tc>
        <w:tc>
          <w:tcPr>
            <w:tcW w:w="676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OK, and also prefer the wording in 6.4.3.2.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ZTE</w:t>
            </w:r>
          </w:p>
        </w:tc>
        <w:tc>
          <w:tcPr>
            <w:tcW w:w="676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Fine with</w:t>
            </w:r>
            <w:bookmarkStart w:id="3" w:name="_GoBack"/>
            <w:bookmarkEnd w:id="3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the consistent wording.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Summary</w:t>
      </w:r>
    </w:p>
    <w:p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hAnsi="Times New Roman" w:eastAsia="宋体" w:cs="Times New Roman"/>
          <w:kern w:val="0"/>
          <w:sz w:val="22"/>
          <w:lang w:eastAsia="en-US"/>
        </w:rPr>
      </w:pPr>
      <w:r>
        <w:rPr>
          <w:rFonts w:ascii="Times New Roman" w:hAnsi="Times New Roman" w:eastAsia="Malgun Gothic" w:cs="Times New Roman"/>
          <w:kern w:val="0"/>
          <w:sz w:val="22"/>
          <w:lang w:eastAsia="ko-KR"/>
        </w:rPr>
        <w:t xml:space="preserve"> </w:t>
      </w:r>
    </w:p>
    <w:p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hAnsi="Times New Roman" w:eastAsia="宋体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hAnsi="Times New Roman" w:eastAsia="宋体" w:cs="Times New Roman"/>
          <w:b/>
          <w:bCs/>
          <w:kern w:val="0"/>
          <w:sz w:val="28"/>
          <w:szCs w:val="28"/>
          <w:lang w:eastAsia="en-US"/>
        </w:rPr>
        <w:t>References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widowControl/>
        <w:autoSpaceDE w:val="0"/>
        <w:autoSpaceDN w:val="0"/>
        <w:adjustRightInd w:val="0"/>
        <w:snapToGrid w:val="0"/>
        <w:spacing w:after="60"/>
      </w:pP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[1] 3GPP, 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R1-200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7714, 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>Clarifications on scheduling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 xml:space="preserve"> enhancement</w:t>
      </w:r>
      <w:r>
        <w:rPr>
          <w:rFonts w:hint="eastAsia" w:ascii="Times New Roman" w:hAnsi="Times New Roman" w:eastAsia="宋体" w:cs="Times New Roman"/>
          <w:kern w:val="0"/>
          <w:sz w:val="20"/>
          <w:lang w:eastAsia="en-US"/>
        </w:rPr>
        <w:t xml:space="preserve"> for NB-IoT</w:t>
      </w:r>
      <w:r>
        <w:rPr>
          <w:rFonts w:ascii="Times New Roman" w:hAnsi="Times New Roman" w:eastAsia="宋体" w:cs="Times New Roman"/>
          <w:kern w:val="0"/>
          <w:sz w:val="20"/>
          <w:lang w:eastAsia="en-US"/>
        </w:rPr>
        <w:t>, RAN1 #103-e, ZTE</w:t>
      </w:r>
    </w:p>
    <w:p/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2B86"/>
    <w:multiLevelType w:val="multilevel"/>
    <w:tmpl w:val="322A2B86"/>
    <w:lvl w:ilvl="0" w:tentative="0">
      <w:start w:val="1"/>
      <w:numFmt w:val="bullet"/>
      <w:pStyle w:val="2"/>
      <w:lvlText w:val=""/>
      <w:lvlJc w:val="left"/>
      <w:pPr>
        <w:ind w:left="988" w:hanging="420"/>
      </w:pPr>
      <w:rPr>
        <w:rFonts w:hint="default" w:ascii="Wingdings" w:hAnsi="Wingdings"/>
        <w:sz w:val="21"/>
      </w:rPr>
    </w:lvl>
    <w:lvl w:ilvl="1" w:tentative="0">
      <w:start w:val="1"/>
      <w:numFmt w:val="bullet"/>
      <w:lvlText w:val=""/>
      <w:lvlJc w:val="left"/>
      <w:pPr>
        <w:ind w:left="14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8" w:hanging="420"/>
      </w:pPr>
      <w:rPr>
        <w:rFonts w:hint="default" w:ascii="Wingdings" w:hAnsi="Wingdings"/>
      </w:rPr>
    </w:lvl>
  </w:abstractNum>
  <w:abstractNum w:abstractNumId="1">
    <w:nsid w:val="5CE80977"/>
    <w:multiLevelType w:val="multilevel"/>
    <w:tmpl w:val="5CE809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7AC35690"/>
    <w:multiLevelType w:val="multilevel"/>
    <w:tmpl w:val="7AC356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0C3B58"/>
    <w:rsid w:val="00112932"/>
    <w:rsid w:val="001902F5"/>
    <w:rsid w:val="001B70EB"/>
    <w:rsid w:val="001C56C7"/>
    <w:rsid w:val="001C60FC"/>
    <w:rsid w:val="00207AE2"/>
    <w:rsid w:val="00230463"/>
    <w:rsid w:val="002354F9"/>
    <w:rsid w:val="00246C14"/>
    <w:rsid w:val="0025318B"/>
    <w:rsid w:val="003774F0"/>
    <w:rsid w:val="00382B76"/>
    <w:rsid w:val="004466E0"/>
    <w:rsid w:val="004473DF"/>
    <w:rsid w:val="0048399F"/>
    <w:rsid w:val="004A3ED1"/>
    <w:rsid w:val="004A709D"/>
    <w:rsid w:val="005111D9"/>
    <w:rsid w:val="00561171"/>
    <w:rsid w:val="005744E9"/>
    <w:rsid w:val="005B43CC"/>
    <w:rsid w:val="005F5011"/>
    <w:rsid w:val="006D1CAF"/>
    <w:rsid w:val="00777FA2"/>
    <w:rsid w:val="00813C45"/>
    <w:rsid w:val="00814E00"/>
    <w:rsid w:val="00891BA6"/>
    <w:rsid w:val="008C571F"/>
    <w:rsid w:val="00946652"/>
    <w:rsid w:val="00A70F85"/>
    <w:rsid w:val="00AC6D0E"/>
    <w:rsid w:val="00B73C37"/>
    <w:rsid w:val="00B84A56"/>
    <w:rsid w:val="00C30A08"/>
    <w:rsid w:val="00C86FEE"/>
    <w:rsid w:val="00D56384"/>
    <w:rsid w:val="00D56AD4"/>
    <w:rsid w:val="00D86981"/>
    <w:rsid w:val="00E241E0"/>
    <w:rsid w:val="00E90416"/>
    <w:rsid w:val="00ED3041"/>
    <w:rsid w:val="00ED6B1D"/>
    <w:rsid w:val="00EE17A9"/>
    <w:rsid w:val="00FE3174"/>
    <w:rsid w:val="3EB05711"/>
    <w:rsid w:val="42A9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numPr>
        <w:ilvl w:val="0"/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18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ZTE</Company>
  <Pages>4</Pages>
  <Words>1163</Words>
  <Characters>6632</Characters>
  <Lines>55</Lines>
  <Paragraphs>15</Paragraphs>
  <TotalTime>0</TotalTime>
  <ScaleCrop>false</ScaleCrop>
  <LinksUpToDate>false</LinksUpToDate>
  <CharactersWithSpaces>7780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2020-10-26T22:28:00Z</dcterms:created>
  <dc:creator>ZTE</dc:creator>
  <cp:lastModifiedBy>ZTE</cp:lastModifiedBy>
  <dcterms:modified xsi:type="dcterms:W3CDTF">2020-10-27T18:00:22Z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