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2F2B14BF"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325D5F" w:rsidRPr="00325D5F">
        <w:rPr>
          <w:rFonts w:ascii="Arial" w:eastAsia="SimSun" w:hAnsi="Arial"/>
          <w:b/>
          <w:szCs w:val="22"/>
        </w:rPr>
        <w:t>R1-2006722</w:t>
      </w:r>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12B112E5"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Discussion on</w:t>
      </w:r>
      <w:r w:rsidR="0081136E" w:rsidRPr="0081136E">
        <w:rPr>
          <w:rFonts w:eastAsia="ＭＳ ゴシック"/>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1136E" w:rsidRPr="0081136E">
        <w:rPr>
          <w:rFonts w:eastAsia="ＭＳ ゴシック"/>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673FCC">
            <w:pPr>
              <w:numPr>
                <w:ilvl w:val="0"/>
                <w:numId w:val="7"/>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673FCC">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673FCC">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673FCC">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673FCC">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673FCC">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Evaluate and, if needed, specify beam-management-related enhancements for simultaneous multi-TRP transmission with multi-panel reception</w:t>
            </w:r>
          </w:p>
          <w:p w14:paraId="69D41623"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673FCC">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673FCC">
            <w:pPr>
              <w:numPr>
                <w:ilvl w:val="2"/>
                <w:numId w:val="8"/>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673FCC">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enhancements on aperiodic SRS triggering to facilitate more flexible triggering and/or DCI overhead/usage reduction</w:t>
            </w:r>
          </w:p>
          <w:p w14:paraId="644F1C41"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673FCC">
            <w:pPr>
              <w:numPr>
                <w:ilvl w:val="0"/>
                <w:numId w:val="8"/>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673FCC">
            <w:pPr>
              <w:numPr>
                <w:ilvl w:val="1"/>
                <w:numId w:val="8"/>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10591CF3"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w:t>
      </w:r>
      <w:r w:rsidR="0081136E">
        <w:rPr>
          <w:rFonts w:eastAsiaTheme="minorEastAsia"/>
          <w:color w:val="000000"/>
          <w:sz w:val="22"/>
          <w:szCs w:val="22"/>
          <w:lang w:eastAsia="zh-CN"/>
        </w:rPr>
        <w:t>2d</w:t>
      </w:r>
      <w:r w:rsidR="002D7E67">
        <w:rPr>
          <w:rFonts w:eastAsiaTheme="minorEastAsia"/>
          <w:color w:val="000000"/>
          <w:sz w:val="22"/>
          <w:szCs w:val="22"/>
          <w:lang w:eastAsia="zh-CN"/>
        </w:rPr>
        <w:t xml:space="preserve"> for </w:t>
      </w:r>
      <w:r w:rsidR="0081136E" w:rsidRPr="0081136E">
        <w:rPr>
          <w:rFonts w:eastAsiaTheme="minorEastAsia"/>
          <w:color w:val="000000"/>
          <w:sz w:val="22"/>
          <w:szCs w:val="22"/>
          <w:lang w:eastAsia="zh-CN"/>
        </w:rPr>
        <w:t>HST-SFN deployment</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CD55DC3" w:rsidR="00F2224D" w:rsidRDefault="009506DF" w:rsidP="00F2224D">
      <w:pPr>
        <w:pStyle w:val="1"/>
      </w:pPr>
      <w:r>
        <w:t>Target scenario</w:t>
      </w:r>
      <w:r w:rsidR="00F2224D" w:rsidRPr="006A1D17">
        <w:t xml:space="preserve"> </w:t>
      </w:r>
    </w:p>
    <w:p w14:paraId="08974D6C" w14:textId="6C1F4A21" w:rsidR="00C82041" w:rsidRDefault="00BA0A16" w:rsidP="00ED5443">
      <w:pPr>
        <w:spacing w:beforeLines="50" w:before="120" w:afterLines="50" w:after="120"/>
        <w:jc w:val="both"/>
        <w:rPr>
          <w:rFonts w:eastAsia="ＭＳ 明朝"/>
          <w:sz w:val="22"/>
          <w:szCs w:val="22"/>
          <w:lang w:val="x-none" w:eastAsia="ja-JP"/>
        </w:rPr>
      </w:pPr>
      <w:r>
        <w:rPr>
          <w:rFonts w:eastAsia="ＭＳ 明朝"/>
          <w:sz w:val="22"/>
          <w:szCs w:val="22"/>
          <w:lang w:val="x-none" w:eastAsia="ja-JP"/>
        </w:rPr>
        <w:t>In Japan,</w:t>
      </w:r>
      <w:r w:rsidR="00C82041">
        <w:rPr>
          <w:rFonts w:eastAsia="ＭＳ 明朝" w:hint="eastAsia"/>
          <w:sz w:val="22"/>
          <w:szCs w:val="22"/>
          <w:lang w:val="x-none" w:eastAsia="ja-JP"/>
        </w:rPr>
        <w:t xml:space="preserve"> </w:t>
      </w:r>
      <w:r>
        <w:rPr>
          <w:rFonts w:eastAsia="ＭＳ 明朝"/>
          <w:sz w:val="22"/>
          <w:szCs w:val="22"/>
          <w:lang w:val="x-none" w:eastAsia="ja-JP"/>
        </w:rPr>
        <w:t>H</w:t>
      </w:r>
      <w:r>
        <w:rPr>
          <w:rFonts w:eastAsia="ＭＳ 明朝" w:hint="eastAsia"/>
          <w:sz w:val="22"/>
          <w:szCs w:val="22"/>
          <w:lang w:val="x-none" w:eastAsia="ja-JP"/>
        </w:rPr>
        <w:t xml:space="preserve">igh </w:t>
      </w:r>
      <w:r>
        <w:rPr>
          <w:rFonts w:eastAsia="ＭＳ 明朝"/>
          <w:sz w:val="22"/>
          <w:szCs w:val="22"/>
          <w:lang w:val="x-none" w:eastAsia="ja-JP"/>
        </w:rPr>
        <w:t>S</w:t>
      </w:r>
      <w:r>
        <w:rPr>
          <w:rFonts w:eastAsia="ＭＳ 明朝" w:hint="eastAsia"/>
          <w:sz w:val="22"/>
          <w:szCs w:val="22"/>
          <w:lang w:val="x-none" w:eastAsia="ja-JP"/>
        </w:rPr>
        <w:t>peed Train</w:t>
      </w:r>
      <w:r>
        <w:rPr>
          <w:rFonts w:eastAsia="ＭＳ 明朝"/>
          <w:sz w:val="22"/>
          <w:szCs w:val="22"/>
          <w:lang w:val="x-none" w:eastAsia="ja-JP"/>
        </w:rPr>
        <w:t xml:space="preserve"> (HST)</w:t>
      </w:r>
      <w:r w:rsidR="005A7853">
        <w:rPr>
          <w:rFonts w:eastAsia="ＭＳ 明朝"/>
          <w:sz w:val="22"/>
          <w:szCs w:val="22"/>
          <w:lang w:val="x-none" w:eastAsia="ja-JP"/>
        </w:rPr>
        <w:t xml:space="preserve"> </w:t>
      </w:r>
      <w:r>
        <w:rPr>
          <w:rFonts w:eastAsia="ＭＳ 明朝"/>
          <w:sz w:val="22"/>
          <w:szCs w:val="22"/>
          <w:lang w:val="x-none" w:eastAsia="ja-JP"/>
        </w:rPr>
        <w:t>called “S</w:t>
      </w:r>
      <w:r w:rsidRPr="00BA0A16">
        <w:rPr>
          <w:rFonts w:eastAsia="ＭＳ 明朝"/>
          <w:sz w:val="22"/>
          <w:szCs w:val="22"/>
          <w:lang w:val="x-none" w:eastAsia="ja-JP"/>
        </w:rPr>
        <w:t>hinkansen</w:t>
      </w:r>
      <w:r>
        <w:rPr>
          <w:rFonts w:eastAsia="ＭＳ 明朝"/>
          <w:sz w:val="22"/>
          <w:szCs w:val="22"/>
          <w:lang w:val="x-none" w:eastAsia="ja-JP"/>
        </w:rPr>
        <w:t>”</w:t>
      </w:r>
      <w:r w:rsidR="005A7853">
        <w:rPr>
          <w:rFonts w:eastAsia="ＭＳ 明朝"/>
          <w:sz w:val="22"/>
          <w:szCs w:val="22"/>
          <w:lang w:val="x-none" w:eastAsia="ja-JP"/>
        </w:rPr>
        <w:t xml:space="preserve"> is</w:t>
      </w:r>
      <w:r>
        <w:rPr>
          <w:rFonts w:eastAsia="ＭＳ 明朝"/>
          <w:sz w:val="22"/>
          <w:szCs w:val="22"/>
          <w:lang w:val="x-none" w:eastAsia="ja-JP"/>
        </w:rPr>
        <w:t xml:space="preserve"> </w:t>
      </w:r>
      <w:r w:rsidR="005A7853">
        <w:rPr>
          <w:rFonts w:eastAsia="ＭＳ 明朝"/>
          <w:sz w:val="22"/>
          <w:szCs w:val="22"/>
          <w:lang w:val="x-none" w:eastAsia="ja-JP"/>
        </w:rPr>
        <w:t>deployed</w:t>
      </w:r>
      <w:r>
        <w:rPr>
          <w:rFonts w:eastAsia="ＭＳ 明朝"/>
          <w:sz w:val="22"/>
          <w:szCs w:val="22"/>
          <w:lang w:val="x-none" w:eastAsia="ja-JP"/>
        </w:rPr>
        <w:t xml:space="preserve"> and its commercial maximum speed i</w:t>
      </w:r>
      <w:r w:rsidR="005A7853">
        <w:rPr>
          <w:rFonts w:eastAsia="ＭＳ 明朝"/>
          <w:sz w:val="22"/>
          <w:szCs w:val="22"/>
          <w:lang w:val="x-none" w:eastAsia="ja-JP"/>
        </w:rPr>
        <w:t>s</w:t>
      </w:r>
      <w:r>
        <w:rPr>
          <w:rFonts w:eastAsia="ＭＳ 明朝"/>
          <w:sz w:val="22"/>
          <w:szCs w:val="22"/>
          <w:lang w:val="x-none" w:eastAsia="ja-JP"/>
        </w:rPr>
        <w:t xml:space="preserve"> 320km/h. </w:t>
      </w:r>
      <w:r w:rsidR="005A7853">
        <w:rPr>
          <w:rFonts w:eastAsia="ＭＳ 明朝"/>
          <w:sz w:val="22"/>
          <w:szCs w:val="22"/>
          <w:lang w:val="x-none" w:eastAsia="ja-JP"/>
        </w:rPr>
        <w:t>LTE service is available in the train</w:t>
      </w:r>
      <w:r w:rsidR="00030B0A">
        <w:rPr>
          <w:rFonts w:eastAsia="ＭＳ 明朝"/>
          <w:sz w:val="22"/>
          <w:szCs w:val="22"/>
          <w:lang w:val="x-none" w:eastAsia="ja-JP"/>
        </w:rPr>
        <w:t>. From cell deployment perspective, the most difficult scenario in LTE is in tunnel</w:t>
      </w:r>
      <w:r w:rsidR="00311E0E">
        <w:rPr>
          <w:rFonts w:eastAsia="ＭＳ 明朝"/>
          <w:sz w:val="22"/>
          <w:szCs w:val="22"/>
          <w:lang w:val="x-none" w:eastAsia="ja-JP"/>
        </w:rPr>
        <w:t>s</w:t>
      </w:r>
      <w:r w:rsidR="00030B0A">
        <w:rPr>
          <w:rFonts w:eastAsia="ＭＳ 明朝"/>
          <w:sz w:val="22"/>
          <w:szCs w:val="22"/>
          <w:lang w:val="x-none" w:eastAsia="ja-JP"/>
        </w:rPr>
        <w:t>, because we cannot use Macro gNB</w:t>
      </w:r>
      <w:r w:rsidR="00BF1AE4">
        <w:rPr>
          <w:rFonts w:eastAsia="ＭＳ 明朝"/>
          <w:sz w:val="22"/>
          <w:szCs w:val="22"/>
          <w:lang w:val="x-none" w:eastAsia="ja-JP"/>
        </w:rPr>
        <w:t xml:space="preserve"> to cover large cell</w:t>
      </w:r>
      <w:r w:rsidR="00311E0E">
        <w:rPr>
          <w:rFonts w:eastAsia="ＭＳ 明朝"/>
          <w:sz w:val="22"/>
          <w:szCs w:val="22"/>
          <w:lang w:val="x-none" w:eastAsia="ja-JP"/>
        </w:rPr>
        <w:t>,</w:t>
      </w:r>
      <w:r w:rsidR="00030B0A">
        <w:rPr>
          <w:rFonts w:eastAsia="ＭＳ 明朝"/>
          <w:sz w:val="22"/>
          <w:szCs w:val="22"/>
          <w:lang w:val="x-none" w:eastAsia="ja-JP"/>
        </w:rPr>
        <w:t xml:space="preserve"> and we </w:t>
      </w:r>
      <w:r w:rsidR="00311E0E">
        <w:rPr>
          <w:rFonts w:eastAsia="ＭＳ 明朝"/>
          <w:sz w:val="22"/>
          <w:szCs w:val="22"/>
          <w:lang w:val="x-none" w:eastAsia="ja-JP"/>
        </w:rPr>
        <w:t>should deploy</w:t>
      </w:r>
      <w:r w:rsidR="00030B0A">
        <w:rPr>
          <w:rFonts w:eastAsia="ＭＳ 明朝"/>
          <w:sz w:val="22"/>
          <w:szCs w:val="22"/>
          <w:lang w:val="x-none" w:eastAsia="ja-JP"/>
        </w:rPr>
        <w:t xml:space="preserve"> SFN with </w:t>
      </w:r>
      <w:r w:rsidR="00467DE1">
        <w:rPr>
          <w:rFonts w:eastAsia="ＭＳ 明朝"/>
          <w:sz w:val="22"/>
          <w:szCs w:val="22"/>
          <w:lang w:val="x-none" w:eastAsia="ja-JP"/>
        </w:rPr>
        <w:t xml:space="preserve">a large </w:t>
      </w:r>
      <w:r w:rsidR="00030B0A">
        <w:rPr>
          <w:rFonts w:eastAsia="ＭＳ 明朝"/>
          <w:sz w:val="22"/>
          <w:szCs w:val="22"/>
          <w:lang w:val="x-none" w:eastAsia="ja-JP"/>
        </w:rPr>
        <w:t xml:space="preserve">number of RRHs of small </w:t>
      </w:r>
      <w:r w:rsidR="007277BC" w:rsidRPr="007277BC">
        <w:rPr>
          <w:rFonts w:eastAsia="ＭＳ 明朝"/>
          <w:sz w:val="22"/>
          <w:szCs w:val="22"/>
          <w:lang w:val="x-none" w:eastAsia="ja-JP"/>
        </w:rPr>
        <w:t>coverage</w:t>
      </w:r>
      <w:r w:rsidR="00030B0A">
        <w:rPr>
          <w:rFonts w:eastAsia="ＭＳ 明朝"/>
          <w:sz w:val="22"/>
          <w:szCs w:val="22"/>
          <w:lang w:val="x-none" w:eastAsia="ja-JP"/>
        </w:rPr>
        <w:t xml:space="preserve"> (e.g. 100 m</w:t>
      </w:r>
      <w:r w:rsidR="00311E0E">
        <w:rPr>
          <w:rFonts w:eastAsia="ＭＳ 明朝"/>
          <w:sz w:val="22"/>
          <w:szCs w:val="22"/>
          <w:lang w:val="x-none" w:eastAsia="ja-JP"/>
        </w:rPr>
        <w:t xml:space="preserve"> coverage per RRH</w:t>
      </w:r>
      <w:r w:rsidR="00030B0A">
        <w:rPr>
          <w:rFonts w:eastAsia="ＭＳ 明朝"/>
          <w:sz w:val="22"/>
          <w:szCs w:val="22"/>
          <w:lang w:val="x-none" w:eastAsia="ja-JP"/>
        </w:rPr>
        <w:t xml:space="preserve">). </w:t>
      </w:r>
    </w:p>
    <w:p w14:paraId="39DFBBA5" w14:textId="1A8DC623" w:rsidR="0046338D" w:rsidRDefault="00037B1A" w:rsidP="00ED5443">
      <w:pPr>
        <w:spacing w:beforeLines="50" w:before="120" w:afterLines="50" w:after="120"/>
        <w:jc w:val="both"/>
        <w:rPr>
          <w:rFonts w:eastAsia="ＭＳ 明朝"/>
          <w:sz w:val="22"/>
          <w:szCs w:val="22"/>
          <w:lang w:val="x-none" w:eastAsia="ja-JP"/>
        </w:rPr>
      </w:pPr>
      <w:r>
        <w:rPr>
          <w:rFonts w:eastAsia="ＭＳ 明朝" w:hint="eastAsia"/>
          <w:sz w:val="22"/>
          <w:szCs w:val="22"/>
          <w:lang w:val="x-none" w:eastAsia="ja-JP"/>
        </w:rPr>
        <w:t xml:space="preserve">In 2027, new </w:t>
      </w:r>
      <w:r>
        <w:rPr>
          <w:rFonts w:eastAsia="ＭＳ 明朝"/>
          <w:sz w:val="22"/>
          <w:szCs w:val="22"/>
          <w:lang w:val="x-none" w:eastAsia="ja-JP"/>
        </w:rPr>
        <w:t xml:space="preserve">type of HST is planned to be deployed </w:t>
      </w:r>
      <w:r w:rsidR="00CC5BB9">
        <w:rPr>
          <w:rFonts w:eastAsia="ＭＳ 明朝"/>
          <w:sz w:val="22"/>
          <w:szCs w:val="22"/>
          <w:lang w:val="x-none" w:eastAsia="ja-JP"/>
        </w:rPr>
        <w:t xml:space="preserve">from Tokyo to Nagoya </w:t>
      </w:r>
      <w:r>
        <w:rPr>
          <w:rFonts w:eastAsia="ＭＳ 明朝"/>
          <w:sz w:val="22"/>
          <w:szCs w:val="22"/>
          <w:lang w:val="x-none" w:eastAsia="ja-JP"/>
        </w:rPr>
        <w:t>in Japan. The maximum speed in commercial operation is 500km/h and it enables 40 min trip from Tokyo to Nagoya</w:t>
      </w:r>
      <w:r w:rsidR="00CC5BB9">
        <w:rPr>
          <w:rFonts w:eastAsia="ＭＳ 明朝"/>
          <w:sz w:val="22"/>
          <w:szCs w:val="22"/>
          <w:lang w:val="x-none" w:eastAsia="ja-JP"/>
        </w:rPr>
        <w:t xml:space="preserve"> (</w:t>
      </w:r>
      <w:r w:rsidR="0024394D">
        <w:rPr>
          <w:rFonts w:eastAsia="ＭＳ 明朝"/>
          <w:sz w:val="22"/>
          <w:szCs w:val="22"/>
          <w:lang w:val="x-none" w:eastAsia="ja-JP"/>
        </w:rPr>
        <w:t>about 285km of</w:t>
      </w:r>
      <w:r w:rsidR="00CC5BB9">
        <w:rPr>
          <w:rFonts w:eastAsia="ＭＳ 明朝"/>
          <w:sz w:val="22"/>
          <w:szCs w:val="22"/>
          <w:lang w:val="x-none" w:eastAsia="ja-JP"/>
        </w:rPr>
        <w:t xml:space="preserve"> rail length)</w:t>
      </w:r>
      <w:r>
        <w:rPr>
          <w:rFonts w:eastAsia="ＭＳ 明朝"/>
          <w:sz w:val="22"/>
          <w:szCs w:val="22"/>
          <w:lang w:val="x-none" w:eastAsia="ja-JP"/>
        </w:rPr>
        <w:t>.</w:t>
      </w:r>
      <w:r w:rsidR="00552DAD">
        <w:rPr>
          <w:rFonts w:eastAsia="ＭＳ 明朝"/>
          <w:sz w:val="22"/>
          <w:szCs w:val="22"/>
          <w:lang w:val="x-none" w:eastAsia="ja-JP"/>
        </w:rPr>
        <w:t xml:space="preserve"> </w:t>
      </w:r>
      <w:r w:rsidR="00C82041">
        <w:rPr>
          <w:rFonts w:eastAsia="ＭＳ 明朝"/>
          <w:sz w:val="22"/>
          <w:szCs w:val="22"/>
          <w:lang w:val="x-none" w:eastAsia="ja-JP"/>
        </w:rPr>
        <w:t xml:space="preserve">To connect two cities with straight line, as much as possible, </w:t>
      </w:r>
      <w:r w:rsidR="0024394D">
        <w:rPr>
          <w:rFonts w:eastAsia="ＭＳ 明朝"/>
          <w:sz w:val="22"/>
          <w:szCs w:val="22"/>
          <w:lang w:val="x-none" w:eastAsia="ja-JP"/>
        </w:rPr>
        <w:t xml:space="preserve">it is planed </w:t>
      </w:r>
      <w:r w:rsidR="00C82041">
        <w:rPr>
          <w:rFonts w:eastAsia="ＭＳ 明朝"/>
          <w:sz w:val="22"/>
          <w:szCs w:val="22"/>
          <w:lang w:val="x-none" w:eastAsia="ja-JP"/>
        </w:rPr>
        <w:t xml:space="preserve">about 90% of all </w:t>
      </w:r>
      <w:r w:rsidR="0024394D">
        <w:rPr>
          <w:rFonts w:eastAsia="ＭＳ 明朝"/>
          <w:sz w:val="22"/>
          <w:szCs w:val="22"/>
          <w:lang w:val="x-none" w:eastAsia="ja-JP"/>
        </w:rPr>
        <w:t xml:space="preserve">rail </w:t>
      </w:r>
      <w:r w:rsidR="00C82041">
        <w:rPr>
          <w:rFonts w:eastAsia="ＭＳ 明朝"/>
          <w:sz w:val="22"/>
          <w:szCs w:val="22"/>
          <w:lang w:val="x-none" w:eastAsia="ja-JP"/>
        </w:rPr>
        <w:t xml:space="preserve">length is in tunnel. </w:t>
      </w:r>
      <w:r w:rsidR="00030B0A">
        <w:rPr>
          <w:rFonts w:eastAsia="ＭＳ 明朝"/>
          <w:sz w:val="22"/>
          <w:szCs w:val="22"/>
          <w:lang w:val="x-none" w:eastAsia="ja-JP"/>
        </w:rPr>
        <w:t xml:space="preserve">It is important to provide 5G NR service in the new type of HST as well. </w:t>
      </w:r>
      <w:r w:rsidR="0044282A">
        <w:rPr>
          <w:rFonts w:eastAsia="ＭＳ 明朝"/>
          <w:sz w:val="22"/>
          <w:szCs w:val="22"/>
          <w:lang w:val="x-none" w:eastAsia="ja-JP"/>
        </w:rPr>
        <w:t xml:space="preserve">Similar as LTE deployment, we assume to deploy </w:t>
      </w:r>
      <w:r w:rsidR="0046338D">
        <w:rPr>
          <w:rFonts w:eastAsia="ＭＳ 明朝"/>
          <w:sz w:val="22"/>
          <w:szCs w:val="22"/>
          <w:lang w:val="x-none" w:eastAsia="ja-JP"/>
        </w:rPr>
        <w:t xml:space="preserve">5G NR in </w:t>
      </w:r>
      <w:r w:rsidR="0044282A">
        <w:rPr>
          <w:rFonts w:eastAsia="ＭＳ 明朝"/>
          <w:sz w:val="22"/>
          <w:szCs w:val="22"/>
          <w:lang w:val="x-none" w:eastAsia="ja-JP"/>
        </w:rPr>
        <w:t xml:space="preserve">SFN with </w:t>
      </w:r>
      <w:r w:rsidR="00314C07">
        <w:rPr>
          <w:rFonts w:eastAsia="ＭＳ 明朝"/>
          <w:sz w:val="22"/>
          <w:szCs w:val="22"/>
          <w:lang w:val="x-none" w:eastAsia="ja-JP"/>
        </w:rPr>
        <w:t xml:space="preserve">a large </w:t>
      </w:r>
      <w:r w:rsidR="0044282A">
        <w:rPr>
          <w:rFonts w:eastAsia="ＭＳ 明朝"/>
          <w:sz w:val="22"/>
          <w:szCs w:val="22"/>
          <w:lang w:val="x-none" w:eastAsia="ja-JP"/>
        </w:rPr>
        <w:t xml:space="preserve">number of RRHs of small </w:t>
      </w:r>
      <w:r w:rsidR="007277BC" w:rsidRPr="007277BC">
        <w:rPr>
          <w:rFonts w:eastAsia="ＭＳ 明朝"/>
          <w:sz w:val="22"/>
          <w:szCs w:val="22"/>
          <w:lang w:val="x-none" w:eastAsia="ja-JP"/>
        </w:rPr>
        <w:t>coverage</w:t>
      </w:r>
      <w:r w:rsidR="0044282A">
        <w:rPr>
          <w:rFonts w:eastAsia="ＭＳ 明朝"/>
          <w:sz w:val="22"/>
          <w:szCs w:val="22"/>
          <w:lang w:val="x-none" w:eastAsia="ja-JP"/>
        </w:rPr>
        <w:t xml:space="preserve"> </w:t>
      </w:r>
      <w:r w:rsidR="0044282A">
        <w:rPr>
          <w:rFonts w:eastAsia="ＭＳ 明朝"/>
          <w:sz w:val="22"/>
          <w:szCs w:val="22"/>
          <w:lang w:val="x-none" w:eastAsia="ja-JP"/>
        </w:rPr>
        <w:lastRenderedPageBreak/>
        <w:t>(e.g. 100 m</w:t>
      </w:r>
      <w:r w:rsidR="00912EA5" w:rsidRPr="00912EA5">
        <w:rPr>
          <w:rFonts w:eastAsia="ＭＳ 明朝"/>
          <w:sz w:val="22"/>
          <w:szCs w:val="22"/>
          <w:lang w:val="x-none" w:eastAsia="ja-JP"/>
        </w:rPr>
        <w:t xml:space="preserve"> </w:t>
      </w:r>
      <w:r w:rsidR="00912EA5">
        <w:rPr>
          <w:rFonts w:eastAsia="ＭＳ 明朝"/>
          <w:sz w:val="22"/>
          <w:szCs w:val="22"/>
          <w:lang w:val="x-none" w:eastAsia="ja-JP"/>
        </w:rPr>
        <w:t>coverage per RRH</w:t>
      </w:r>
      <w:r w:rsidR="0044282A">
        <w:rPr>
          <w:rFonts w:eastAsia="ＭＳ 明朝"/>
          <w:sz w:val="22"/>
          <w:szCs w:val="22"/>
          <w:lang w:val="x-none" w:eastAsia="ja-JP"/>
        </w:rPr>
        <w:t xml:space="preserve">) in the tunnels. </w:t>
      </w:r>
      <w:r w:rsidR="0046338D">
        <w:rPr>
          <w:rFonts w:eastAsia="ＭＳ 明朝"/>
          <w:sz w:val="22"/>
          <w:szCs w:val="22"/>
          <w:lang w:val="x-none" w:eastAsia="ja-JP"/>
        </w:rPr>
        <w:t>In the SFN, we can consider two scenario</w:t>
      </w:r>
      <w:r w:rsidR="00FE24EF">
        <w:rPr>
          <w:rFonts w:eastAsia="ＭＳ 明朝"/>
          <w:sz w:val="22"/>
          <w:szCs w:val="22"/>
          <w:lang w:val="x-none" w:eastAsia="ja-JP"/>
        </w:rPr>
        <w:t>s</w:t>
      </w:r>
      <w:r w:rsidR="0046338D">
        <w:rPr>
          <w:rFonts w:eastAsia="ＭＳ 明朝"/>
          <w:sz w:val="22"/>
          <w:szCs w:val="22"/>
          <w:lang w:val="x-none" w:eastAsia="ja-JP"/>
        </w:rPr>
        <w:t xml:space="preserve"> </w:t>
      </w:r>
      <w:r w:rsidR="00E51DD8">
        <w:rPr>
          <w:rFonts w:eastAsia="ＭＳ 明朝"/>
          <w:sz w:val="22"/>
          <w:szCs w:val="22"/>
          <w:lang w:val="x-none" w:eastAsia="ja-JP"/>
        </w:rPr>
        <w:t xml:space="preserve">of </w:t>
      </w:r>
      <w:r w:rsidR="0046338D">
        <w:rPr>
          <w:rFonts w:eastAsia="ＭＳ 明朝"/>
          <w:sz w:val="22"/>
          <w:szCs w:val="22"/>
          <w:lang w:val="x-none" w:eastAsia="ja-JP"/>
        </w:rPr>
        <w:t xml:space="preserve">uni-directional and bi-directional as illustrated in figure 2-1. Considering the deployment cost, the </w:t>
      </w:r>
      <w:r w:rsidR="00311E0E">
        <w:rPr>
          <w:rFonts w:eastAsia="ＭＳ 明朝"/>
          <w:sz w:val="22"/>
          <w:szCs w:val="22"/>
          <w:lang w:val="x-none" w:eastAsia="ja-JP"/>
        </w:rPr>
        <w:t>most promising scenario is bi-directional SFN. Hence, our interested scenario is following:</w:t>
      </w:r>
    </w:p>
    <w:p w14:paraId="0C4B4570" w14:textId="77777777" w:rsidR="00311E0E" w:rsidRPr="00FD2107" w:rsidRDefault="00311E0E" w:rsidP="00311E0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2E4AF2A4" w14:textId="59B5C174" w:rsidR="00311E0E" w:rsidRPr="00311E0E" w:rsidRDefault="00311E0E" w:rsidP="00912EA5">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Target deployment scenario of HST is </w:t>
      </w:r>
      <w:r w:rsidRPr="00311E0E">
        <w:rPr>
          <w:rFonts w:ascii="Times New Roman" w:eastAsia="ＭＳ 明朝" w:hAnsi="Times New Roman" w:cs="Times New Roman"/>
          <w:b/>
          <w:i/>
          <w:iCs/>
          <w:color w:val="000000" w:themeColor="text1"/>
          <w:sz w:val="22"/>
          <w:szCs w:val="22"/>
          <w:lang w:eastAsia="ja-JP"/>
        </w:rPr>
        <w:t xml:space="preserve">500 km/h with bi-directional SFN with </w:t>
      </w:r>
      <w:r w:rsidR="008811AF">
        <w:rPr>
          <w:rFonts w:ascii="Times New Roman" w:eastAsia="ＭＳ 明朝" w:hAnsi="Times New Roman" w:cs="Times New Roman"/>
          <w:b/>
          <w:i/>
          <w:iCs/>
          <w:color w:val="000000" w:themeColor="text1"/>
          <w:sz w:val="22"/>
          <w:szCs w:val="22"/>
          <w:lang w:eastAsia="ja-JP"/>
        </w:rPr>
        <w:t>a large</w:t>
      </w:r>
      <w:r w:rsidR="008811AF" w:rsidRPr="00311E0E">
        <w:rPr>
          <w:rFonts w:ascii="Times New Roman" w:eastAsia="ＭＳ 明朝" w:hAnsi="Times New Roman" w:cs="Times New Roman"/>
          <w:b/>
          <w:i/>
          <w:iCs/>
          <w:color w:val="000000" w:themeColor="text1"/>
          <w:sz w:val="22"/>
          <w:szCs w:val="22"/>
          <w:lang w:eastAsia="ja-JP"/>
        </w:rPr>
        <w:t xml:space="preserve"> </w:t>
      </w:r>
      <w:r w:rsidRPr="00311E0E">
        <w:rPr>
          <w:rFonts w:ascii="Times New Roman" w:eastAsia="ＭＳ 明朝" w:hAnsi="Times New Roman" w:cs="Times New Roman"/>
          <w:b/>
          <w:i/>
          <w:iCs/>
          <w:color w:val="000000" w:themeColor="text1"/>
          <w:sz w:val="22"/>
          <w:szCs w:val="22"/>
          <w:lang w:eastAsia="ja-JP"/>
        </w:rPr>
        <w:t xml:space="preserve">number of RRHs of small </w:t>
      </w:r>
      <w:r w:rsidR="007277BC">
        <w:rPr>
          <w:rFonts w:ascii="Times New Roman" w:eastAsia="ＭＳ 明朝" w:hAnsi="Times New Roman" w:cs="Times New Roman"/>
          <w:b/>
          <w:i/>
          <w:iCs/>
          <w:color w:val="000000" w:themeColor="text1"/>
          <w:sz w:val="22"/>
          <w:szCs w:val="22"/>
          <w:lang w:eastAsia="ja-JP"/>
        </w:rPr>
        <w:t>coverage</w:t>
      </w:r>
      <w:r w:rsidRPr="00311E0E">
        <w:rPr>
          <w:rFonts w:ascii="Times New Roman" w:eastAsia="ＭＳ 明朝" w:hAnsi="Times New Roman" w:cs="Times New Roman"/>
          <w:b/>
          <w:i/>
          <w:iCs/>
          <w:color w:val="000000" w:themeColor="text1"/>
          <w:sz w:val="22"/>
          <w:szCs w:val="22"/>
          <w:lang w:eastAsia="ja-JP"/>
        </w:rPr>
        <w:t xml:space="preserve"> (e.g. 100 m</w:t>
      </w:r>
      <w:r w:rsidR="00912EA5" w:rsidRPr="00912EA5">
        <w:t xml:space="preserve"> </w:t>
      </w:r>
      <w:r w:rsidR="00912EA5" w:rsidRPr="00912EA5">
        <w:rPr>
          <w:rFonts w:ascii="Times New Roman" w:eastAsia="ＭＳ 明朝" w:hAnsi="Times New Roman" w:cs="Times New Roman"/>
          <w:b/>
          <w:i/>
          <w:iCs/>
          <w:color w:val="000000" w:themeColor="text1"/>
          <w:sz w:val="22"/>
          <w:szCs w:val="22"/>
          <w:lang w:eastAsia="ja-JP"/>
        </w:rPr>
        <w:t>coverage per RRH</w:t>
      </w:r>
      <w:r w:rsidRPr="00311E0E">
        <w:rPr>
          <w:rFonts w:ascii="Times New Roman" w:eastAsia="ＭＳ 明朝" w:hAnsi="Times New Roman" w:cs="Times New Roman"/>
          <w:b/>
          <w:i/>
          <w:iCs/>
          <w:color w:val="000000" w:themeColor="text1"/>
          <w:sz w:val="22"/>
          <w:szCs w:val="22"/>
          <w:lang w:eastAsia="ja-JP"/>
        </w:rPr>
        <w:t>)</w:t>
      </w:r>
      <w:r>
        <w:rPr>
          <w:rFonts w:ascii="Times New Roman" w:eastAsia="ＭＳ 明朝" w:hAnsi="Times New Roman" w:cs="Times New Roman"/>
          <w:b/>
          <w:i/>
          <w:iCs/>
          <w:color w:val="000000" w:themeColor="text1"/>
          <w:sz w:val="22"/>
          <w:szCs w:val="22"/>
          <w:lang w:eastAsia="ja-JP"/>
        </w:rPr>
        <w:t xml:space="preserve">, </w:t>
      </w:r>
      <w:r w:rsidRPr="00311E0E">
        <w:rPr>
          <w:rFonts w:ascii="Times New Roman" w:eastAsia="ＭＳ 明朝" w:hAnsi="Times New Roman" w:cs="Times New Roman"/>
          <w:b/>
          <w:i/>
          <w:iCs/>
          <w:color w:val="000000" w:themeColor="text1"/>
          <w:sz w:val="22"/>
          <w:szCs w:val="22"/>
          <w:lang w:eastAsia="ja-JP"/>
        </w:rPr>
        <w:t>without assistance of Macro cell</w:t>
      </w:r>
      <w:r w:rsidR="00912EA5">
        <w:rPr>
          <w:rFonts w:ascii="Times New Roman" w:eastAsia="ＭＳ 明朝" w:hAnsi="Times New Roman" w:cs="Times New Roman"/>
          <w:b/>
          <w:i/>
          <w:iCs/>
          <w:color w:val="000000" w:themeColor="text1"/>
          <w:sz w:val="22"/>
          <w:szCs w:val="22"/>
          <w:lang w:eastAsia="ja-JP"/>
        </w:rPr>
        <w:t>.</w:t>
      </w:r>
    </w:p>
    <w:p w14:paraId="209159D8" w14:textId="03308239" w:rsidR="0046338D" w:rsidRPr="00912EA5" w:rsidRDefault="0046338D" w:rsidP="00ED5443">
      <w:pPr>
        <w:spacing w:beforeLines="50" w:before="120" w:afterLines="50" w:after="120"/>
        <w:jc w:val="both"/>
        <w:rPr>
          <w:rFonts w:eastAsia="ＭＳ 明朝"/>
          <w:sz w:val="22"/>
          <w:szCs w:val="22"/>
          <w:lang w:eastAsia="ja-JP"/>
        </w:rPr>
      </w:pPr>
    </w:p>
    <w:p w14:paraId="77007482" w14:textId="74D9738C" w:rsidR="0046338D" w:rsidRDefault="0046338D" w:rsidP="00ED5443">
      <w:pPr>
        <w:spacing w:beforeLines="50" w:before="120" w:afterLines="50" w:after="120"/>
        <w:jc w:val="both"/>
        <w:rPr>
          <w:rFonts w:eastAsia="ＭＳ 明朝"/>
          <w:sz w:val="22"/>
          <w:szCs w:val="22"/>
          <w:lang w:val="x-none" w:eastAsia="ja-JP"/>
        </w:rPr>
      </w:pPr>
      <w:r w:rsidRPr="0046338D">
        <w:rPr>
          <w:rFonts w:eastAsia="ＭＳ 明朝"/>
          <w:noProof/>
          <w:sz w:val="22"/>
          <w:szCs w:val="22"/>
          <w:lang w:eastAsia="ja-JP"/>
        </w:rPr>
        <w:drawing>
          <wp:inline distT="0" distB="0" distL="0" distR="0" wp14:anchorId="5532AD4E" wp14:editId="3F68C508">
            <wp:extent cx="6332220" cy="1988185"/>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1"/>
                    <a:stretch>
                      <a:fillRect/>
                    </a:stretch>
                  </pic:blipFill>
                  <pic:spPr>
                    <a:xfrm>
                      <a:off x="0" y="0"/>
                      <a:ext cx="6332220" cy="1988185"/>
                    </a:xfrm>
                    <a:prstGeom prst="rect">
                      <a:avLst/>
                    </a:prstGeom>
                  </pic:spPr>
                </pic:pic>
              </a:graphicData>
            </a:graphic>
          </wp:inline>
        </w:drawing>
      </w:r>
    </w:p>
    <w:p w14:paraId="7E671DCD" w14:textId="67300A3E" w:rsidR="0046338D" w:rsidRPr="00700854" w:rsidRDefault="0046338D" w:rsidP="0046338D">
      <w:pPr>
        <w:spacing w:beforeLines="50" w:before="120" w:afterLines="50" w:after="120"/>
        <w:jc w:val="center"/>
        <w:rPr>
          <w:rFonts w:eastAsia="ＭＳ 明朝"/>
          <w:sz w:val="22"/>
          <w:szCs w:val="22"/>
          <w:lang w:eastAsia="ja-JP"/>
        </w:rPr>
      </w:pPr>
      <w:r>
        <w:rPr>
          <w:rFonts w:eastAsia="ＭＳ 明朝"/>
          <w:sz w:val="22"/>
          <w:szCs w:val="22"/>
          <w:lang w:eastAsia="ja-JP"/>
        </w:rPr>
        <w:t>Figure 2-1. Uni-directional vs Bi-directional SFN.</w:t>
      </w:r>
    </w:p>
    <w:p w14:paraId="51254077" w14:textId="22FA9542" w:rsidR="00ED5443" w:rsidRDefault="00ED5443" w:rsidP="00860087">
      <w:pPr>
        <w:spacing w:beforeLines="50" w:before="120" w:afterLines="50" w:after="120"/>
        <w:jc w:val="both"/>
        <w:rPr>
          <w:rFonts w:eastAsia="ＭＳ 明朝"/>
          <w:sz w:val="22"/>
          <w:szCs w:val="22"/>
          <w:lang w:eastAsia="ja-JP"/>
        </w:rPr>
      </w:pPr>
    </w:p>
    <w:p w14:paraId="71BEA64E" w14:textId="180D1208" w:rsidR="009F0192" w:rsidRDefault="009F0192" w:rsidP="009F0192">
      <w:pPr>
        <w:pStyle w:val="1"/>
      </w:pPr>
      <w:r w:rsidRPr="009F0192">
        <w:t xml:space="preserve">QCL </w:t>
      </w:r>
      <w:r w:rsidR="001946EC">
        <w:t>enhancement</w:t>
      </w:r>
    </w:p>
    <w:p w14:paraId="023CCE30" w14:textId="52B674B2" w:rsidR="009F0192" w:rsidRDefault="009F0192" w:rsidP="009F0192">
      <w:pPr>
        <w:spacing w:beforeLines="50" w:before="120" w:afterLines="50" w:after="120"/>
        <w:jc w:val="both"/>
        <w:rPr>
          <w:rFonts w:eastAsia="ＭＳ 明朝"/>
          <w:sz w:val="22"/>
          <w:szCs w:val="22"/>
          <w:lang w:eastAsia="ja-JP"/>
        </w:rPr>
      </w:pPr>
      <w:r>
        <w:rPr>
          <w:rFonts w:eastAsia="ＭＳ 明朝" w:hint="eastAsia"/>
          <w:sz w:val="22"/>
          <w:szCs w:val="22"/>
          <w:lang w:eastAsia="ja-JP"/>
        </w:rPr>
        <w:t>In HST</w:t>
      </w:r>
      <w:r>
        <w:rPr>
          <w:rFonts w:eastAsia="ＭＳ 明朝"/>
          <w:sz w:val="22"/>
          <w:szCs w:val="22"/>
          <w:lang w:eastAsia="ja-JP"/>
        </w:rPr>
        <w:t>,</w:t>
      </w:r>
      <w:r w:rsidR="001946EC">
        <w:rPr>
          <w:rFonts w:eastAsia="ＭＳ 明朝"/>
          <w:sz w:val="22"/>
          <w:szCs w:val="22"/>
          <w:lang w:eastAsia="ja-JP"/>
        </w:rPr>
        <w:t xml:space="preserve"> t</w:t>
      </w:r>
      <w:r w:rsidR="00616B95">
        <w:rPr>
          <w:rFonts w:eastAsia="ＭＳ 明朝"/>
          <w:sz w:val="22"/>
          <w:szCs w:val="22"/>
          <w:lang w:eastAsia="ja-JP"/>
        </w:rPr>
        <w:t xml:space="preserve">he appropriate beam is changed quickly, due to UE’s movement, </w:t>
      </w:r>
      <w:r w:rsidR="001946EC">
        <w:rPr>
          <w:rFonts w:eastAsia="ＭＳ 明朝"/>
          <w:sz w:val="22"/>
          <w:szCs w:val="22"/>
          <w:lang w:eastAsia="ja-JP"/>
        </w:rPr>
        <w:t>the important aspect of QCL enhancement is to improve the reliability. Since the large number of RR</w:t>
      </w:r>
      <w:r w:rsidR="00515CEB">
        <w:rPr>
          <w:rFonts w:eastAsia="ＭＳ 明朝"/>
          <w:sz w:val="22"/>
          <w:szCs w:val="22"/>
          <w:lang w:eastAsia="ja-JP"/>
        </w:rPr>
        <w:t>Hs are deployed around the rail</w:t>
      </w:r>
      <w:r w:rsidR="001946EC">
        <w:rPr>
          <w:rFonts w:eastAsia="ＭＳ 明朝"/>
          <w:sz w:val="22"/>
          <w:szCs w:val="22"/>
          <w:lang w:eastAsia="ja-JP"/>
        </w:rPr>
        <w:t xml:space="preserve"> in SFN scenario, </w:t>
      </w:r>
      <w:r w:rsidR="00EE4175">
        <w:rPr>
          <w:rFonts w:eastAsia="ＭＳ 明朝"/>
          <w:sz w:val="22"/>
          <w:szCs w:val="22"/>
          <w:lang w:eastAsia="ja-JP"/>
        </w:rPr>
        <w:t xml:space="preserve">a UE would observe </w:t>
      </w:r>
      <w:r w:rsidR="00515CEB">
        <w:rPr>
          <w:rFonts w:eastAsia="ＭＳ 明朝"/>
          <w:sz w:val="22"/>
          <w:szCs w:val="22"/>
          <w:lang w:eastAsia="ja-JP"/>
        </w:rPr>
        <w:t>multiple appropriate beams across multiple RRHs</w:t>
      </w:r>
      <w:r w:rsidR="00EE4175">
        <w:rPr>
          <w:rFonts w:eastAsia="ＭＳ 明朝"/>
          <w:sz w:val="22"/>
          <w:szCs w:val="22"/>
          <w:lang w:eastAsia="ja-JP"/>
        </w:rPr>
        <w:t xml:space="preserve"> at the same time</w:t>
      </w:r>
      <w:r w:rsidR="00515CEB">
        <w:rPr>
          <w:rFonts w:eastAsia="ＭＳ 明朝"/>
          <w:sz w:val="22"/>
          <w:szCs w:val="22"/>
          <w:lang w:eastAsia="ja-JP"/>
        </w:rPr>
        <w:t xml:space="preserve"> (illustrated in </w:t>
      </w:r>
      <w:r w:rsidR="00CD4D3C">
        <w:rPr>
          <w:rFonts w:eastAsia="ＭＳ 明朝"/>
          <w:sz w:val="22"/>
          <w:szCs w:val="22"/>
          <w:lang w:eastAsia="ja-JP"/>
        </w:rPr>
        <w:t xml:space="preserve">Figure </w:t>
      </w:r>
      <w:r w:rsidR="00515CEB">
        <w:rPr>
          <w:rFonts w:eastAsia="ＭＳ 明朝"/>
          <w:sz w:val="22"/>
          <w:szCs w:val="22"/>
          <w:lang w:eastAsia="ja-JP"/>
        </w:rPr>
        <w:t xml:space="preserve">3-1). </w:t>
      </w:r>
    </w:p>
    <w:p w14:paraId="62731769" w14:textId="4D5CF0F1" w:rsidR="00D858C8" w:rsidRPr="00FD2107" w:rsidRDefault="00D858C8" w:rsidP="00D858C8">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1:</w:t>
      </w:r>
    </w:p>
    <w:p w14:paraId="5CA57F34" w14:textId="0B018F84" w:rsidR="00D858C8" w:rsidRDefault="00D858C8" w:rsidP="00D858C8">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In SFN with large number of RRHs in HST scenario, a </w:t>
      </w:r>
      <w:r w:rsidRPr="00D858C8">
        <w:rPr>
          <w:rFonts w:ascii="Times New Roman" w:eastAsia="ＭＳ 明朝" w:hAnsi="Times New Roman" w:cs="Times New Roman"/>
          <w:b/>
          <w:i/>
          <w:iCs/>
          <w:color w:val="000000" w:themeColor="text1"/>
          <w:sz w:val="22"/>
          <w:szCs w:val="22"/>
          <w:lang w:eastAsia="ja-JP"/>
        </w:rPr>
        <w:t>UE would observe multiple appropriate beams across multiple RRHs at the same time</w:t>
      </w:r>
      <w:r>
        <w:rPr>
          <w:rFonts w:ascii="Times New Roman" w:eastAsia="ＭＳ 明朝" w:hAnsi="Times New Roman" w:cs="Times New Roman"/>
          <w:b/>
          <w:i/>
          <w:iCs/>
          <w:color w:val="000000" w:themeColor="text1"/>
          <w:sz w:val="22"/>
          <w:szCs w:val="22"/>
          <w:lang w:eastAsia="ja-JP"/>
        </w:rPr>
        <w:t xml:space="preserve"> </w:t>
      </w:r>
    </w:p>
    <w:p w14:paraId="71FCFB1F" w14:textId="113AD6A4" w:rsidR="009F0192" w:rsidRPr="00D858C8" w:rsidRDefault="009F0192" w:rsidP="009F0192">
      <w:pPr>
        <w:spacing w:beforeLines="50" w:before="120" w:afterLines="50" w:after="120"/>
        <w:jc w:val="both"/>
        <w:rPr>
          <w:rFonts w:eastAsia="ＭＳ 明朝"/>
          <w:sz w:val="22"/>
          <w:szCs w:val="22"/>
          <w:lang w:eastAsia="ja-JP"/>
        </w:rPr>
      </w:pPr>
    </w:p>
    <w:p w14:paraId="21A43824" w14:textId="3056074D" w:rsidR="009F0192" w:rsidRDefault="009F0192" w:rsidP="009F0192">
      <w:pPr>
        <w:spacing w:beforeLines="50" w:before="120" w:afterLines="50" w:after="120"/>
        <w:jc w:val="both"/>
        <w:rPr>
          <w:rFonts w:eastAsia="ＭＳ 明朝"/>
          <w:sz w:val="22"/>
          <w:szCs w:val="22"/>
          <w:lang w:eastAsia="ja-JP"/>
        </w:rPr>
      </w:pPr>
      <w:r w:rsidRPr="009F0192">
        <w:rPr>
          <w:rFonts w:eastAsia="ＭＳ 明朝"/>
          <w:noProof/>
          <w:sz w:val="22"/>
          <w:szCs w:val="22"/>
          <w:lang w:eastAsia="ja-JP"/>
        </w:rPr>
        <w:lastRenderedPageBreak/>
        <w:drawing>
          <wp:inline distT="0" distB="0" distL="0" distR="0" wp14:anchorId="6F62D4F5" wp14:editId="3D90BFDA">
            <wp:extent cx="6170344" cy="1438400"/>
            <wp:effectExtent l="0" t="0" r="1905" b="0"/>
            <wp:docPr id="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pic:cNvPicPr>
                      <a:picLocks noChangeAspect="1"/>
                    </pic:cNvPicPr>
                  </pic:nvPicPr>
                  <pic:blipFill>
                    <a:blip r:embed="rId12"/>
                    <a:stretch>
                      <a:fillRect/>
                    </a:stretch>
                  </pic:blipFill>
                  <pic:spPr>
                    <a:xfrm>
                      <a:off x="0" y="0"/>
                      <a:ext cx="6170344" cy="1438400"/>
                    </a:xfrm>
                    <a:prstGeom prst="rect">
                      <a:avLst/>
                    </a:prstGeom>
                  </pic:spPr>
                </pic:pic>
              </a:graphicData>
            </a:graphic>
          </wp:inline>
        </w:drawing>
      </w:r>
    </w:p>
    <w:p w14:paraId="340A6FCE" w14:textId="6266D413" w:rsidR="009F0192" w:rsidRPr="00700854" w:rsidRDefault="009F0192" w:rsidP="009F0192">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3-1 </w:t>
      </w:r>
      <w:r w:rsidR="00D858C8">
        <w:rPr>
          <w:rFonts w:eastAsia="ＭＳ 明朝"/>
          <w:sz w:val="22"/>
          <w:szCs w:val="22"/>
          <w:lang w:eastAsia="ja-JP"/>
        </w:rPr>
        <w:t>A</w:t>
      </w:r>
      <w:r w:rsidR="00D858C8" w:rsidRPr="00D858C8">
        <w:rPr>
          <w:rFonts w:eastAsia="ＭＳ 明朝"/>
          <w:sz w:val="22"/>
          <w:szCs w:val="22"/>
          <w:lang w:eastAsia="ja-JP"/>
        </w:rPr>
        <w:t xml:space="preserve"> UE observe</w:t>
      </w:r>
      <w:r w:rsidR="00D858C8">
        <w:rPr>
          <w:rFonts w:eastAsia="ＭＳ 明朝"/>
          <w:sz w:val="22"/>
          <w:szCs w:val="22"/>
          <w:lang w:eastAsia="ja-JP"/>
        </w:rPr>
        <w:t>s</w:t>
      </w:r>
      <w:r w:rsidR="00D858C8" w:rsidRPr="00D858C8">
        <w:rPr>
          <w:rFonts w:eastAsia="ＭＳ 明朝"/>
          <w:sz w:val="22"/>
          <w:szCs w:val="22"/>
          <w:lang w:eastAsia="ja-JP"/>
        </w:rPr>
        <w:t xml:space="preserve"> multiple appropriate beams across multiple RRHs at the same time</w:t>
      </w:r>
      <w:r>
        <w:rPr>
          <w:rFonts w:eastAsia="ＭＳ 明朝"/>
          <w:sz w:val="22"/>
          <w:szCs w:val="22"/>
          <w:lang w:eastAsia="ja-JP"/>
        </w:rPr>
        <w:t>.</w:t>
      </w:r>
    </w:p>
    <w:p w14:paraId="19490728" w14:textId="1DE2BAF1" w:rsidR="009F0192" w:rsidRDefault="009F0192" w:rsidP="009F0192">
      <w:pPr>
        <w:spacing w:beforeLines="50" w:before="120" w:afterLines="50" w:after="120"/>
        <w:jc w:val="both"/>
        <w:rPr>
          <w:rFonts w:eastAsia="ＭＳ 明朝"/>
          <w:sz w:val="22"/>
          <w:szCs w:val="22"/>
          <w:lang w:eastAsia="ja-JP"/>
        </w:rPr>
      </w:pPr>
    </w:p>
    <w:p w14:paraId="76A1096E" w14:textId="65A3411F" w:rsidR="00D253D3" w:rsidRDefault="008B32DE" w:rsidP="009F0192">
      <w:pPr>
        <w:spacing w:beforeLines="50" w:before="120" w:afterLines="50" w:after="120"/>
        <w:jc w:val="both"/>
        <w:rPr>
          <w:rFonts w:eastAsia="ＭＳ 明朝"/>
          <w:sz w:val="22"/>
          <w:szCs w:val="22"/>
          <w:lang w:eastAsia="ja-JP"/>
        </w:rPr>
      </w:pPr>
      <w:r>
        <w:rPr>
          <w:rFonts w:eastAsia="ＭＳ 明朝" w:hint="eastAsia"/>
          <w:sz w:val="22"/>
          <w:szCs w:val="22"/>
          <w:lang w:eastAsia="ja-JP"/>
        </w:rPr>
        <w:t xml:space="preserve">For PDCCH, </w:t>
      </w:r>
      <w:r w:rsidR="00D1686B">
        <w:rPr>
          <w:rFonts w:eastAsia="ＭＳ 明朝"/>
          <w:sz w:val="22"/>
          <w:szCs w:val="22"/>
          <w:lang w:eastAsia="ja-JP"/>
        </w:rPr>
        <w:t>Rel.15/16 specification only supports option 1</w:t>
      </w:r>
      <w:r w:rsidR="00AB2599">
        <w:rPr>
          <w:rFonts w:eastAsia="ＭＳ 明朝"/>
          <w:sz w:val="22"/>
          <w:szCs w:val="22"/>
          <w:lang w:eastAsia="ja-JP"/>
        </w:rPr>
        <w:t xml:space="preserve"> (illustrated in Figure 3-2)</w:t>
      </w:r>
      <w:r w:rsidR="00D253D3">
        <w:rPr>
          <w:rFonts w:eastAsia="ＭＳ 明朝"/>
          <w:sz w:val="22"/>
          <w:szCs w:val="22"/>
          <w:lang w:eastAsia="ja-JP"/>
        </w:rPr>
        <w:t xml:space="preserve">. </w:t>
      </w:r>
    </w:p>
    <w:p w14:paraId="141DFBD1" w14:textId="2A99EE37" w:rsidR="00D253D3" w:rsidRPr="00CD4D3C" w:rsidRDefault="00D253D3" w:rsidP="009F0192">
      <w:pPr>
        <w:spacing w:beforeLines="50" w:before="120" w:afterLines="50" w:after="120"/>
        <w:jc w:val="both"/>
        <w:rPr>
          <w:rFonts w:eastAsia="ＭＳ 明朝"/>
          <w:b/>
          <w:sz w:val="22"/>
          <w:szCs w:val="22"/>
          <w:lang w:eastAsia="ja-JP"/>
        </w:rPr>
      </w:pPr>
      <w:r>
        <w:rPr>
          <w:rFonts w:eastAsia="ＭＳ 明朝"/>
          <w:b/>
          <w:sz w:val="22"/>
          <w:szCs w:val="22"/>
          <w:lang w:eastAsia="ja-JP"/>
        </w:rPr>
        <w:t>Option</w:t>
      </w:r>
      <w:r w:rsidRPr="00CD4D3C">
        <w:rPr>
          <w:rFonts w:eastAsia="ＭＳ 明朝"/>
          <w:b/>
          <w:sz w:val="22"/>
          <w:szCs w:val="22"/>
          <w:lang w:eastAsia="ja-JP"/>
        </w:rPr>
        <w:t xml:space="preserve"> 1</w:t>
      </w:r>
      <w:r>
        <w:rPr>
          <w:rFonts w:eastAsia="ＭＳ 明朝"/>
          <w:b/>
          <w:sz w:val="22"/>
          <w:szCs w:val="22"/>
          <w:lang w:eastAsia="ja-JP"/>
        </w:rPr>
        <w:t xml:space="preserve"> (Rel.15)</w:t>
      </w:r>
      <w:r w:rsidRPr="00CD4D3C">
        <w:rPr>
          <w:rFonts w:eastAsia="ＭＳ 明朝"/>
          <w:b/>
          <w:sz w:val="22"/>
          <w:szCs w:val="22"/>
          <w:lang w:eastAsia="ja-JP"/>
        </w:rPr>
        <w:t>: two CORESETs are configured and each CORESET has one QCL/TCI-state. DCI is received in either CORESET</w:t>
      </w:r>
    </w:p>
    <w:p w14:paraId="18C57C28" w14:textId="1F1F7DCA" w:rsidR="00D1686B" w:rsidRDefault="00D1686B" w:rsidP="00D1686B">
      <w:pPr>
        <w:spacing w:beforeLines="50" w:before="120" w:afterLines="50" w:after="120"/>
        <w:jc w:val="both"/>
        <w:rPr>
          <w:rFonts w:eastAsia="ＭＳ 明朝"/>
          <w:sz w:val="22"/>
          <w:szCs w:val="22"/>
          <w:lang w:eastAsia="ja-JP"/>
        </w:rPr>
      </w:pPr>
      <w:r>
        <w:rPr>
          <w:rFonts w:eastAsia="ＭＳ 明朝" w:hint="eastAsia"/>
          <w:sz w:val="22"/>
          <w:szCs w:val="22"/>
          <w:lang w:eastAsia="ja-JP"/>
        </w:rPr>
        <w:t xml:space="preserve">Option 1 enables dynamic </w:t>
      </w:r>
      <w:r>
        <w:rPr>
          <w:rFonts w:eastAsia="ＭＳ 明朝"/>
          <w:sz w:val="22"/>
          <w:szCs w:val="22"/>
          <w:lang w:eastAsia="ja-JP"/>
        </w:rPr>
        <w:t>switching</w:t>
      </w:r>
      <w:r>
        <w:rPr>
          <w:rFonts w:eastAsia="ＭＳ 明朝" w:hint="eastAsia"/>
          <w:sz w:val="22"/>
          <w:szCs w:val="22"/>
          <w:lang w:eastAsia="ja-JP"/>
        </w:rPr>
        <w:t xml:space="preserve"> </w:t>
      </w:r>
      <w:r>
        <w:rPr>
          <w:rFonts w:eastAsia="ＭＳ 明朝"/>
          <w:sz w:val="22"/>
          <w:szCs w:val="22"/>
          <w:lang w:eastAsia="ja-JP"/>
        </w:rPr>
        <w:t xml:space="preserve">of TCI state, by selecting </w:t>
      </w:r>
      <w:r w:rsidR="007233BA">
        <w:rPr>
          <w:rFonts w:eastAsia="ＭＳ 明朝"/>
          <w:sz w:val="22"/>
          <w:szCs w:val="22"/>
          <w:lang w:eastAsia="ja-JP"/>
        </w:rPr>
        <w:t xml:space="preserve">the </w:t>
      </w:r>
      <w:r>
        <w:rPr>
          <w:rFonts w:eastAsia="ＭＳ 明朝"/>
          <w:sz w:val="22"/>
          <w:szCs w:val="22"/>
          <w:lang w:eastAsia="ja-JP"/>
        </w:rPr>
        <w:t>CORESET. If gNB knows which TCI state</w:t>
      </w:r>
      <w:r w:rsidR="00026D34">
        <w:rPr>
          <w:rFonts w:eastAsia="ＭＳ 明朝"/>
          <w:sz w:val="22"/>
          <w:szCs w:val="22"/>
          <w:lang w:eastAsia="ja-JP"/>
        </w:rPr>
        <w:t xml:space="preserve"> is the best for UE, option 1 is possible</w:t>
      </w:r>
      <w:r>
        <w:rPr>
          <w:rFonts w:eastAsia="ＭＳ 明朝"/>
          <w:sz w:val="22"/>
          <w:szCs w:val="22"/>
          <w:lang w:eastAsia="ja-JP"/>
        </w:rPr>
        <w:t xml:space="preserve">. However, in HST scenario, the best beam is changed quickly, it would be difficult for gNB to know the best beam for always. Also, as mentioned in observation 3-1, </w:t>
      </w:r>
      <w:r w:rsidRPr="00D1686B">
        <w:rPr>
          <w:rFonts w:eastAsia="ＭＳ 明朝"/>
          <w:sz w:val="22"/>
          <w:szCs w:val="22"/>
          <w:lang w:eastAsia="ja-JP"/>
        </w:rPr>
        <w:t>multiple appropriate beams</w:t>
      </w:r>
      <w:r>
        <w:rPr>
          <w:rFonts w:eastAsia="ＭＳ 明朝"/>
          <w:sz w:val="22"/>
          <w:szCs w:val="22"/>
          <w:lang w:eastAsia="ja-JP"/>
        </w:rPr>
        <w:t xml:space="preserve"> would be observed at a UE at the same time. However, Rel.15/16 only support single QCL/TCI-state for </w:t>
      </w:r>
      <w:r w:rsidR="00775C26">
        <w:rPr>
          <w:rFonts w:eastAsia="ＭＳ 明朝"/>
          <w:sz w:val="22"/>
          <w:szCs w:val="22"/>
          <w:lang w:eastAsia="ja-JP"/>
        </w:rPr>
        <w:t xml:space="preserve">the </w:t>
      </w:r>
      <w:r>
        <w:rPr>
          <w:rFonts w:eastAsia="ＭＳ 明朝"/>
          <w:sz w:val="22"/>
          <w:szCs w:val="22"/>
          <w:lang w:eastAsia="ja-JP"/>
        </w:rPr>
        <w:t>DCI reception.</w:t>
      </w:r>
    </w:p>
    <w:p w14:paraId="66F212CB" w14:textId="7C5D7EA4" w:rsidR="00D1686B" w:rsidRDefault="00D1686B" w:rsidP="00D1686B">
      <w:pPr>
        <w:spacing w:beforeLines="50" w:before="120" w:afterLines="50" w:after="120"/>
        <w:jc w:val="both"/>
        <w:rPr>
          <w:rFonts w:eastAsia="ＭＳ 明朝"/>
          <w:sz w:val="22"/>
          <w:szCs w:val="22"/>
          <w:lang w:eastAsia="ja-JP"/>
        </w:rPr>
      </w:pPr>
      <w:r>
        <w:rPr>
          <w:rFonts w:eastAsia="ＭＳ 明朝"/>
          <w:sz w:val="22"/>
          <w:szCs w:val="22"/>
          <w:lang w:eastAsia="ja-JP"/>
        </w:rPr>
        <w:t>Hence, as enhancement for HST SFN, following option 2 can be considered (illustrated in Figure 3-2)</w:t>
      </w:r>
    </w:p>
    <w:p w14:paraId="2D323DBC" w14:textId="756F1926" w:rsidR="00D253D3" w:rsidRPr="00CD4D3C" w:rsidRDefault="00D253D3" w:rsidP="00D253D3">
      <w:pPr>
        <w:spacing w:beforeLines="50" w:before="120" w:afterLines="50" w:after="120"/>
        <w:jc w:val="both"/>
        <w:rPr>
          <w:rFonts w:eastAsia="ＭＳ 明朝"/>
          <w:b/>
          <w:sz w:val="22"/>
          <w:szCs w:val="22"/>
          <w:lang w:eastAsia="ja-JP"/>
        </w:rPr>
      </w:pPr>
      <w:r>
        <w:rPr>
          <w:rFonts w:eastAsia="ＭＳ 明朝"/>
          <w:b/>
          <w:sz w:val="22"/>
          <w:szCs w:val="22"/>
          <w:lang w:eastAsia="ja-JP"/>
        </w:rPr>
        <w:t>Option</w:t>
      </w:r>
      <w:r w:rsidRPr="00CD4D3C">
        <w:rPr>
          <w:rFonts w:eastAsia="ＭＳ 明朝"/>
          <w:b/>
          <w:sz w:val="22"/>
          <w:szCs w:val="22"/>
          <w:lang w:eastAsia="ja-JP"/>
        </w:rPr>
        <w:t xml:space="preserve"> 2</w:t>
      </w:r>
      <w:r>
        <w:rPr>
          <w:rFonts w:eastAsia="ＭＳ 明朝"/>
          <w:b/>
          <w:sz w:val="22"/>
          <w:szCs w:val="22"/>
          <w:lang w:eastAsia="ja-JP"/>
        </w:rPr>
        <w:t xml:space="preserve"> (possible enh.)</w:t>
      </w:r>
      <w:r w:rsidRPr="00CD4D3C">
        <w:rPr>
          <w:rFonts w:eastAsia="ＭＳ 明朝"/>
          <w:b/>
          <w:sz w:val="22"/>
          <w:szCs w:val="22"/>
          <w:lang w:eastAsia="ja-JP"/>
        </w:rPr>
        <w:t>: one CORESET ha</w:t>
      </w:r>
      <w:r w:rsidR="00775C26">
        <w:rPr>
          <w:rFonts w:eastAsia="ＭＳ 明朝"/>
          <w:b/>
          <w:sz w:val="22"/>
          <w:szCs w:val="22"/>
          <w:lang w:eastAsia="ja-JP"/>
        </w:rPr>
        <w:t>s</w:t>
      </w:r>
      <w:r w:rsidRPr="00CD4D3C">
        <w:rPr>
          <w:rFonts w:eastAsia="ＭＳ 明朝"/>
          <w:b/>
          <w:sz w:val="22"/>
          <w:szCs w:val="22"/>
          <w:lang w:eastAsia="ja-JP"/>
        </w:rPr>
        <w:t xml:space="preserve"> multiple QCL/TCI-states. DCI is received in </w:t>
      </w:r>
      <w:r w:rsidR="00C17D90">
        <w:rPr>
          <w:rFonts w:eastAsia="ＭＳ 明朝"/>
          <w:b/>
          <w:sz w:val="22"/>
          <w:szCs w:val="22"/>
          <w:lang w:eastAsia="ja-JP"/>
        </w:rPr>
        <w:t>the CORESET with multiple QCL/TCI-state</w:t>
      </w:r>
      <w:r w:rsidR="00775C26">
        <w:rPr>
          <w:rFonts w:eastAsia="ＭＳ 明朝"/>
          <w:b/>
          <w:sz w:val="22"/>
          <w:szCs w:val="22"/>
          <w:lang w:eastAsia="ja-JP"/>
        </w:rPr>
        <w:t>s</w:t>
      </w:r>
    </w:p>
    <w:p w14:paraId="67323CCE" w14:textId="376BCD85" w:rsidR="001E0ADE" w:rsidRDefault="00C17D90" w:rsidP="009F0192">
      <w:pPr>
        <w:spacing w:beforeLines="50" w:before="120" w:afterLines="50" w:after="120"/>
        <w:jc w:val="both"/>
        <w:rPr>
          <w:rFonts w:eastAsia="ＭＳ 明朝"/>
          <w:sz w:val="22"/>
          <w:szCs w:val="22"/>
          <w:lang w:eastAsia="ja-JP"/>
        </w:rPr>
      </w:pPr>
      <w:r>
        <w:rPr>
          <w:rFonts w:eastAsia="ＭＳ 明朝"/>
          <w:sz w:val="22"/>
          <w:szCs w:val="22"/>
          <w:lang w:eastAsia="ja-JP"/>
        </w:rPr>
        <w:t>In o</w:t>
      </w:r>
      <w:r w:rsidR="001E0ADE">
        <w:rPr>
          <w:rFonts w:eastAsia="ＭＳ 明朝"/>
          <w:sz w:val="22"/>
          <w:szCs w:val="22"/>
          <w:lang w:eastAsia="ja-JP"/>
        </w:rPr>
        <w:t>ption 2</w:t>
      </w:r>
      <w:r>
        <w:rPr>
          <w:rFonts w:eastAsia="ＭＳ 明朝"/>
          <w:sz w:val="22"/>
          <w:szCs w:val="22"/>
          <w:lang w:eastAsia="ja-JP"/>
        </w:rPr>
        <w:t>, DCI is received in the CORESET w</w:t>
      </w:r>
      <w:r w:rsidR="00AB2599">
        <w:rPr>
          <w:rFonts w:eastAsia="ＭＳ 明朝"/>
          <w:sz w:val="22"/>
          <w:szCs w:val="22"/>
          <w:lang w:eastAsia="ja-JP"/>
        </w:rPr>
        <w:t>ith multiple QCL/TCI-state. Even if beam quality of either QCL/TCI-state becomes lower, DCI can be received by the other QCL/TCI-state.</w:t>
      </w:r>
    </w:p>
    <w:p w14:paraId="2C653CBB" w14:textId="3F3EC515" w:rsidR="00D858C8" w:rsidRDefault="00D253D3" w:rsidP="00CD4D3C">
      <w:pPr>
        <w:spacing w:beforeLines="50" w:before="120" w:afterLines="50" w:after="120"/>
        <w:jc w:val="center"/>
        <w:rPr>
          <w:rFonts w:eastAsia="ＭＳ 明朝"/>
          <w:sz w:val="22"/>
          <w:szCs w:val="22"/>
          <w:lang w:eastAsia="ja-JP"/>
        </w:rPr>
      </w:pPr>
      <w:r w:rsidRPr="00D253D3">
        <w:rPr>
          <w:rFonts w:eastAsia="ＭＳ 明朝"/>
          <w:noProof/>
          <w:sz w:val="22"/>
          <w:szCs w:val="22"/>
          <w:lang w:eastAsia="ja-JP"/>
        </w:rPr>
        <w:lastRenderedPageBreak/>
        <w:drawing>
          <wp:inline distT="0" distB="0" distL="0" distR="0" wp14:anchorId="661B9EDA" wp14:editId="4CAA046F">
            <wp:extent cx="4339519" cy="2644800"/>
            <wp:effectExtent l="0" t="0" r="0" b="3175"/>
            <wp:docPr id="178" name="図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図 177"/>
                    <pic:cNvPicPr>
                      <a:picLocks noChangeAspect="1"/>
                    </pic:cNvPicPr>
                  </pic:nvPicPr>
                  <pic:blipFill>
                    <a:blip r:embed="rId13"/>
                    <a:stretch>
                      <a:fillRect/>
                    </a:stretch>
                  </pic:blipFill>
                  <pic:spPr>
                    <a:xfrm>
                      <a:off x="0" y="0"/>
                      <a:ext cx="4339519" cy="2644800"/>
                    </a:xfrm>
                    <a:prstGeom prst="rect">
                      <a:avLst/>
                    </a:prstGeom>
                  </pic:spPr>
                </pic:pic>
              </a:graphicData>
            </a:graphic>
          </wp:inline>
        </w:drawing>
      </w:r>
    </w:p>
    <w:p w14:paraId="4AA61C8C" w14:textId="18E0BB39" w:rsidR="00D858C8" w:rsidRPr="00700854" w:rsidRDefault="00D858C8" w:rsidP="00D858C8">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3-2 </w:t>
      </w:r>
      <w:r w:rsidR="00D1686B">
        <w:rPr>
          <w:rFonts w:eastAsia="ＭＳ 明朝"/>
          <w:sz w:val="22"/>
          <w:szCs w:val="22"/>
          <w:lang w:eastAsia="ja-JP"/>
        </w:rPr>
        <w:t>Rel.15 and possible enhancement</w:t>
      </w:r>
      <w:r w:rsidR="00A90000">
        <w:rPr>
          <w:rFonts w:eastAsia="ＭＳ 明朝"/>
          <w:sz w:val="22"/>
          <w:szCs w:val="22"/>
          <w:lang w:eastAsia="ja-JP"/>
        </w:rPr>
        <w:t xml:space="preserve"> for PDCCH</w:t>
      </w:r>
      <w:r>
        <w:rPr>
          <w:rFonts w:eastAsia="ＭＳ 明朝"/>
          <w:sz w:val="22"/>
          <w:szCs w:val="22"/>
          <w:lang w:eastAsia="ja-JP"/>
        </w:rPr>
        <w:t>.</w:t>
      </w:r>
    </w:p>
    <w:p w14:paraId="3ED893D1" w14:textId="77777777" w:rsidR="00AB2599" w:rsidRDefault="00AB2599" w:rsidP="00AB2599">
      <w:pPr>
        <w:spacing w:beforeLines="50" w:before="120" w:afterLines="50" w:after="120"/>
        <w:jc w:val="both"/>
        <w:rPr>
          <w:rFonts w:eastAsia="ＭＳ 明朝"/>
          <w:sz w:val="22"/>
          <w:szCs w:val="22"/>
          <w:lang w:eastAsia="ja-JP"/>
        </w:rPr>
      </w:pPr>
    </w:p>
    <w:p w14:paraId="00019CFE" w14:textId="0A6CA433" w:rsidR="00AB2599" w:rsidRDefault="00AB2599" w:rsidP="00AB2599">
      <w:pPr>
        <w:spacing w:beforeLines="50" w:before="120" w:afterLines="50" w:after="120"/>
        <w:jc w:val="both"/>
        <w:rPr>
          <w:rFonts w:eastAsia="ＭＳ 明朝"/>
          <w:sz w:val="22"/>
          <w:szCs w:val="22"/>
          <w:lang w:eastAsia="ja-JP"/>
        </w:rPr>
      </w:pPr>
      <w:r>
        <w:rPr>
          <w:rFonts w:eastAsia="ＭＳ 明朝" w:hint="eastAsia"/>
          <w:sz w:val="22"/>
          <w:szCs w:val="22"/>
          <w:lang w:eastAsia="ja-JP"/>
        </w:rPr>
        <w:t>For PD</w:t>
      </w:r>
      <w:r w:rsidR="00A90000">
        <w:rPr>
          <w:rFonts w:eastAsia="ＭＳ 明朝"/>
          <w:sz w:val="22"/>
          <w:szCs w:val="22"/>
          <w:lang w:eastAsia="ja-JP"/>
        </w:rPr>
        <w:t>S</w:t>
      </w:r>
      <w:r>
        <w:rPr>
          <w:rFonts w:eastAsia="ＭＳ 明朝" w:hint="eastAsia"/>
          <w:sz w:val="22"/>
          <w:szCs w:val="22"/>
          <w:lang w:eastAsia="ja-JP"/>
        </w:rPr>
        <w:t xml:space="preserve">CH, </w:t>
      </w:r>
      <w:r w:rsidR="00D1686B">
        <w:rPr>
          <w:rFonts w:eastAsia="ＭＳ 明朝"/>
          <w:sz w:val="22"/>
          <w:szCs w:val="22"/>
          <w:lang w:eastAsia="ja-JP"/>
        </w:rPr>
        <w:t>Rel. 16 specification only supports option 1 as M-TRP of Non-Coherent Joint Transmission (NCJT) (illustrated in Figure 3-</w:t>
      </w:r>
      <w:r w:rsidR="00E85173">
        <w:rPr>
          <w:rFonts w:eastAsia="ＭＳ 明朝"/>
          <w:sz w:val="22"/>
          <w:szCs w:val="22"/>
          <w:lang w:eastAsia="ja-JP"/>
        </w:rPr>
        <w:t>3</w:t>
      </w:r>
      <w:r w:rsidR="00D1686B">
        <w:rPr>
          <w:rFonts w:eastAsia="ＭＳ 明朝"/>
          <w:sz w:val="22"/>
          <w:szCs w:val="22"/>
          <w:lang w:eastAsia="ja-JP"/>
        </w:rPr>
        <w:t>).</w:t>
      </w:r>
      <w:r>
        <w:rPr>
          <w:rFonts w:eastAsia="ＭＳ 明朝"/>
          <w:sz w:val="22"/>
          <w:szCs w:val="22"/>
          <w:lang w:eastAsia="ja-JP"/>
        </w:rPr>
        <w:t xml:space="preserve"> </w:t>
      </w:r>
    </w:p>
    <w:p w14:paraId="58F06495" w14:textId="04E3E470" w:rsidR="00AB2599" w:rsidRDefault="00AB2599" w:rsidP="00AB2599">
      <w:pPr>
        <w:spacing w:beforeLines="50" w:before="120" w:afterLines="50" w:after="120"/>
        <w:jc w:val="both"/>
        <w:rPr>
          <w:rFonts w:eastAsia="ＭＳ 明朝"/>
          <w:b/>
          <w:sz w:val="22"/>
          <w:szCs w:val="22"/>
          <w:lang w:eastAsia="ja-JP"/>
        </w:rPr>
      </w:pPr>
      <w:r>
        <w:rPr>
          <w:rFonts w:eastAsia="ＭＳ 明朝"/>
          <w:b/>
          <w:sz w:val="22"/>
          <w:szCs w:val="22"/>
          <w:lang w:eastAsia="ja-JP"/>
        </w:rPr>
        <w:t>Option</w:t>
      </w:r>
      <w:r w:rsidRPr="00DD7FF2">
        <w:rPr>
          <w:rFonts w:eastAsia="ＭＳ 明朝" w:hint="eastAsia"/>
          <w:b/>
          <w:sz w:val="22"/>
          <w:szCs w:val="22"/>
          <w:lang w:eastAsia="ja-JP"/>
        </w:rPr>
        <w:t xml:space="preserve"> 1</w:t>
      </w:r>
      <w:r>
        <w:rPr>
          <w:rFonts w:eastAsia="ＭＳ 明朝"/>
          <w:b/>
          <w:sz w:val="22"/>
          <w:szCs w:val="22"/>
          <w:lang w:eastAsia="ja-JP"/>
        </w:rPr>
        <w:t xml:space="preserve"> (Rel.1</w:t>
      </w:r>
      <w:r w:rsidR="00A90000">
        <w:rPr>
          <w:rFonts w:eastAsia="ＭＳ 明朝"/>
          <w:b/>
          <w:sz w:val="22"/>
          <w:szCs w:val="22"/>
          <w:lang w:eastAsia="ja-JP"/>
        </w:rPr>
        <w:t>6</w:t>
      </w:r>
      <w:r>
        <w:rPr>
          <w:rFonts w:eastAsia="ＭＳ 明朝"/>
          <w:b/>
          <w:sz w:val="22"/>
          <w:szCs w:val="22"/>
          <w:lang w:eastAsia="ja-JP"/>
        </w:rPr>
        <w:t>)</w:t>
      </w:r>
      <w:r w:rsidRPr="00DD7FF2">
        <w:rPr>
          <w:rFonts w:eastAsia="ＭＳ 明朝" w:hint="eastAsia"/>
          <w:b/>
          <w:sz w:val="22"/>
          <w:szCs w:val="22"/>
          <w:lang w:eastAsia="ja-JP"/>
        </w:rPr>
        <w:t>:</w:t>
      </w:r>
      <w:r w:rsidRPr="00DD7FF2">
        <w:rPr>
          <w:rFonts w:eastAsia="ＭＳ 明朝"/>
          <w:b/>
          <w:sz w:val="22"/>
          <w:szCs w:val="22"/>
          <w:lang w:eastAsia="ja-JP"/>
        </w:rPr>
        <w:t xml:space="preserve"> </w:t>
      </w:r>
      <w:r w:rsidR="00A90000">
        <w:rPr>
          <w:rFonts w:eastAsia="ＭＳ 明朝"/>
          <w:b/>
          <w:sz w:val="22"/>
          <w:szCs w:val="22"/>
          <w:lang w:eastAsia="ja-JP"/>
        </w:rPr>
        <w:t>PDSCH of different MIMO layers are transmitted per each TRP</w:t>
      </w:r>
    </w:p>
    <w:p w14:paraId="51EF6B26" w14:textId="2E07711F" w:rsidR="00D1686B" w:rsidRPr="00CD4D3C" w:rsidRDefault="00D1686B" w:rsidP="00AB2599">
      <w:pPr>
        <w:spacing w:beforeLines="50" w:before="120" w:afterLines="50" w:after="120"/>
        <w:jc w:val="both"/>
        <w:rPr>
          <w:rFonts w:eastAsia="ＭＳ 明朝"/>
          <w:sz w:val="22"/>
          <w:szCs w:val="22"/>
          <w:lang w:eastAsia="ja-JP"/>
        </w:rPr>
      </w:pPr>
      <w:r>
        <w:rPr>
          <w:rFonts w:eastAsia="ＭＳ 明朝"/>
          <w:sz w:val="22"/>
          <w:szCs w:val="22"/>
          <w:lang w:eastAsia="ja-JP"/>
        </w:rPr>
        <w:t>Similar as PDCCH, it is beneficial to consider the</w:t>
      </w:r>
      <w:r w:rsidR="00775C26">
        <w:rPr>
          <w:rFonts w:eastAsia="ＭＳ 明朝"/>
          <w:sz w:val="22"/>
          <w:szCs w:val="22"/>
          <w:lang w:eastAsia="ja-JP"/>
        </w:rPr>
        <w:t xml:space="preserve"> following</w:t>
      </w:r>
      <w:r>
        <w:rPr>
          <w:rFonts w:eastAsia="ＭＳ 明朝"/>
          <w:sz w:val="22"/>
          <w:szCs w:val="22"/>
          <w:lang w:eastAsia="ja-JP"/>
        </w:rPr>
        <w:t xml:space="preserve"> option 2 for PDSCH as well. </w:t>
      </w:r>
    </w:p>
    <w:p w14:paraId="194F9DB2" w14:textId="35BF6119" w:rsidR="00AB2599" w:rsidRPr="00DD7FF2" w:rsidRDefault="00AB2599" w:rsidP="00AB2599">
      <w:pPr>
        <w:spacing w:beforeLines="50" w:before="120" w:afterLines="50" w:after="120"/>
        <w:jc w:val="both"/>
        <w:rPr>
          <w:rFonts w:eastAsia="ＭＳ 明朝"/>
          <w:b/>
          <w:sz w:val="22"/>
          <w:szCs w:val="22"/>
          <w:lang w:eastAsia="ja-JP"/>
        </w:rPr>
      </w:pPr>
      <w:r>
        <w:rPr>
          <w:rFonts w:eastAsia="ＭＳ 明朝"/>
          <w:b/>
          <w:sz w:val="22"/>
          <w:szCs w:val="22"/>
          <w:lang w:eastAsia="ja-JP"/>
        </w:rPr>
        <w:t>Option</w:t>
      </w:r>
      <w:r w:rsidRPr="00DD7FF2">
        <w:rPr>
          <w:rFonts w:eastAsia="ＭＳ 明朝" w:hint="eastAsia"/>
          <w:b/>
          <w:sz w:val="22"/>
          <w:szCs w:val="22"/>
          <w:lang w:eastAsia="ja-JP"/>
        </w:rPr>
        <w:t xml:space="preserve"> </w:t>
      </w:r>
      <w:r w:rsidRPr="00DD7FF2">
        <w:rPr>
          <w:rFonts w:eastAsia="ＭＳ 明朝"/>
          <w:b/>
          <w:sz w:val="22"/>
          <w:szCs w:val="22"/>
          <w:lang w:eastAsia="ja-JP"/>
        </w:rPr>
        <w:t>2</w:t>
      </w:r>
      <w:r>
        <w:rPr>
          <w:rFonts w:eastAsia="ＭＳ 明朝"/>
          <w:b/>
          <w:sz w:val="22"/>
          <w:szCs w:val="22"/>
          <w:lang w:eastAsia="ja-JP"/>
        </w:rPr>
        <w:t xml:space="preserve"> (possible enh.)</w:t>
      </w:r>
      <w:r w:rsidRPr="00DD7FF2">
        <w:rPr>
          <w:rFonts w:eastAsia="ＭＳ 明朝" w:hint="eastAsia"/>
          <w:b/>
          <w:sz w:val="22"/>
          <w:szCs w:val="22"/>
          <w:lang w:eastAsia="ja-JP"/>
        </w:rPr>
        <w:t>:</w:t>
      </w:r>
      <w:r w:rsidRPr="00DD7FF2">
        <w:rPr>
          <w:rFonts w:eastAsia="ＭＳ 明朝"/>
          <w:b/>
          <w:sz w:val="22"/>
          <w:szCs w:val="22"/>
          <w:lang w:eastAsia="ja-JP"/>
        </w:rPr>
        <w:t xml:space="preserve"> </w:t>
      </w:r>
      <w:r w:rsidR="00A90000">
        <w:rPr>
          <w:rFonts w:eastAsia="ＭＳ 明朝"/>
          <w:b/>
          <w:sz w:val="22"/>
          <w:szCs w:val="22"/>
          <w:lang w:eastAsia="ja-JP"/>
        </w:rPr>
        <w:t>PDSCH of the same MIMO layers are transmitted per each TRP</w:t>
      </w:r>
    </w:p>
    <w:p w14:paraId="635385BA" w14:textId="5D1A041C" w:rsidR="00D858C8" w:rsidRPr="00325D5F" w:rsidRDefault="0001665E" w:rsidP="009F0192">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option 2, the same PDSCH can be transmitted </w:t>
      </w:r>
      <w:r w:rsidRPr="0001665E">
        <w:rPr>
          <w:rFonts w:eastAsiaTheme="minorEastAsia"/>
          <w:sz w:val="22"/>
          <w:szCs w:val="22"/>
          <w:lang w:eastAsia="zh-CN"/>
        </w:rPr>
        <w:t>with multiple QCL/TCI-state</w:t>
      </w:r>
      <w:r w:rsidR="008C0E32">
        <w:rPr>
          <w:rFonts w:eastAsiaTheme="minorEastAsia"/>
          <w:sz w:val="22"/>
          <w:szCs w:val="22"/>
          <w:lang w:eastAsia="zh-CN"/>
        </w:rPr>
        <w:t>s, hence the reliability can be enhanced.</w:t>
      </w:r>
    </w:p>
    <w:p w14:paraId="3416A6F1" w14:textId="557FB0ED" w:rsidR="00D253D3" w:rsidRDefault="00A90000" w:rsidP="00CD4D3C">
      <w:pPr>
        <w:spacing w:beforeLines="50" w:before="120" w:afterLines="50" w:after="120"/>
        <w:jc w:val="center"/>
        <w:rPr>
          <w:rFonts w:eastAsia="ＭＳ 明朝"/>
          <w:sz w:val="22"/>
          <w:szCs w:val="22"/>
          <w:lang w:eastAsia="ja-JP"/>
        </w:rPr>
      </w:pPr>
      <w:r w:rsidRPr="00A90000">
        <w:rPr>
          <w:rFonts w:eastAsia="ＭＳ 明朝"/>
          <w:noProof/>
          <w:sz w:val="22"/>
          <w:szCs w:val="22"/>
          <w:lang w:eastAsia="ja-JP"/>
        </w:rPr>
        <w:drawing>
          <wp:inline distT="0" distB="0" distL="0" distR="0" wp14:anchorId="4CEF443B" wp14:editId="1219778F">
            <wp:extent cx="4269994" cy="2644800"/>
            <wp:effectExtent l="0" t="0" r="0" b="3175"/>
            <wp:docPr id="165" name="図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図 164"/>
                    <pic:cNvPicPr>
                      <a:picLocks noChangeAspect="1"/>
                    </pic:cNvPicPr>
                  </pic:nvPicPr>
                  <pic:blipFill>
                    <a:blip r:embed="rId14"/>
                    <a:stretch>
                      <a:fillRect/>
                    </a:stretch>
                  </pic:blipFill>
                  <pic:spPr>
                    <a:xfrm>
                      <a:off x="0" y="0"/>
                      <a:ext cx="4269994" cy="2644800"/>
                    </a:xfrm>
                    <a:prstGeom prst="rect">
                      <a:avLst/>
                    </a:prstGeom>
                  </pic:spPr>
                </pic:pic>
              </a:graphicData>
            </a:graphic>
          </wp:inline>
        </w:drawing>
      </w:r>
    </w:p>
    <w:p w14:paraId="6B19D314" w14:textId="7C945F8F" w:rsidR="00A90000" w:rsidRPr="00700854" w:rsidRDefault="00A90000" w:rsidP="00A90000">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3-3 </w:t>
      </w:r>
      <w:r w:rsidR="00D1686B">
        <w:rPr>
          <w:rFonts w:eastAsia="ＭＳ 明朝"/>
          <w:sz w:val="22"/>
          <w:szCs w:val="22"/>
          <w:lang w:eastAsia="ja-JP"/>
        </w:rPr>
        <w:t>Rel.16 and possible enhancement</w:t>
      </w:r>
      <w:r>
        <w:rPr>
          <w:rFonts w:eastAsia="ＭＳ 明朝"/>
          <w:sz w:val="22"/>
          <w:szCs w:val="22"/>
          <w:lang w:eastAsia="ja-JP"/>
        </w:rPr>
        <w:t xml:space="preserve"> for PDSCH.</w:t>
      </w:r>
    </w:p>
    <w:p w14:paraId="1EB36A90" w14:textId="77777777" w:rsidR="00A90000" w:rsidRPr="00A90000" w:rsidRDefault="00A90000" w:rsidP="00CD4D3C">
      <w:pPr>
        <w:spacing w:beforeLines="50" w:before="120" w:afterLines="50" w:after="120"/>
        <w:jc w:val="center"/>
        <w:rPr>
          <w:rFonts w:eastAsia="ＭＳ 明朝"/>
          <w:sz w:val="22"/>
          <w:szCs w:val="22"/>
          <w:lang w:eastAsia="ja-JP"/>
        </w:rPr>
      </w:pPr>
    </w:p>
    <w:p w14:paraId="191E6A06" w14:textId="77777777" w:rsidR="00D253D3" w:rsidRPr="00FD2107" w:rsidRDefault="00D253D3" w:rsidP="00D253D3">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1:</w:t>
      </w:r>
    </w:p>
    <w:p w14:paraId="3ED62E17" w14:textId="77777777" w:rsidR="00D253D3" w:rsidRDefault="00D253D3" w:rsidP="00D253D3">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Consider QCL enhancement that </w:t>
      </w:r>
      <w:r w:rsidRPr="00D858C8">
        <w:rPr>
          <w:rFonts w:ascii="Times New Roman" w:eastAsia="ＭＳ 明朝" w:hAnsi="Times New Roman" w:cs="Times New Roman"/>
          <w:b/>
          <w:i/>
          <w:iCs/>
          <w:color w:val="000000" w:themeColor="text1"/>
          <w:sz w:val="22"/>
          <w:szCs w:val="22"/>
          <w:lang w:eastAsia="ja-JP"/>
        </w:rPr>
        <w:t>the same DMRS port(s)</w:t>
      </w:r>
      <w:r>
        <w:rPr>
          <w:rFonts w:ascii="Times New Roman" w:eastAsia="ＭＳ 明朝" w:hAnsi="Times New Roman" w:cs="Times New Roman"/>
          <w:b/>
          <w:i/>
          <w:iCs/>
          <w:color w:val="000000" w:themeColor="text1"/>
          <w:sz w:val="22"/>
          <w:szCs w:val="22"/>
          <w:lang w:eastAsia="ja-JP"/>
        </w:rPr>
        <w:t xml:space="preserve"> for PDCCH/PDSCH can associate with </w:t>
      </w:r>
      <w:r w:rsidRPr="00D858C8">
        <w:rPr>
          <w:rFonts w:ascii="Times New Roman" w:eastAsia="ＭＳ 明朝" w:hAnsi="Times New Roman" w:cs="Times New Roman"/>
          <w:b/>
          <w:i/>
          <w:iCs/>
          <w:color w:val="000000" w:themeColor="text1"/>
          <w:sz w:val="22"/>
          <w:szCs w:val="22"/>
          <w:lang w:eastAsia="ja-JP"/>
        </w:rPr>
        <w:t>multiple QCL assumptions</w:t>
      </w:r>
    </w:p>
    <w:p w14:paraId="35DDCD6C" w14:textId="77777777" w:rsidR="00D253D3" w:rsidRPr="00325D5F" w:rsidRDefault="00D253D3" w:rsidP="009F0192">
      <w:pPr>
        <w:spacing w:beforeLines="50" w:before="120" w:afterLines="50" w:after="120"/>
        <w:jc w:val="both"/>
        <w:rPr>
          <w:rFonts w:eastAsia="ＭＳ 明朝"/>
          <w:sz w:val="22"/>
          <w:szCs w:val="22"/>
          <w:lang w:eastAsia="ja-JP"/>
        </w:rPr>
      </w:pPr>
    </w:p>
    <w:p w14:paraId="7BE297BA" w14:textId="4F4E77DC" w:rsidR="00980E2A" w:rsidRDefault="00F96BFD" w:rsidP="00980E2A">
      <w:pPr>
        <w:pStyle w:val="1"/>
      </w:pPr>
      <w:r>
        <w:t>B</w:t>
      </w:r>
      <w:r w:rsidR="00980E2A">
        <w:t>eam management enhancement</w:t>
      </w:r>
      <w:r w:rsidR="00980E2A" w:rsidRPr="006A1D17">
        <w:t xml:space="preserve"> </w:t>
      </w:r>
    </w:p>
    <w:p w14:paraId="1D88949D" w14:textId="4C6E0F36" w:rsidR="00D1686B" w:rsidRDefault="005E4F42" w:rsidP="00860087">
      <w:pPr>
        <w:spacing w:beforeLines="50" w:before="120" w:afterLines="50" w:after="120"/>
        <w:jc w:val="both"/>
        <w:rPr>
          <w:rFonts w:eastAsia="ＭＳ 明朝"/>
          <w:sz w:val="22"/>
          <w:szCs w:val="22"/>
          <w:lang w:eastAsia="ja-JP"/>
        </w:rPr>
      </w:pPr>
      <w:r>
        <w:rPr>
          <w:rFonts w:eastAsia="ＭＳ 明朝" w:hint="eastAsia"/>
          <w:sz w:val="22"/>
          <w:szCs w:val="22"/>
          <w:lang w:eastAsia="ja-JP"/>
        </w:rPr>
        <w:t xml:space="preserve">In HST SFN, </w:t>
      </w:r>
      <w:r w:rsidR="000614C7">
        <w:rPr>
          <w:rFonts w:eastAsia="ＭＳ 明朝"/>
          <w:sz w:val="22"/>
          <w:szCs w:val="22"/>
          <w:lang w:eastAsia="ja-JP"/>
        </w:rPr>
        <w:t xml:space="preserve">another important aspect </w:t>
      </w:r>
      <w:r w:rsidR="00741D97">
        <w:rPr>
          <w:rFonts w:eastAsia="ＭＳ 明朝"/>
          <w:sz w:val="22"/>
          <w:szCs w:val="22"/>
          <w:lang w:eastAsia="ja-JP"/>
        </w:rPr>
        <w:t xml:space="preserve">is </w:t>
      </w:r>
      <w:r w:rsidR="000614C7">
        <w:rPr>
          <w:rFonts w:eastAsia="ＭＳ 明朝"/>
          <w:sz w:val="22"/>
          <w:szCs w:val="22"/>
          <w:lang w:eastAsia="ja-JP"/>
        </w:rPr>
        <w:t xml:space="preserve">latency and overhead reduction of the beam management. Since the best beam changes quickly in HST, </w:t>
      </w:r>
      <w:r w:rsidR="00775C26">
        <w:rPr>
          <w:rFonts w:eastAsia="ＭＳ 明朝"/>
          <w:sz w:val="22"/>
          <w:szCs w:val="22"/>
          <w:lang w:eastAsia="ja-JP"/>
        </w:rPr>
        <w:t xml:space="preserve">if we follow Rel.15/16 specification, </w:t>
      </w:r>
      <w:r w:rsidR="00D1686B">
        <w:rPr>
          <w:rFonts w:eastAsia="ＭＳ 明朝"/>
          <w:sz w:val="22"/>
          <w:szCs w:val="22"/>
          <w:lang w:eastAsia="ja-JP"/>
        </w:rPr>
        <w:t xml:space="preserve">frequent beam reporting and beam indication </w:t>
      </w:r>
      <w:r w:rsidR="00775C26">
        <w:rPr>
          <w:rFonts w:eastAsia="ＭＳ 明朝"/>
          <w:sz w:val="22"/>
          <w:szCs w:val="22"/>
          <w:lang w:eastAsia="ja-JP"/>
        </w:rPr>
        <w:t>are</w:t>
      </w:r>
      <w:r w:rsidR="00D1686B">
        <w:rPr>
          <w:rFonts w:eastAsia="ＭＳ 明朝"/>
          <w:sz w:val="22"/>
          <w:szCs w:val="22"/>
          <w:lang w:eastAsia="ja-JP"/>
        </w:rPr>
        <w:t xml:space="preserve"> required </w:t>
      </w:r>
      <w:r w:rsidR="00775C26">
        <w:rPr>
          <w:rFonts w:eastAsia="ＭＳ 明朝"/>
          <w:sz w:val="22"/>
          <w:szCs w:val="22"/>
          <w:lang w:eastAsia="ja-JP"/>
        </w:rPr>
        <w:t>in HST scenario</w:t>
      </w:r>
      <w:r w:rsidR="00D1686B">
        <w:rPr>
          <w:rFonts w:eastAsia="ＭＳ 明朝"/>
          <w:sz w:val="22"/>
          <w:szCs w:val="22"/>
          <w:lang w:eastAsia="ja-JP"/>
        </w:rPr>
        <w:t>.</w:t>
      </w:r>
    </w:p>
    <w:p w14:paraId="724E483F" w14:textId="261B9A7F" w:rsidR="00741D97" w:rsidRDefault="00741D97" w:rsidP="00860087">
      <w:pPr>
        <w:spacing w:beforeLines="50" w:before="120" w:afterLines="50" w:after="120"/>
        <w:jc w:val="both"/>
        <w:rPr>
          <w:rFonts w:eastAsia="ＭＳ 明朝"/>
          <w:sz w:val="22"/>
          <w:szCs w:val="22"/>
          <w:lang w:eastAsia="ja-JP"/>
        </w:rPr>
      </w:pPr>
      <w:r>
        <w:rPr>
          <w:rFonts w:eastAsia="ＭＳ 明朝"/>
          <w:sz w:val="22"/>
          <w:szCs w:val="22"/>
          <w:lang w:eastAsia="ja-JP"/>
        </w:rPr>
        <w:t>In HST</w:t>
      </w:r>
      <w:r w:rsidR="00D1686B">
        <w:rPr>
          <w:rFonts w:eastAsia="ＭＳ 明朝"/>
          <w:sz w:val="22"/>
          <w:szCs w:val="22"/>
          <w:lang w:eastAsia="ja-JP"/>
        </w:rPr>
        <w:t xml:space="preserve"> deployment</w:t>
      </w:r>
      <w:r>
        <w:rPr>
          <w:rFonts w:eastAsia="ＭＳ 明朝"/>
          <w:sz w:val="22"/>
          <w:szCs w:val="22"/>
          <w:lang w:eastAsia="ja-JP"/>
        </w:rPr>
        <w:t xml:space="preserve">, we assume the same set of beams </w:t>
      </w:r>
      <w:r w:rsidR="00BF1AE4">
        <w:rPr>
          <w:rFonts w:eastAsia="ＭＳ 明朝"/>
          <w:sz w:val="22"/>
          <w:szCs w:val="22"/>
          <w:lang w:eastAsia="ja-JP"/>
        </w:rPr>
        <w:t xml:space="preserve">is configured </w:t>
      </w:r>
      <w:r>
        <w:rPr>
          <w:rFonts w:eastAsia="ＭＳ 明朝"/>
          <w:sz w:val="22"/>
          <w:szCs w:val="22"/>
          <w:lang w:eastAsia="ja-JP"/>
        </w:rPr>
        <w:t xml:space="preserve">for each RRH, and </w:t>
      </w:r>
      <w:r w:rsidR="00B22970">
        <w:rPr>
          <w:rFonts w:eastAsia="ＭＳ 明朝"/>
          <w:sz w:val="22"/>
          <w:szCs w:val="22"/>
          <w:lang w:eastAsia="ja-JP"/>
        </w:rPr>
        <w:t xml:space="preserve">the same </w:t>
      </w:r>
      <w:r>
        <w:rPr>
          <w:rFonts w:eastAsia="ＭＳ 明朝"/>
          <w:sz w:val="22"/>
          <w:szCs w:val="22"/>
          <w:lang w:eastAsia="ja-JP"/>
        </w:rPr>
        <w:t>beam transition per RRH</w:t>
      </w:r>
      <w:r w:rsidR="00964034">
        <w:rPr>
          <w:rFonts w:eastAsia="ＭＳ 明朝"/>
          <w:sz w:val="22"/>
          <w:szCs w:val="22"/>
          <w:lang w:eastAsia="ja-JP"/>
        </w:rPr>
        <w:t xml:space="preserve"> is expected</w:t>
      </w:r>
      <w:r>
        <w:rPr>
          <w:rFonts w:eastAsia="ＭＳ 明朝"/>
          <w:sz w:val="22"/>
          <w:szCs w:val="22"/>
          <w:lang w:eastAsia="ja-JP"/>
        </w:rPr>
        <w:t xml:space="preserve"> (</w:t>
      </w:r>
      <w:r w:rsidR="00B22970">
        <w:rPr>
          <w:rFonts w:eastAsia="ＭＳ 明朝"/>
          <w:sz w:val="22"/>
          <w:szCs w:val="22"/>
          <w:lang w:eastAsia="ja-JP"/>
        </w:rPr>
        <w:t>illustrated</w:t>
      </w:r>
      <w:r>
        <w:rPr>
          <w:rFonts w:eastAsia="ＭＳ 明朝"/>
          <w:sz w:val="22"/>
          <w:szCs w:val="22"/>
          <w:lang w:eastAsia="ja-JP"/>
        </w:rPr>
        <w:t xml:space="preserve"> in </w:t>
      </w:r>
      <w:r w:rsidR="00B22970">
        <w:rPr>
          <w:rFonts w:eastAsia="ＭＳ 明朝"/>
          <w:sz w:val="22"/>
          <w:szCs w:val="22"/>
          <w:lang w:eastAsia="ja-JP"/>
        </w:rPr>
        <w:t xml:space="preserve">Figure </w:t>
      </w:r>
      <w:r w:rsidR="00D1686B">
        <w:rPr>
          <w:rFonts w:eastAsia="ＭＳ 明朝"/>
          <w:sz w:val="22"/>
          <w:szCs w:val="22"/>
          <w:lang w:eastAsia="ja-JP"/>
        </w:rPr>
        <w:t>4</w:t>
      </w:r>
      <w:r w:rsidR="00B22970">
        <w:rPr>
          <w:rFonts w:eastAsia="ＭＳ 明朝"/>
          <w:sz w:val="22"/>
          <w:szCs w:val="22"/>
          <w:lang w:eastAsia="ja-JP"/>
        </w:rPr>
        <w:t>-1</w:t>
      </w:r>
      <w:r>
        <w:rPr>
          <w:rFonts w:eastAsia="ＭＳ 明朝"/>
          <w:sz w:val="22"/>
          <w:szCs w:val="22"/>
          <w:lang w:eastAsia="ja-JP"/>
        </w:rPr>
        <w:t>)</w:t>
      </w:r>
      <w:r w:rsidR="00BF1AE4">
        <w:rPr>
          <w:rFonts w:eastAsia="ＭＳ 明朝"/>
          <w:sz w:val="22"/>
          <w:szCs w:val="22"/>
          <w:lang w:eastAsia="ja-JP"/>
        </w:rPr>
        <w:t>. In such scenario,</w:t>
      </w:r>
      <w:r w:rsidR="00D266DE">
        <w:rPr>
          <w:rFonts w:eastAsia="ＭＳ 明朝"/>
          <w:sz w:val="22"/>
          <w:szCs w:val="22"/>
          <w:lang w:eastAsia="ja-JP"/>
        </w:rPr>
        <w:t xml:space="preserve"> </w:t>
      </w:r>
      <w:r w:rsidR="00B22970">
        <w:rPr>
          <w:rFonts w:eastAsia="ＭＳ 明朝"/>
          <w:sz w:val="22"/>
          <w:szCs w:val="22"/>
          <w:lang w:eastAsia="ja-JP"/>
        </w:rPr>
        <w:t>the beam transition is expectable and known at gNB</w:t>
      </w:r>
      <w:r w:rsidR="00D266DE">
        <w:rPr>
          <w:rFonts w:eastAsia="ＭＳ 明朝"/>
          <w:sz w:val="22"/>
          <w:szCs w:val="22"/>
          <w:lang w:eastAsia="ja-JP"/>
        </w:rPr>
        <w:t>.</w:t>
      </w:r>
      <w:r w:rsidR="00964034">
        <w:rPr>
          <w:rFonts w:eastAsia="ＭＳ 明朝"/>
          <w:sz w:val="22"/>
          <w:szCs w:val="22"/>
          <w:lang w:eastAsia="ja-JP"/>
        </w:rPr>
        <w:t xml:space="preserve"> </w:t>
      </w:r>
    </w:p>
    <w:p w14:paraId="279A972C" w14:textId="6E28C2AC" w:rsidR="005E4F42" w:rsidRDefault="005E4F42" w:rsidP="00860087">
      <w:pPr>
        <w:spacing w:beforeLines="50" w:before="120" w:afterLines="50" w:after="120"/>
        <w:jc w:val="both"/>
        <w:rPr>
          <w:rFonts w:eastAsia="ＭＳ 明朝"/>
          <w:sz w:val="22"/>
          <w:szCs w:val="22"/>
          <w:lang w:eastAsia="ja-JP"/>
        </w:rPr>
      </w:pPr>
      <w:r w:rsidRPr="005E4F42">
        <w:rPr>
          <w:rFonts w:eastAsia="ＭＳ 明朝"/>
          <w:noProof/>
          <w:sz w:val="22"/>
          <w:szCs w:val="22"/>
          <w:lang w:eastAsia="ja-JP"/>
        </w:rPr>
        <w:drawing>
          <wp:inline distT="0" distB="0" distL="0" distR="0" wp14:anchorId="2CC12C15" wp14:editId="3A5993EA">
            <wp:extent cx="6332220" cy="2000885"/>
            <wp:effectExtent l="0" t="0" r="0" b="0"/>
            <wp:docPr id="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15"/>
                    <a:stretch>
                      <a:fillRect/>
                    </a:stretch>
                  </pic:blipFill>
                  <pic:spPr>
                    <a:xfrm>
                      <a:off x="0" y="0"/>
                      <a:ext cx="6332220" cy="2000885"/>
                    </a:xfrm>
                    <a:prstGeom prst="rect">
                      <a:avLst/>
                    </a:prstGeom>
                  </pic:spPr>
                </pic:pic>
              </a:graphicData>
            </a:graphic>
          </wp:inline>
        </w:drawing>
      </w:r>
    </w:p>
    <w:p w14:paraId="012B35C9" w14:textId="0C02BD93" w:rsidR="00B22970" w:rsidRPr="00700854" w:rsidRDefault="00B22970" w:rsidP="00B22970">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w:t>
      </w:r>
      <w:r w:rsidR="00D1686B">
        <w:rPr>
          <w:rFonts w:eastAsia="ＭＳ 明朝"/>
          <w:sz w:val="22"/>
          <w:szCs w:val="22"/>
          <w:lang w:eastAsia="ja-JP"/>
        </w:rPr>
        <w:t>4</w:t>
      </w:r>
      <w:r>
        <w:rPr>
          <w:rFonts w:eastAsia="ＭＳ 明朝"/>
          <w:sz w:val="22"/>
          <w:szCs w:val="22"/>
          <w:lang w:eastAsia="ja-JP"/>
        </w:rPr>
        <w:t xml:space="preserve">-1 </w:t>
      </w:r>
      <w:r w:rsidR="00964034">
        <w:rPr>
          <w:rFonts w:eastAsia="ＭＳ 明朝"/>
          <w:sz w:val="22"/>
          <w:szCs w:val="22"/>
          <w:lang w:eastAsia="ja-JP"/>
        </w:rPr>
        <w:t xml:space="preserve">example of </w:t>
      </w:r>
      <w:r>
        <w:rPr>
          <w:rFonts w:eastAsia="ＭＳ 明朝"/>
          <w:sz w:val="22"/>
          <w:szCs w:val="22"/>
          <w:lang w:eastAsia="ja-JP"/>
        </w:rPr>
        <w:t>multi beam operation in SFN</w:t>
      </w:r>
      <w:r w:rsidRPr="00B22970">
        <w:t xml:space="preserve"> </w:t>
      </w:r>
      <w:r w:rsidRPr="00B22970">
        <w:rPr>
          <w:rFonts w:eastAsia="ＭＳ 明朝"/>
          <w:sz w:val="22"/>
          <w:szCs w:val="22"/>
          <w:lang w:eastAsia="ja-JP"/>
        </w:rPr>
        <w:t xml:space="preserve">with </w:t>
      </w:r>
      <w:r>
        <w:rPr>
          <w:rFonts w:eastAsia="ＭＳ 明朝"/>
          <w:sz w:val="22"/>
          <w:szCs w:val="22"/>
          <w:lang w:eastAsia="ja-JP"/>
        </w:rPr>
        <w:t>multiple</w:t>
      </w:r>
      <w:r w:rsidRPr="00B22970">
        <w:rPr>
          <w:rFonts w:eastAsia="ＭＳ 明朝"/>
          <w:sz w:val="22"/>
          <w:szCs w:val="22"/>
          <w:lang w:eastAsia="ja-JP"/>
        </w:rPr>
        <w:t xml:space="preserve"> RRHs</w:t>
      </w:r>
      <w:r>
        <w:rPr>
          <w:rFonts w:eastAsia="ＭＳ 明朝"/>
          <w:sz w:val="22"/>
          <w:szCs w:val="22"/>
          <w:lang w:eastAsia="ja-JP"/>
        </w:rPr>
        <w:t>.</w:t>
      </w:r>
    </w:p>
    <w:p w14:paraId="47D5442B" w14:textId="43B8847C" w:rsidR="005E4F42" w:rsidRDefault="005E4F42" w:rsidP="00860087">
      <w:pPr>
        <w:spacing w:beforeLines="50" w:before="120" w:afterLines="50" w:after="120"/>
        <w:jc w:val="both"/>
        <w:rPr>
          <w:rFonts w:eastAsia="ＭＳ 明朝"/>
          <w:sz w:val="22"/>
          <w:szCs w:val="22"/>
          <w:lang w:eastAsia="ja-JP"/>
        </w:rPr>
      </w:pPr>
    </w:p>
    <w:p w14:paraId="18BF54BA" w14:textId="17D4E0DB" w:rsidR="00D266DE" w:rsidRDefault="00D266DE" w:rsidP="00860087">
      <w:pPr>
        <w:spacing w:beforeLines="50" w:before="120" w:afterLines="50" w:after="120"/>
        <w:jc w:val="both"/>
        <w:rPr>
          <w:rFonts w:eastAsia="ＭＳ 明朝"/>
          <w:sz w:val="22"/>
          <w:szCs w:val="22"/>
          <w:lang w:eastAsia="ja-JP"/>
        </w:rPr>
      </w:pPr>
      <w:r>
        <w:rPr>
          <w:rFonts w:eastAsia="ＭＳ 明朝"/>
          <w:sz w:val="22"/>
          <w:szCs w:val="22"/>
          <w:lang w:eastAsia="ja-JP"/>
        </w:rPr>
        <w:t xml:space="preserve">If the beam transition information </w:t>
      </w:r>
      <w:r w:rsidR="00BF1AE4">
        <w:rPr>
          <w:rFonts w:eastAsia="ＭＳ 明朝"/>
          <w:sz w:val="22"/>
          <w:szCs w:val="22"/>
          <w:lang w:eastAsia="ja-JP"/>
        </w:rPr>
        <w:t>(</w:t>
      </w:r>
      <w:r>
        <w:rPr>
          <w:rFonts w:eastAsia="ＭＳ 明朝"/>
          <w:sz w:val="22"/>
          <w:szCs w:val="22"/>
          <w:lang w:eastAsia="ja-JP"/>
        </w:rPr>
        <w:t xml:space="preserve">illustrated in figure </w:t>
      </w:r>
      <w:r w:rsidR="00D1686B">
        <w:rPr>
          <w:rFonts w:eastAsia="ＭＳ 明朝"/>
          <w:sz w:val="22"/>
          <w:szCs w:val="22"/>
          <w:lang w:eastAsia="ja-JP"/>
        </w:rPr>
        <w:t>4</w:t>
      </w:r>
      <w:r>
        <w:rPr>
          <w:rFonts w:eastAsia="ＭＳ 明朝"/>
          <w:sz w:val="22"/>
          <w:szCs w:val="22"/>
          <w:lang w:eastAsia="ja-JP"/>
        </w:rPr>
        <w:t>-2</w:t>
      </w:r>
      <w:r w:rsidR="00BF1AE4">
        <w:rPr>
          <w:rFonts w:eastAsia="ＭＳ 明朝"/>
          <w:sz w:val="22"/>
          <w:szCs w:val="22"/>
          <w:lang w:eastAsia="ja-JP"/>
        </w:rPr>
        <w:t xml:space="preserve">) is </w:t>
      </w:r>
      <w:r w:rsidR="00F77FAA">
        <w:rPr>
          <w:rFonts w:eastAsia="ＭＳ 明朝"/>
          <w:sz w:val="22"/>
          <w:szCs w:val="22"/>
          <w:lang w:eastAsia="ja-JP"/>
        </w:rPr>
        <w:t>pre-</w:t>
      </w:r>
      <w:r w:rsidR="00BF1AE4">
        <w:rPr>
          <w:rFonts w:eastAsia="ＭＳ 明朝"/>
          <w:sz w:val="22"/>
          <w:szCs w:val="22"/>
          <w:lang w:eastAsia="ja-JP"/>
        </w:rPr>
        <w:t>configured</w:t>
      </w:r>
      <w:r>
        <w:rPr>
          <w:rFonts w:eastAsia="ＭＳ 明朝"/>
          <w:sz w:val="22"/>
          <w:szCs w:val="22"/>
          <w:lang w:eastAsia="ja-JP"/>
        </w:rPr>
        <w:t xml:space="preserve">, we </w:t>
      </w:r>
      <w:r w:rsidR="00B709F6">
        <w:rPr>
          <w:rFonts w:eastAsia="ＭＳ 明朝"/>
          <w:sz w:val="22"/>
          <w:szCs w:val="22"/>
          <w:lang w:eastAsia="ja-JP"/>
        </w:rPr>
        <w:t>can</w:t>
      </w:r>
      <w:r>
        <w:rPr>
          <w:rFonts w:eastAsia="ＭＳ 明朝"/>
          <w:sz w:val="22"/>
          <w:szCs w:val="22"/>
          <w:lang w:eastAsia="ja-JP"/>
        </w:rPr>
        <w:t xml:space="preserve"> </w:t>
      </w:r>
      <w:r w:rsidR="00A53208">
        <w:rPr>
          <w:rFonts w:eastAsia="ＭＳ 明朝"/>
          <w:sz w:val="22"/>
          <w:szCs w:val="22"/>
          <w:lang w:eastAsia="ja-JP"/>
        </w:rPr>
        <w:t xml:space="preserve">reduce the latency of beam management. </w:t>
      </w:r>
      <w:r w:rsidR="00C45B91">
        <w:rPr>
          <w:rFonts w:eastAsia="ＭＳ 明朝"/>
          <w:sz w:val="22"/>
          <w:szCs w:val="22"/>
          <w:lang w:eastAsia="ja-JP"/>
        </w:rPr>
        <w:t xml:space="preserve">For example, </w:t>
      </w:r>
      <w:r w:rsidR="000D4175">
        <w:rPr>
          <w:rFonts w:eastAsia="ＭＳ 明朝"/>
          <w:sz w:val="22"/>
          <w:szCs w:val="22"/>
          <w:lang w:eastAsia="ja-JP"/>
        </w:rPr>
        <w:t xml:space="preserve">the beam management </w:t>
      </w:r>
      <w:r w:rsidR="00B06A5A">
        <w:rPr>
          <w:rFonts w:eastAsia="ＭＳ 明朝"/>
          <w:sz w:val="22"/>
          <w:szCs w:val="22"/>
          <w:lang w:eastAsia="ja-JP"/>
        </w:rPr>
        <w:t xml:space="preserve">in Rel.15/16 </w:t>
      </w:r>
      <w:r w:rsidR="00B709F6">
        <w:rPr>
          <w:rFonts w:eastAsia="ＭＳ 明朝"/>
          <w:sz w:val="22"/>
          <w:szCs w:val="22"/>
          <w:lang w:eastAsia="ja-JP"/>
        </w:rPr>
        <w:t>is based on</w:t>
      </w:r>
      <w:r w:rsidR="00B06A5A">
        <w:rPr>
          <w:rFonts w:eastAsia="ＭＳ 明朝"/>
          <w:sz w:val="22"/>
          <w:szCs w:val="22"/>
          <w:lang w:eastAsia="ja-JP"/>
        </w:rPr>
        <w:t xml:space="preserve"> </w:t>
      </w:r>
      <w:r w:rsidR="00B709F6">
        <w:rPr>
          <w:rFonts w:eastAsia="ＭＳ 明朝"/>
          <w:sz w:val="22"/>
          <w:szCs w:val="22"/>
          <w:lang w:eastAsia="ja-JP"/>
        </w:rPr>
        <w:t xml:space="preserve">1) </w:t>
      </w:r>
      <w:r w:rsidR="00B06A5A">
        <w:rPr>
          <w:rFonts w:eastAsia="ＭＳ 明朝"/>
          <w:sz w:val="22"/>
          <w:szCs w:val="22"/>
          <w:lang w:eastAsia="ja-JP"/>
        </w:rPr>
        <w:t xml:space="preserve">beam measurement at UE, </w:t>
      </w:r>
      <w:r w:rsidR="00B709F6">
        <w:rPr>
          <w:rFonts w:eastAsia="ＭＳ 明朝"/>
          <w:sz w:val="22"/>
          <w:szCs w:val="22"/>
          <w:lang w:eastAsia="ja-JP"/>
        </w:rPr>
        <w:t xml:space="preserve">2) </w:t>
      </w:r>
      <w:r w:rsidR="00B06A5A">
        <w:rPr>
          <w:rFonts w:eastAsia="ＭＳ 明朝"/>
          <w:sz w:val="22"/>
          <w:szCs w:val="22"/>
          <w:lang w:eastAsia="ja-JP"/>
        </w:rPr>
        <w:t xml:space="preserve">beam reporting from UE, and </w:t>
      </w:r>
      <w:r w:rsidR="00B709F6">
        <w:rPr>
          <w:rFonts w:eastAsia="ＭＳ 明朝"/>
          <w:sz w:val="22"/>
          <w:szCs w:val="22"/>
          <w:lang w:eastAsia="ja-JP"/>
        </w:rPr>
        <w:t xml:space="preserve">3) </w:t>
      </w:r>
      <w:r w:rsidR="00B06A5A">
        <w:rPr>
          <w:rFonts w:eastAsia="ＭＳ 明朝"/>
          <w:sz w:val="22"/>
          <w:szCs w:val="22"/>
          <w:lang w:eastAsia="ja-JP"/>
        </w:rPr>
        <w:t xml:space="preserve">beam indication from gNB. </w:t>
      </w:r>
      <w:r w:rsidR="00B709F6">
        <w:rPr>
          <w:rFonts w:eastAsia="ＭＳ 明朝"/>
          <w:sz w:val="22"/>
          <w:szCs w:val="22"/>
          <w:lang w:eastAsia="ja-JP"/>
        </w:rPr>
        <w:t xml:space="preserve">Since </w:t>
      </w:r>
      <w:r w:rsidR="00C5065A">
        <w:rPr>
          <w:rFonts w:eastAsia="ＭＳ 明朝"/>
          <w:sz w:val="22"/>
          <w:szCs w:val="22"/>
          <w:lang w:eastAsia="ja-JP"/>
        </w:rPr>
        <w:t>the beam transition is expectable</w:t>
      </w:r>
      <w:r w:rsidR="00B709F6">
        <w:rPr>
          <w:rFonts w:eastAsia="ＭＳ 明朝"/>
          <w:sz w:val="22"/>
          <w:szCs w:val="22"/>
          <w:lang w:eastAsia="ja-JP"/>
        </w:rPr>
        <w:t xml:space="preserve"> in HST</w:t>
      </w:r>
      <w:r w:rsidR="00C5065A">
        <w:rPr>
          <w:rFonts w:eastAsia="ＭＳ 明朝"/>
          <w:sz w:val="22"/>
          <w:szCs w:val="22"/>
          <w:lang w:eastAsia="ja-JP"/>
        </w:rPr>
        <w:t xml:space="preserve">, we </w:t>
      </w:r>
      <w:r w:rsidR="00B709F6">
        <w:rPr>
          <w:rFonts w:eastAsia="ＭＳ 明朝"/>
          <w:sz w:val="22"/>
          <w:szCs w:val="22"/>
          <w:lang w:eastAsia="ja-JP"/>
        </w:rPr>
        <w:t>can</w:t>
      </w:r>
      <w:r w:rsidR="00C5065A">
        <w:rPr>
          <w:rFonts w:eastAsia="ＭＳ 明朝"/>
          <w:sz w:val="22"/>
          <w:szCs w:val="22"/>
          <w:lang w:eastAsia="ja-JP"/>
        </w:rPr>
        <w:t xml:space="preserve"> omit the </w:t>
      </w:r>
      <w:r w:rsidR="00B709F6">
        <w:rPr>
          <w:rFonts w:eastAsia="ＭＳ 明朝"/>
          <w:sz w:val="22"/>
          <w:szCs w:val="22"/>
          <w:lang w:eastAsia="ja-JP"/>
        </w:rPr>
        <w:t xml:space="preserve">2) </w:t>
      </w:r>
      <w:r w:rsidR="00C5065A">
        <w:rPr>
          <w:rFonts w:eastAsia="ＭＳ 明朝"/>
          <w:sz w:val="22"/>
          <w:szCs w:val="22"/>
          <w:lang w:eastAsia="ja-JP"/>
        </w:rPr>
        <w:t xml:space="preserve">beam reporting and </w:t>
      </w:r>
      <w:r w:rsidR="00B709F6">
        <w:rPr>
          <w:rFonts w:eastAsia="ＭＳ 明朝"/>
          <w:sz w:val="22"/>
          <w:szCs w:val="22"/>
          <w:lang w:eastAsia="ja-JP"/>
        </w:rPr>
        <w:t xml:space="preserve">4) </w:t>
      </w:r>
      <w:r w:rsidR="00C5065A">
        <w:rPr>
          <w:rFonts w:eastAsia="ＭＳ 明朝"/>
          <w:sz w:val="22"/>
          <w:szCs w:val="22"/>
          <w:lang w:eastAsia="ja-JP"/>
        </w:rPr>
        <w:t xml:space="preserve">beam indication, </w:t>
      </w:r>
      <w:r w:rsidR="00F77FAA">
        <w:rPr>
          <w:rFonts w:eastAsia="ＭＳ 明朝"/>
          <w:sz w:val="22"/>
          <w:szCs w:val="22"/>
          <w:lang w:eastAsia="ja-JP"/>
        </w:rPr>
        <w:t xml:space="preserve">assuming UE can </w:t>
      </w:r>
      <w:r w:rsidR="00C5065A">
        <w:rPr>
          <w:rFonts w:eastAsia="ＭＳ 明朝"/>
          <w:sz w:val="22"/>
          <w:szCs w:val="22"/>
          <w:lang w:eastAsia="ja-JP"/>
        </w:rPr>
        <w:t>blind</w:t>
      </w:r>
      <w:r w:rsidR="00F77FAA">
        <w:rPr>
          <w:rFonts w:eastAsia="ＭＳ 明朝"/>
          <w:sz w:val="22"/>
          <w:szCs w:val="22"/>
          <w:lang w:eastAsia="ja-JP"/>
        </w:rPr>
        <w:t>ly</w:t>
      </w:r>
      <w:r w:rsidR="00C5065A">
        <w:rPr>
          <w:rFonts w:eastAsia="ＭＳ 明朝"/>
          <w:sz w:val="22"/>
          <w:szCs w:val="22"/>
          <w:lang w:eastAsia="ja-JP"/>
        </w:rPr>
        <w:t xml:space="preserve"> detect </w:t>
      </w:r>
      <w:r w:rsidR="00F77FAA">
        <w:rPr>
          <w:rFonts w:eastAsia="ＭＳ 明朝"/>
          <w:sz w:val="22"/>
          <w:szCs w:val="22"/>
          <w:lang w:eastAsia="ja-JP"/>
        </w:rPr>
        <w:t>the</w:t>
      </w:r>
      <w:r w:rsidR="00C5065A">
        <w:rPr>
          <w:rFonts w:eastAsia="ＭＳ 明朝"/>
          <w:sz w:val="22"/>
          <w:szCs w:val="22"/>
          <w:lang w:eastAsia="ja-JP"/>
        </w:rPr>
        <w:t xml:space="preserve"> beam change </w:t>
      </w:r>
      <w:r w:rsidR="00F77FAA">
        <w:rPr>
          <w:rFonts w:eastAsia="ＭＳ 明朝"/>
          <w:sz w:val="22"/>
          <w:szCs w:val="22"/>
          <w:lang w:eastAsia="ja-JP"/>
        </w:rPr>
        <w:t>by</w:t>
      </w:r>
      <w:r w:rsidR="00C5065A">
        <w:rPr>
          <w:rFonts w:eastAsia="ＭＳ 明朝"/>
          <w:sz w:val="22"/>
          <w:szCs w:val="22"/>
          <w:lang w:eastAsia="ja-JP"/>
        </w:rPr>
        <w:t xml:space="preserve"> the beam measurement</w:t>
      </w:r>
      <w:r w:rsidR="00892BBB">
        <w:rPr>
          <w:rFonts w:eastAsia="ＭＳ 明朝"/>
          <w:sz w:val="22"/>
          <w:szCs w:val="22"/>
          <w:lang w:eastAsia="ja-JP"/>
        </w:rPr>
        <w:t xml:space="preserve"> (illustrated in figure </w:t>
      </w:r>
      <w:r w:rsidR="00D1686B">
        <w:rPr>
          <w:rFonts w:eastAsia="ＭＳ 明朝"/>
          <w:sz w:val="22"/>
          <w:szCs w:val="22"/>
          <w:lang w:eastAsia="ja-JP"/>
        </w:rPr>
        <w:t>4</w:t>
      </w:r>
      <w:r w:rsidR="00892BBB">
        <w:rPr>
          <w:rFonts w:eastAsia="ＭＳ 明朝"/>
          <w:sz w:val="22"/>
          <w:szCs w:val="22"/>
          <w:lang w:eastAsia="ja-JP"/>
        </w:rPr>
        <w:t>-3)</w:t>
      </w:r>
      <w:r w:rsidR="00C5065A">
        <w:rPr>
          <w:rFonts w:eastAsia="ＭＳ 明朝"/>
          <w:sz w:val="22"/>
          <w:szCs w:val="22"/>
          <w:lang w:eastAsia="ja-JP"/>
        </w:rPr>
        <w:t>.</w:t>
      </w:r>
      <w:r w:rsidR="000D4175">
        <w:rPr>
          <w:rFonts w:eastAsia="ＭＳ 明朝"/>
          <w:sz w:val="22"/>
          <w:szCs w:val="22"/>
          <w:lang w:eastAsia="ja-JP"/>
        </w:rPr>
        <w:t xml:space="preserve"> </w:t>
      </w:r>
    </w:p>
    <w:p w14:paraId="0FE6172D" w14:textId="5CC302DB" w:rsidR="006A3C6C" w:rsidRPr="00FD2107" w:rsidRDefault="006A3C6C" w:rsidP="006A3C6C">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D1686B">
        <w:rPr>
          <w:rFonts w:eastAsiaTheme="minorEastAsia"/>
          <w:b/>
          <w:bCs/>
          <w:color w:val="000000" w:themeColor="text1"/>
          <w:sz w:val="22"/>
          <w:szCs w:val="22"/>
          <w:u w:val="single"/>
        </w:rPr>
        <w:t>4</w:t>
      </w:r>
      <w:r>
        <w:rPr>
          <w:rFonts w:eastAsiaTheme="minorEastAsia"/>
          <w:b/>
          <w:bCs/>
          <w:color w:val="000000" w:themeColor="text1"/>
          <w:sz w:val="22"/>
          <w:szCs w:val="22"/>
          <w:u w:val="single"/>
        </w:rPr>
        <w:t>-</w:t>
      </w:r>
      <w:r w:rsidRPr="00FD2107">
        <w:rPr>
          <w:rFonts w:eastAsiaTheme="minorEastAsia"/>
          <w:b/>
          <w:bCs/>
          <w:color w:val="000000" w:themeColor="text1"/>
          <w:sz w:val="22"/>
          <w:szCs w:val="22"/>
          <w:u w:val="single"/>
        </w:rPr>
        <w:t>1:</w:t>
      </w:r>
    </w:p>
    <w:p w14:paraId="22F5D346" w14:textId="3348BC26" w:rsidR="006A3C6C" w:rsidRDefault="006A3C6C" w:rsidP="006A3C6C">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Consider following mechanism for beam management </w:t>
      </w:r>
      <w:r w:rsidR="007277BC">
        <w:rPr>
          <w:rFonts w:ascii="Times New Roman" w:eastAsia="ＭＳ 明朝" w:hAnsi="Times New Roman" w:cs="Times New Roman"/>
          <w:b/>
          <w:i/>
          <w:iCs/>
          <w:color w:val="000000" w:themeColor="text1"/>
          <w:sz w:val="22"/>
          <w:szCs w:val="22"/>
          <w:lang w:eastAsia="ja-JP"/>
        </w:rPr>
        <w:t>enhancement for</w:t>
      </w:r>
      <w:r>
        <w:rPr>
          <w:rFonts w:ascii="Times New Roman" w:eastAsia="ＭＳ 明朝" w:hAnsi="Times New Roman" w:cs="Times New Roman"/>
          <w:b/>
          <w:i/>
          <w:iCs/>
          <w:color w:val="000000" w:themeColor="text1"/>
          <w:sz w:val="22"/>
          <w:szCs w:val="22"/>
          <w:lang w:eastAsia="ja-JP"/>
        </w:rPr>
        <w:t xml:space="preserve"> HST</w:t>
      </w:r>
    </w:p>
    <w:p w14:paraId="417018B6" w14:textId="288A2706" w:rsidR="006A3C6C" w:rsidRDefault="006A3C6C" w:rsidP="006A3C6C">
      <w:pPr>
        <w:pStyle w:val="aa"/>
        <w:numPr>
          <w:ilvl w:val="2"/>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lastRenderedPageBreak/>
        <w:t xml:space="preserve">Beam transition </w:t>
      </w:r>
      <w:r>
        <w:rPr>
          <w:rFonts w:ascii="Times New Roman" w:eastAsia="ＭＳ 明朝" w:hAnsi="Times New Roman" w:cs="Times New Roman"/>
          <w:b/>
          <w:i/>
          <w:iCs/>
          <w:color w:val="000000" w:themeColor="text1"/>
          <w:sz w:val="22"/>
          <w:szCs w:val="22"/>
          <w:lang w:eastAsia="ja-JP"/>
        </w:rPr>
        <w:t xml:space="preserve">information </w:t>
      </w:r>
      <w:r>
        <w:rPr>
          <w:rFonts w:ascii="Times New Roman" w:eastAsia="ＭＳ 明朝" w:hAnsi="Times New Roman" w:cs="Times New Roman" w:hint="eastAsia"/>
          <w:b/>
          <w:i/>
          <w:iCs/>
          <w:color w:val="000000" w:themeColor="text1"/>
          <w:sz w:val="22"/>
          <w:szCs w:val="22"/>
          <w:lang w:eastAsia="ja-JP"/>
        </w:rPr>
        <w:t>is configured</w:t>
      </w:r>
    </w:p>
    <w:p w14:paraId="416E867A" w14:textId="3EAACC9B" w:rsidR="006A3C6C" w:rsidRDefault="006A3C6C" w:rsidP="006A3C6C">
      <w:pPr>
        <w:pStyle w:val="aa"/>
        <w:numPr>
          <w:ilvl w:val="2"/>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UE blindly updates QCL assumption based on the beam measurement and configured beam transition (i.e. beam reporting and beam indication is omitted). </w:t>
      </w:r>
      <w:r>
        <w:rPr>
          <w:rFonts w:ascii="Times New Roman" w:eastAsia="ＭＳ 明朝" w:hAnsi="Times New Roman" w:cs="Times New Roman" w:hint="eastAsia"/>
          <w:b/>
          <w:i/>
          <w:iCs/>
          <w:color w:val="000000" w:themeColor="text1"/>
          <w:sz w:val="22"/>
          <w:szCs w:val="22"/>
          <w:lang w:eastAsia="ja-JP"/>
        </w:rPr>
        <w:t xml:space="preserve"> </w:t>
      </w:r>
    </w:p>
    <w:p w14:paraId="3C4DD74B" w14:textId="6DED8666" w:rsidR="005E4F42" w:rsidRDefault="00964034" w:rsidP="00964034">
      <w:pPr>
        <w:spacing w:beforeLines="50" w:before="120" w:afterLines="50" w:after="120"/>
        <w:jc w:val="center"/>
        <w:rPr>
          <w:rFonts w:eastAsia="ＭＳ 明朝"/>
          <w:sz w:val="22"/>
          <w:szCs w:val="22"/>
          <w:lang w:eastAsia="ja-JP"/>
        </w:rPr>
      </w:pPr>
      <w:r w:rsidRPr="00964034">
        <w:rPr>
          <w:rFonts w:eastAsia="ＭＳ 明朝"/>
          <w:noProof/>
          <w:sz w:val="22"/>
          <w:szCs w:val="22"/>
          <w:lang w:eastAsia="ja-JP"/>
        </w:rPr>
        <w:drawing>
          <wp:inline distT="0" distB="0" distL="0" distR="0" wp14:anchorId="67089325" wp14:editId="52855F65">
            <wp:extent cx="1279548" cy="1575582"/>
            <wp:effectExtent l="0" t="0" r="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6"/>
                    <a:stretch>
                      <a:fillRect/>
                    </a:stretch>
                  </pic:blipFill>
                  <pic:spPr>
                    <a:xfrm>
                      <a:off x="0" y="0"/>
                      <a:ext cx="1284212" cy="1581326"/>
                    </a:xfrm>
                    <a:prstGeom prst="rect">
                      <a:avLst/>
                    </a:prstGeom>
                  </pic:spPr>
                </pic:pic>
              </a:graphicData>
            </a:graphic>
          </wp:inline>
        </w:drawing>
      </w:r>
    </w:p>
    <w:p w14:paraId="488BFF98" w14:textId="40516878" w:rsidR="00964034" w:rsidRPr="00700854" w:rsidRDefault="00964034" w:rsidP="00964034">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w:t>
      </w:r>
      <w:r w:rsidR="00D1686B">
        <w:rPr>
          <w:rFonts w:eastAsia="ＭＳ 明朝"/>
          <w:sz w:val="22"/>
          <w:szCs w:val="22"/>
          <w:lang w:eastAsia="ja-JP"/>
        </w:rPr>
        <w:t>4</w:t>
      </w:r>
      <w:r>
        <w:rPr>
          <w:rFonts w:eastAsia="ＭＳ 明朝"/>
          <w:sz w:val="22"/>
          <w:szCs w:val="22"/>
          <w:lang w:eastAsia="ja-JP"/>
        </w:rPr>
        <w:t xml:space="preserve">-2 example of configuration of </w:t>
      </w:r>
      <w:r w:rsidR="00892BBB">
        <w:rPr>
          <w:rFonts w:eastAsia="ＭＳ 明朝"/>
          <w:sz w:val="22"/>
          <w:szCs w:val="22"/>
          <w:lang w:eastAsia="ja-JP"/>
        </w:rPr>
        <w:t>beam transition</w:t>
      </w:r>
      <w:r>
        <w:rPr>
          <w:rFonts w:eastAsia="ＭＳ 明朝"/>
          <w:sz w:val="22"/>
          <w:szCs w:val="22"/>
          <w:lang w:eastAsia="ja-JP"/>
        </w:rPr>
        <w:t>.</w:t>
      </w:r>
    </w:p>
    <w:p w14:paraId="4C49DC0F" w14:textId="77777777" w:rsidR="00964034" w:rsidRPr="00964034" w:rsidRDefault="00964034" w:rsidP="00964034">
      <w:pPr>
        <w:spacing w:beforeLines="50" w:before="120" w:afterLines="50" w:after="120"/>
        <w:jc w:val="both"/>
        <w:rPr>
          <w:rFonts w:eastAsia="ＭＳ 明朝"/>
          <w:sz w:val="22"/>
          <w:szCs w:val="22"/>
          <w:lang w:eastAsia="ja-JP"/>
        </w:rPr>
      </w:pPr>
    </w:p>
    <w:p w14:paraId="40D6BEDF" w14:textId="705346EB" w:rsidR="005E4F42" w:rsidRDefault="00B709F6" w:rsidP="00860087">
      <w:pPr>
        <w:spacing w:beforeLines="50" w:before="120" w:afterLines="50" w:after="120"/>
        <w:jc w:val="both"/>
        <w:rPr>
          <w:rFonts w:eastAsia="ＭＳ 明朝"/>
          <w:sz w:val="22"/>
          <w:szCs w:val="22"/>
          <w:lang w:eastAsia="ja-JP"/>
        </w:rPr>
      </w:pPr>
      <w:r w:rsidRPr="00B709F6">
        <w:rPr>
          <w:rFonts w:eastAsia="ＭＳ 明朝"/>
          <w:noProof/>
          <w:sz w:val="22"/>
          <w:szCs w:val="22"/>
          <w:lang w:eastAsia="ja-JP"/>
        </w:rPr>
        <w:drawing>
          <wp:inline distT="0" distB="0" distL="0" distR="0" wp14:anchorId="45D48A5D" wp14:editId="43E4252C">
            <wp:extent cx="6332220" cy="1575435"/>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17"/>
                    <a:stretch>
                      <a:fillRect/>
                    </a:stretch>
                  </pic:blipFill>
                  <pic:spPr>
                    <a:xfrm>
                      <a:off x="0" y="0"/>
                      <a:ext cx="6332220" cy="1575435"/>
                    </a:xfrm>
                    <a:prstGeom prst="rect">
                      <a:avLst/>
                    </a:prstGeom>
                  </pic:spPr>
                </pic:pic>
              </a:graphicData>
            </a:graphic>
          </wp:inline>
        </w:drawing>
      </w:r>
    </w:p>
    <w:p w14:paraId="35364B4E" w14:textId="0E21A66D" w:rsidR="00B709F6" w:rsidRPr="00700854" w:rsidRDefault="00B709F6" w:rsidP="00B709F6">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w:t>
      </w:r>
      <w:r w:rsidR="00D1686B">
        <w:rPr>
          <w:rFonts w:eastAsia="ＭＳ 明朝"/>
          <w:sz w:val="22"/>
          <w:szCs w:val="22"/>
          <w:lang w:eastAsia="ja-JP"/>
        </w:rPr>
        <w:t>4</w:t>
      </w:r>
      <w:r>
        <w:rPr>
          <w:rFonts w:eastAsia="ＭＳ 明朝"/>
          <w:sz w:val="22"/>
          <w:szCs w:val="22"/>
          <w:lang w:eastAsia="ja-JP"/>
        </w:rPr>
        <w:t>-</w:t>
      </w:r>
      <w:r w:rsidR="00892BBB">
        <w:rPr>
          <w:rFonts w:eastAsia="ＭＳ 明朝"/>
          <w:sz w:val="22"/>
          <w:szCs w:val="22"/>
          <w:lang w:eastAsia="ja-JP"/>
        </w:rPr>
        <w:t>3</w:t>
      </w:r>
      <w:r>
        <w:rPr>
          <w:rFonts w:eastAsia="ＭＳ 明朝"/>
          <w:sz w:val="22"/>
          <w:szCs w:val="22"/>
          <w:lang w:eastAsia="ja-JP"/>
        </w:rPr>
        <w:t xml:space="preserve"> </w:t>
      </w:r>
      <w:r w:rsidR="00892BBB">
        <w:rPr>
          <w:rFonts w:eastAsia="ＭＳ 明朝"/>
          <w:sz w:val="22"/>
          <w:szCs w:val="22"/>
          <w:lang w:eastAsia="ja-JP"/>
        </w:rPr>
        <w:t>UE blindly detect</w:t>
      </w:r>
      <w:r w:rsidR="00B05B97">
        <w:rPr>
          <w:rFonts w:eastAsia="ＭＳ 明朝"/>
          <w:sz w:val="22"/>
          <w:szCs w:val="22"/>
          <w:lang w:eastAsia="ja-JP"/>
        </w:rPr>
        <w:t>s</w:t>
      </w:r>
      <w:r w:rsidR="00892BBB">
        <w:rPr>
          <w:rFonts w:eastAsia="ＭＳ 明朝"/>
          <w:sz w:val="22"/>
          <w:szCs w:val="22"/>
          <w:lang w:eastAsia="ja-JP"/>
        </w:rPr>
        <w:t xml:space="preserve"> the beam change by the beam measurement in </w:t>
      </w:r>
      <w:r w:rsidR="00B810AE">
        <w:rPr>
          <w:rFonts w:eastAsia="ＭＳ 明朝"/>
          <w:sz w:val="22"/>
          <w:szCs w:val="22"/>
          <w:lang w:eastAsia="ja-JP"/>
        </w:rPr>
        <w:t>HST</w:t>
      </w:r>
      <w:r>
        <w:rPr>
          <w:rFonts w:eastAsia="ＭＳ 明朝"/>
          <w:sz w:val="22"/>
          <w:szCs w:val="22"/>
          <w:lang w:eastAsia="ja-JP"/>
        </w:rPr>
        <w:t>.</w:t>
      </w:r>
    </w:p>
    <w:p w14:paraId="5C5ACC52" w14:textId="77777777" w:rsidR="001F60FD" w:rsidRPr="00B709F6" w:rsidRDefault="001F60FD" w:rsidP="00D92C41">
      <w:pPr>
        <w:pStyle w:val="x00text"/>
        <w:spacing w:before="60" w:after="60"/>
        <w:jc w:val="both"/>
        <w:rPr>
          <w:rFonts w:eastAsiaTheme="minorEastAsia"/>
          <w:color w:val="212121"/>
          <w:sz w:val="22"/>
          <w:szCs w:val="22"/>
          <w:lang w:eastAsia="zh-CN"/>
        </w:rPr>
      </w:pPr>
      <w:bookmarkStart w:id="3" w:name="_GoBack"/>
      <w:bookmarkEnd w:id="3"/>
      <w:commentRangeStart w:id="4"/>
      <w:commentRangeEnd w:id="4"/>
    </w:p>
    <w:p w14:paraId="54EA64FF" w14:textId="745CE0C2" w:rsidR="00073B26" w:rsidRDefault="000D6727" w:rsidP="000D6727">
      <w:pPr>
        <w:pStyle w:val="1"/>
        <w:rPr>
          <w:lang w:val="en-US"/>
        </w:rPr>
      </w:pPr>
      <w:r w:rsidRPr="000D6727">
        <w:rPr>
          <w:lang w:val="en-US"/>
        </w:rPr>
        <w:t>Conclusion</w:t>
      </w:r>
    </w:p>
    <w:p w14:paraId="44B9F7B1" w14:textId="26BFE69A"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 xml:space="preserve">enhancements on </w:t>
      </w:r>
      <w:r w:rsidR="00F96BFD" w:rsidRPr="0081136E">
        <w:rPr>
          <w:rFonts w:eastAsiaTheme="minorEastAsia"/>
          <w:color w:val="000000"/>
          <w:sz w:val="22"/>
          <w:szCs w:val="22"/>
          <w:lang w:eastAsia="zh-CN"/>
        </w:rPr>
        <w:t>HST-SFN deployment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1779ECA1" w14:textId="77777777" w:rsidR="00325D5F" w:rsidRPr="00FD2107" w:rsidRDefault="00325D5F" w:rsidP="00325D5F">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3B779D74" w14:textId="77777777" w:rsidR="00325D5F" w:rsidRPr="00311E0E" w:rsidRDefault="00325D5F" w:rsidP="00325D5F">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Target deployment scenario of HST is </w:t>
      </w:r>
      <w:r w:rsidRPr="00311E0E">
        <w:rPr>
          <w:rFonts w:ascii="Times New Roman" w:eastAsia="ＭＳ 明朝" w:hAnsi="Times New Roman" w:cs="Times New Roman"/>
          <w:b/>
          <w:i/>
          <w:iCs/>
          <w:color w:val="000000" w:themeColor="text1"/>
          <w:sz w:val="22"/>
          <w:szCs w:val="22"/>
          <w:lang w:eastAsia="ja-JP"/>
        </w:rPr>
        <w:t xml:space="preserve">500 km/h with bi-directional SFN with </w:t>
      </w:r>
      <w:r>
        <w:rPr>
          <w:rFonts w:ascii="Times New Roman" w:eastAsia="ＭＳ 明朝" w:hAnsi="Times New Roman" w:cs="Times New Roman"/>
          <w:b/>
          <w:i/>
          <w:iCs/>
          <w:color w:val="000000" w:themeColor="text1"/>
          <w:sz w:val="22"/>
          <w:szCs w:val="22"/>
          <w:lang w:eastAsia="ja-JP"/>
        </w:rPr>
        <w:t>a large</w:t>
      </w:r>
      <w:r w:rsidRPr="00311E0E">
        <w:rPr>
          <w:rFonts w:ascii="Times New Roman" w:eastAsia="ＭＳ 明朝" w:hAnsi="Times New Roman" w:cs="Times New Roman"/>
          <w:b/>
          <w:i/>
          <w:iCs/>
          <w:color w:val="000000" w:themeColor="text1"/>
          <w:sz w:val="22"/>
          <w:szCs w:val="22"/>
          <w:lang w:eastAsia="ja-JP"/>
        </w:rPr>
        <w:t xml:space="preserve"> number of RRHs of small </w:t>
      </w:r>
      <w:r>
        <w:rPr>
          <w:rFonts w:ascii="Times New Roman" w:eastAsia="ＭＳ 明朝" w:hAnsi="Times New Roman" w:cs="Times New Roman"/>
          <w:b/>
          <w:i/>
          <w:iCs/>
          <w:color w:val="000000" w:themeColor="text1"/>
          <w:sz w:val="22"/>
          <w:szCs w:val="22"/>
          <w:lang w:eastAsia="ja-JP"/>
        </w:rPr>
        <w:t>coverage</w:t>
      </w:r>
      <w:r w:rsidRPr="00311E0E">
        <w:rPr>
          <w:rFonts w:ascii="Times New Roman" w:eastAsia="ＭＳ 明朝" w:hAnsi="Times New Roman" w:cs="Times New Roman"/>
          <w:b/>
          <w:i/>
          <w:iCs/>
          <w:color w:val="000000" w:themeColor="text1"/>
          <w:sz w:val="22"/>
          <w:szCs w:val="22"/>
          <w:lang w:eastAsia="ja-JP"/>
        </w:rPr>
        <w:t xml:space="preserve"> (e.g. 100 m</w:t>
      </w:r>
      <w:r w:rsidRPr="00912EA5">
        <w:t xml:space="preserve"> </w:t>
      </w:r>
      <w:r w:rsidRPr="00912EA5">
        <w:rPr>
          <w:rFonts w:ascii="Times New Roman" w:eastAsia="ＭＳ 明朝" w:hAnsi="Times New Roman" w:cs="Times New Roman"/>
          <w:b/>
          <w:i/>
          <w:iCs/>
          <w:color w:val="000000" w:themeColor="text1"/>
          <w:sz w:val="22"/>
          <w:szCs w:val="22"/>
          <w:lang w:eastAsia="ja-JP"/>
        </w:rPr>
        <w:t>coverage per RRH</w:t>
      </w:r>
      <w:r w:rsidRPr="00311E0E">
        <w:rPr>
          <w:rFonts w:ascii="Times New Roman" w:eastAsia="ＭＳ 明朝" w:hAnsi="Times New Roman" w:cs="Times New Roman"/>
          <w:b/>
          <w:i/>
          <w:iCs/>
          <w:color w:val="000000" w:themeColor="text1"/>
          <w:sz w:val="22"/>
          <w:szCs w:val="22"/>
          <w:lang w:eastAsia="ja-JP"/>
        </w:rPr>
        <w:t>)</w:t>
      </w:r>
      <w:r>
        <w:rPr>
          <w:rFonts w:ascii="Times New Roman" w:eastAsia="ＭＳ 明朝" w:hAnsi="Times New Roman" w:cs="Times New Roman"/>
          <w:b/>
          <w:i/>
          <w:iCs/>
          <w:color w:val="000000" w:themeColor="text1"/>
          <w:sz w:val="22"/>
          <w:szCs w:val="22"/>
          <w:lang w:eastAsia="ja-JP"/>
        </w:rPr>
        <w:t xml:space="preserve">, </w:t>
      </w:r>
      <w:r w:rsidRPr="00311E0E">
        <w:rPr>
          <w:rFonts w:ascii="Times New Roman" w:eastAsia="ＭＳ 明朝" w:hAnsi="Times New Roman" w:cs="Times New Roman"/>
          <w:b/>
          <w:i/>
          <w:iCs/>
          <w:color w:val="000000" w:themeColor="text1"/>
          <w:sz w:val="22"/>
          <w:szCs w:val="22"/>
          <w:lang w:eastAsia="ja-JP"/>
        </w:rPr>
        <w:t>without assistance of Macro cell</w:t>
      </w:r>
      <w:r>
        <w:rPr>
          <w:rFonts w:ascii="Times New Roman" w:eastAsia="ＭＳ 明朝" w:hAnsi="Times New Roman" w:cs="Times New Roman"/>
          <w:b/>
          <w:i/>
          <w:iCs/>
          <w:color w:val="000000" w:themeColor="text1"/>
          <w:sz w:val="22"/>
          <w:szCs w:val="22"/>
          <w:lang w:eastAsia="ja-JP"/>
        </w:rPr>
        <w:t>.</w:t>
      </w:r>
    </w:p>
    <w:p w14:paraId="56F7613B" w14:textId="77777777" w:rsidR="00325D5F" w:rsidRPr="00FD2107" w:rsidRDefault="00325D5F" w:rsidP="00325D5F">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1:</w:t>
      </w:r>
    </w:p>
    <w:p w14:paraId="6B59E61A" w14:textId="77777777" w:rsidR="00325D5F" w:rsidRDefault="00325D5F" w:rsidP="00325D5F">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In SFN with large number of RRHs in HST scenario, a </w:t>
      </w:r>
      <w:r w:rsidRPr="00D858C8">
        <w:rPr>
          <w:rFonts w:ascii="Times New Roman" w:eastAsia="ＭＳ 明朝" w:hAnsi="Times New Roman" w:cs="Times New Roman"/>
          <w:b/>
          <w:i/>
          <w:iCs/>
          <w:color w:val="000000" w:themeColor="text1"/>
          <w:sz w:val="22"/>
          <w:szCs w:val="22"/>
          <w:lang w:eastAsia="ja-JP"/>
        </w:rPr>
        <w:t>UE would observe multiple appropriate beams across multiple RRHs at the same time</w:t>
      </w:r>
      <w:r>
        <w:rPr>
          <w:rFonts w:ascii="Times New Roman" w:eastAsia="ＭＳ 明朝" w:hAnsi="Times New Roman" w:cs="Times New Roman"/>
          <w:b/>
          <w:i/>
          <w:iCs/>
          <w:color w:val="000000" w:themeColor="text1"/>
          <w:sz w:val="22"/>
          <w:szCs w:val="22"/>
          <w:lang w:eastAsia="ja-JP"/>
        </w:rPr>
        <w:t xml:space="preserve"> </w:t>
      </w:r>
    </w:p>
    <w:p w14:paraId="03D21216" w14:textId="77777777" w:rsidR="00325D5F" w:rsidRPr="00FD2107" w:rsidRDefault="00325D5F" w:rsidP="00325D5F">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r w:rsidRPr="00FD2107">
        <w:rPr>
          <w:rFonts w:eastAsiaTheme="minorEastAsia"/>
          <w:b/>
          <w:bCs/>
          <w:color w:val="000000" w:themeColor="text1"/>
          <w:sz w:val="22"/>
          <w:szCs w:val="22"/>
          <w:u w:val="single"/>
        </w:rPr>
        <w:t>1:</w:t>
      </w:r>
    </w:p>
    <w:p w14:paraId="2D0C8BCB" w14:textId="77777777" w:rsidR="00325D5F" w:rsidRDefault="00325D5F" w:rsidP="00325D5F">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Consider QCL enhancement that </w:t>
      </w:r>
      <w:r w:rsidRPr="00D858C8">
        <w:rPr>
          <w:rFonts w:ascii="Times New Roman" w:eastAsia="ＭＳ 明朝" w:hAnsi="Times New Roman" w:cs="Times New Roman"/>
          <w:b/>
          <w:i/>
          <w:iCs/>
          <w:color w:val="000000" w:themeColor="text1"/>
          <w:sz w:val="22"/>
          <w:szCs w:val="22"/>
          <w:lang w:eastAsia="ja-JP"/>
        </w:rPr>
        <w:t>the same DMRS port(s)</w:t>
      </w:r>
      <w:r>
        <w:rPr>
          <w:rFonts w:ascii="Times New Roman" w:eastAsia="ＭＳ 明朝" w:hAnsi="Times New Roman" w:cs="Times New Roman"/>
          <w:b/>
          <w:i/>
          <w:iCs/>
          <w:color w:val="000000" w:themeColor="text1"/>
          <w:sz w:val="22"/>
          <w:szCs w:val="22"/>
          <w:lang w:eastAsia="ja-JP"/>
        </w:rPr>
        <w:t xml:space="preserve"> for PDCCH/PDSCH can associate with </w:t>
      </w:r>
      <w:r w:rsidRPr="00D858C8">
        <w:rPr>
          <w:rFonts w:ascii="Times New Roman" w:eastAsia="ＭＳ 明朝" w:hAnsi="Times New Roman" w:cs="Times New Roman"/>
          <w:b/>
          <w:i/>
          <w:iCs/>
          <w:color w:val="000000" w:themeColor="text1"/>
          <w:sz w:val="22"/>
          <w:szCs w:val="22"/>
          <w:lang w:eastAsia="ja-JP"/>
        </w:rPr>
        <w:t>multiple QCL assumptions</w:t>
      </w:r>
    </w:p>
    <w:p w14:paraId="2235311A" w14:textId="77777777" w:rsidR="00325D5F" w:rsidRPr="00FD2107" w:rsidRDefault="00325D5F" w:rsidP="00325D5F">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r w:rsidRPr="00FD2107">
        <w:rPr>
          <w:rFonts w:eastAsiaTheme="minorEastAsia"/>
          <w:b/>
          <w:bCs/>
          <w:color w:val="000000" w:themeColor="text1"/>
          <w:sz w:val="22"/>
          <w:szCs w:val="22"/>
          <w:u w:val="single"/>
        </w:rPr>
        <w:t>1:</w:t>
      </w:r>
    </w:p>
    <w:p w14:paraId="6DA983D1" w14:textId="77777777" w:rsidR="00325D5F" w:rsidRDefault="00325D5F" w:rsidP="00325D5F">
      <w:pPr>
        <w:pStyle w:val="aa"/>
        <w:numPr>
          <w:ilvl w:val="1"/>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Consider following mechanism for beam management enhancement for HST</w:t>
      </w:r>
    </w:p>
    <w:p w14:paraId="1B32CCCF" w14:textId="77777777" w:rsidR="00325D5F" w:rsidRDefault="00325D5F" w:rsidP="00325D5F">
      <w:pPr>
        <w:pStyle w:val="aa"/>
        <w:numPr>
          <w:ilvl w:val="2"/>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 xml:space="preserve">Beam transition </w:t>
      </w:r>
      <w:r>
        <w:rPr>
          <w:rFonts w:ascii="Times New Roman" w:eastAsia="ＭＳ 明朝" w:hAnsi="Times New Roman" w:cs="Times New Roman"/>
          <w:b/>
          <w:i/>
          <w:iCs/>
          <w:color w:val="000000" w:themeColor="text1"/>
          <w:sz w:val="22"/>
          <w:szCs w:val="22"/>
          <w:lang w:eastAsia="ja-JP"/>
        </w:rPr>
        <w:t xml:space="preserve">information </w:t>
      </w:r>
      <w:r>
        <w:rPr>
          <w:rFonts w:ascii="Times New Roman" w:eastAsia="ＭＳ 明朝" w:hAnsi="Times New Roman" w:cs="Times New Roman" w:hint="eastAsia"/>
          <w:b/>
          <w:i/>
          <w:iCs/>
          <w:color w:val="000000" w:themeColor="text1"/>
          <w:sz w:val="22"/>
          <w:szCs w:val="22"/>
          <w:lang w:eastAsia="ja-JP"/>
        </w:rPr>
        <w:t>is configured</w:t>
      </w:r>
    </w:p>
    <w:p w14:paraId="06E7D9A0" w14:textId="77777777" w:rsidR="00325D5F" w:rsidRDefault="00325D5F" w:rsidP="00325D5F">
      <w:pPr>
        <w:pStyle w:val="aa"/>
        <w:numPr>
          <w:ilvl w:val="2"/>
          <w:numId w:val="6"/>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 xml:space="preserve">UE blindly updates QCL assumption based on the beam measurement and configured beam transition (i.e. beam reporting and beam indication is omitted). </w:t>
      </w:r>
      <w:r>
        <w:rPr>
          <w:rFonts w:ascii="Times New Roman" w:eastAsia="ＭＳ 明朝" w:hAnsi="Times New Roman" w:cs="Times New Roman" w:hint="eastAsia"/>
          <w:b/>
          <w:i/>
          <w:iCs/>
          <w:color w:val="000000" w:themeColor="text1"/>
          <w:sz w:val="22"/>
          <w:szCs w:val="22"/>
          <w:lang w:eastAsia="ja-JP"/>
        </w:rPr>
        <w:t xml:space="preserve"> </w:t>
      </w:r>
    </w:p>
    <w:p w14:paraId="49BA1C07" w14:textId="77777777" w:rsidR="00325D5F" w:rsidRPr="00325D5F" w:rsidRDefault="00325D5F" w:rsidP="002E01A3">
      <w:pPr>
        <w:spacing w:afterLines="50" w:after="120"/>
        <w:jc w:val="both"/>
        <w:rPr>
          <w:rFonts w:eastAsiaTheme="minorEastAsia" w:hint="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01BE3E" w16cid:durableId="22D7B246"/>
  <w16cid:commentId w16cid:paraId="7F10BAFA" w16cid:durableId="22D7B381"/>
  <w16cid:commentId w16cid:paraId="7FC9EE5A" w16cid:durableId="22D3BD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08302" w14:textId="77777777" w:rsidR="00830B05" w:rsidRDefault="00830B05">
      <w:r>
        <w:separator/>
      </w:r>
    </w:p>
  </w:endnote>
  <w:endnote w:type="continuationSeparator" w:id="0">
    <w:p w14:paraId="2A971641" w14:textId="77777777" w:rsidR="00830B05" w:rsidRDefault="0083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A2958" w14:textId="77777777" w:rsidR="00830B05" w:rsidRDefault="00830B05">
      <w:r>
        <w:separator/>
      </w:r>
    </w:p>
  </w:footnote>
  <w:footnote w:type="continuationSeparator" w:id="0">
    <w:p w14:paraId="06B0766E" w14:textId="77777777" w:rsidR="00830B05" w:rsidRDefault="00830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3"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2"/>
  </w:num>
  <w:num w:numId="2">
    <w:abstractNumId w:val="0"/>
  </w:num>
  <w:num w:numId="3">
    <w:abstractNumId w:val="4"/>
  </w:num>
  <w:num w:numId="4">
    <w:abstractNumId w:val="1"/>
  </w:num>
  <w:num w:numId="5">
    <w:abstractNumId w:val="10"/>
  </w:num>
  <w:num w:numId="6">
    <w:abstractNumId w:val="3"/>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8"/>
  </w:num>
  <w:num w:numId="11">
    <w:abstractNumId w:val="6"/>
  </w:num>
  <w:num w:numId="12">
    <w:abstractNumId w:val="2"/>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2B32"/>
    <w:rsid w:val="00042CB9"/>
    <w:rsid w:val="00042FFE"/>
    <w:rsid w:val="000445B9"/>
    <w:rsid w:val="00044C67"/>
    <w:rsid w:val="0004586E"/>
    <w:rsid w:val="00046497"/>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D63"/>
    <w:rsid w:val="000907D0"/>
    <w:rsid w:val="0009150C"/>
    <w:rsid w:val="0009228F"/>
    <w:rsid w:val="00092B86"/>
    <w:rsid w:val="00092D5F"/>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400"/>
    <w:rsid w:val="000B5781"/>
    <w:rsid w:val="000B6187"/>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66F"/>
    <w:rsid w:val="000D2A6F"/>
    <w:rsid w:val="000D3A63"/>
    <w:rsid w:val="000D3C93"/>
    <w:rsid w:val="000D3EDE"/>
    <w:rsid w:val="000D4175"/>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4F8"/>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265F"/>
    <w:rsid w:val="00232865"/>
    <w:rsid w:val="00232C12"/>
    <w:rsid w:val="0023522F"/>
    <w:rsid w:val="00236166"/>
    <w:rsid w:val="002361DB"/>
    <w:rsid w:val="00236A8E"/>
    <w:rsid w:val="00236B33"/>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5D54"/>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20F9"/>
    <w:rsid w:val="0028210B"/>
    <w:rsid w:val="0028232A"/>
    <w:rsid w:val="00282462"/>
    <w:rsid w:val="00283C95"/>
    <w:rsid w:val="00284469"/>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C0949"/>
    <w:rsid w:val="002C0B7E"/>
    <w:rsid w:val="002C0E65"/>
    <w:rsid w:val="002C3E29"/>
    <w:rsid w:val="002C3EB0"/>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65C"/>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3AC"/>
    <w:rsid w:val="00470445"/>
    <w:rsid w:val="0047061C"/>
    <w:rsid w:val="00470D48"/>
    <w:rsid w:val="00470FAF"/>
    <w:rsid w:val="0047185B"/>
    <w:rsid w:val="00472765"/>
    <w:rsid w:val="004728BF"/>
    <w:rsid w:val="00473888"/>
    <w:rsid w:val="00473AA0"/>
    <w:rsid w:val="0047445A"/>
    <w:rsid w:val="004751B9"/>
    <w:rsid w:val="00476288"/>
    <w:rsid w:val="004762DE"/>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718D"/>
    <w:rsid w:val="004A7398"/>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1AF"/>
    <w:rsid w:val="0053653B"/>
    <w:rsid w:val="00536768"/>
    <w:rsid w:val="00536CF2"/>
    <w:rsid w:val="00537C91"/>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DAD"/>
    <w:rsid w:val="00552F36"/>
    <w:rsid w:val="005531D2"/>
    <w:rsid w:val="00553B9A"/>
    <w:rsid w:val="00553D7A"/>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4F42"/>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6D2"/>
    <w:rsid w:val="006639A0"/>
    <w:rsid w:val="006647AB"/>
    <w:rsid w:val="00664C12"/>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803"/>
    <w:rsid w:val="006A393E"/>
    <w:rsid w:val="006A3B42"/>
    <w:rsid w:val="006A3C6C"/>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3BA"/>
    <w:rsid w:val="00723A5B"/>
    <w:rsid w:val="00723B42"/>
    <w:rsid w:val="00723D29"/>
    <w:rsid w:val="00724080"/>
    <w:rsid w:val="007247FB"/>
    <w:rsid w:val="00724F75"/>
    <w:rsid w:val="00726BA0"/>
    <w:rsid w:val="00726FF7"/>
    <w:rsid w:val="007272D6"/>
    <w:rsid w:val="007274D5"/>
    <w:rsid w:val="007277BC"/>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8BE"/>
    <w:rsid w:val="00737F5E"/>
    <w:rsid w:val="007401B0"/>
    <w:rsid w:val="00741892"/>
    <w:rsid w:val="00741A84"/>
    <w:rsid w:val="00741D97"/>
    <w:rsid w:val="00742157"/>
    <w:rsid w:val="007427D1"/>
    <w:rsid w:val="00742DE0"/>
    <w:rsid w:val="00743022"/>
    <w:rsid w:val="0074347A"/>
    <w:rsid w:val="00743A75"/>
    <w:rsid w:val="00743B22"/>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008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6C7"/>
    <w:rsid w:val="00871CB1"/>
    <w:rsid w:val="00871D87"/>
    <w:rsid w:val="0087213F"/>
    <w:rsid w:val="00873356"/>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4699"/>
    <w:rsid w:val="008F4827"/>
    <w:rsid w:val="008F4A19"/>
    <w:rsid w:val="008F4B1A"/>
    <w:rsid w:val="008F4D75"/>
    <w:rsid w:val="008F4E5C"/>
    <w:rsid w:val="008F5845"/>
    <w:rsid w:val="008F5A63"/>
    <w:rsid w:val="008F6873"/>
    <w:rsid w:val="008F6CEE"/>
    <w:rsid w:val="008F6DAA"/>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654"/>
    <w:rsid w:val="00911753"/>
    <w:rsid w:val="0091185D"/>
    <w:rsid w:val="0091276C"/>
    <w:rsid w:val="0091288D"/>
    <w:rsid w:val="00912EA5"/>
    <w:rsid w:val="00912EFF"/>
    <w:rsid w:val="00913D2E"/>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034"/>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1FCF"/>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AF"/>
    <w:rsid w:val="009E2CF1"/>
    <w:rsid w:val="009E3180"/>
    <w:rsid w:val="009E3753"/>
    <w:rsid w:val="009E5389"/>
    <w:rsid w:val="009E6BAA"/>
    <w:rsid w:val="009E6E9A"/>
    <w:rsid w:val="009F0192"/>
    <w:rsid w:val="009F1436"/>
    <w:rsid w:val="009F2696"/>
    <w:rsid w:val="009F33AB"/>
    <w:rsid w:val="009F3441"/>
    <w:rsid w:val="009F3478"/>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303B0"/>
    <w:rsid w:val="00A3042D"/>
    <w:rsid w:val="00A32DD9"/>
    <w:rsid w:val="00A336AF"/>
    <w:rsid w:val="00A33D33"/>
    <w:rsid w:val="00A344D2"/>
    <w:rsid w:val="00A34F34"/>
    <w:rsid w:val="00A36847"/>
    <w:rsid w:val="00A40661"/>
    <w:rsid w:val="00A4077D"/>
    <w:rsid w:val="00A41885"/>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664E"/>
    <w:rsid w:val="00A56AFD"/>
    <w:rsid w:val="00A57B39"/>
    <w:rsid w:val="00A57FCB"/>
    <w:rsid w:val="00A603C6"/>
    <w:rsid w:val="00A607C3"/>
    <w:rsid w:val="00A609CC"/>
    <w:rsid w:val="00A60AA9"/>
    <w:rsid w:val="00A623BA"/>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EAB"/>
    <w:rsid w:val="00AB2599"/>
    <w:rsid w:val="00AB356A"/>
    <w:rsid w:val="00AB4864"/>
    <w:rsid w:val="00AB4FC1"/>
    <w:rsid w:val="00AB5184"/>
    <w:rsid w:val="00AB51D1"/>
    <w:rsid w:val="00AB5720"/>
    <w:rsid w:val="00AB5BDD"/>
    <w:rsid w:val="00AB613B"/>
    <w:rsid w:val="00AB639F"/>
    <w:rsid w:val="00AB663C"/>
    <w:rsid w:val="00AB7109"/>
    <w:rsid w:val="00AB7892"/>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6B0"/>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5B97"/>
    <w:rsid w:val="00B06473"/>
    <w:rsid w:val="00B06742"/>
    <w:rsid w:val="00B06A5A"/>
    <w:rsid w:val="00B0713C"/>
    <w:rsid w:val="00B0766F"/>
    <w:rsid w:val="00B100EF"/>
    <w:rsid w:val="00B105E7"/>
    <w:rsid w:val="00B118BA"/>
    <w:rsid w:val="00B11D63"/>
    <w:rsid w:val="00B11EF2"/>
    <w:rsid w:val="00B120E6"/>
    <w:rsid w:val="00B121FC"/>
    <w:rsid w:val="00B123FE"/>
    <w:rsid w:val="00B127D7"/>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0B31"/>
    <w:rsid w:val="00B416FA"/>
    <w:rsid w:val="00B41776"/>
    <w:rsid w:val="00B41E63"/>
    <w:rsid w:val="00B41F4C"/>
    <w:rsid w:val="00B420BA"/>
    <w:rsid w:val="00B44D24"/>
    <w:rsid w:val="00B44EC0"/>
    <w:rsid w:val="00B45461"/>
    <w:rsid w:val="00B45573"/>
    <w:rsid w:val="00B46066"/>
    <w:rsid w:val="00B467E3"/>
    <w:rsid w:val="00B46E9B"/>
    <w:rsid w:val="00B475A8"/>
    <w:rsid w:val="00B479C5"/>
    <w:rsid w:val="00B479D9"/>
    <w:rsid w:val="00B51372"/>
    <w:rsid w:val="00B51E98"/>
    <w:rsid w:val="00B5363C"/>
    <w:rsid w:val="00B53A6C"/>
    <w:rsid w:val="00B53E49"/>
    <w:rsid w:val="00B54BF6"/>
    <w:rsid w:val="00B54DB8"/>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9F6"/>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839"/>
    <w:rsid w:val="00B90F1F"/>
    <w:rsid w:val="00B91462"/>
    <w:rsid w:val="00B91D57"/>
    <w:rsid w:val="00B922EF"/>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0A16"/>
    <w:rsid w:val="00BA2166"/>
    <w:rsid w:val="00BA2977"/>
    <w:rsid w:val="00BA2BC0"/>
    <w:rsid w:val="00BA7025"/>
    <w:rsid w:val="00BA739E"/>
    <w:rsid w:val="00BB01DD"/>
    <w:rsid w:val="00BB1528"/>
    <w:rsid w:val="00BB1A17"/>
    <w:rsid w:val="00BB1AF7"/>
    <w:rsid w:val="00BB2672"/>
    <w:rsid w:val="00BB2873"/>
    <w:rsid w:val="00BB3AEF"/>
    <w:rsid w:val="00BB46B7"/>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AE4"/>
    <w:rsid w:val="00BF1CB0"/>
    <w:rsid w:val="00BF28E8"/>
    <w:rsid w:val="00BF3C69"/>
    <w:rsid w:val="00BF42D7"/>
    <w:rsid w:val="00BF448F"/>
    <w:rsid w:val="00BF482C"/>
    <w:rsid w:val="00BF4894"/>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17D90"/>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5B91"/>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AAB"/>
    <w:rsid w:val="00C72D72"/>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2041"/>
    <w:rsid w:val="00C824AA"/>
    <w:rsid w:val="00C82995"/>
    <w:rsid w:val="00C83234"/>
    <w:rsid w:val="00C833C1"/>
    <w:rsid w:val="00C83F81"/>
    <w:rsid w:val="00C8614D"/>
    <w:rsid w:val="00C86293"/>
    <w:rsid w:val="00C863DE"/>
    <w:rsid w:val="00C8675D"/>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1D73"/>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C29"/>
    <w:rsid w:val="00CD3C01"/>
    <w:rsid w:val="00CD41C1"/>
    <w:rsid w:val="00CD427E"/>
    <w:rsid w:val="00CD4697"/>
    <w:rsid w:val="00CD46C8"/>
    <w:rsid w:val="00CD4CF6"/>
    <w:rsid w:val="00CD4D3C"/>
    <w:rsid w:val="00CD52C5"/>
    <w:rsid w:val="00CD54BF"/>
    <w:rsid w:val="00CD5BA7"/>
    <w:rsid w:val="00CD631D"/>
    <w:rsid w:val="00CD6633"/>
    <w:rsid w:val="00CD6669"/>
    <w:rsid w:val="00CD67E9"/>
    <w:rsid w:val="00CD6A11"/>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997"/>
    <w:rsid w:val="00CF3F59"/>
    <w:rsid w:val="00CF5E14"/>
    <w:rsid w:val="00CF6EDF"/>
    <w:rsid w:val="00CF7044"/>
    <w:rsid w:val="00CF769B"/>
    <w:rsid w:val="00CF7D7C"/>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86B"/>
    <w:rsid w:val="00D16912"/>
    <w:rsid w:val="00D16BC9"/>
    <w:rsid w:val="00D16CA5"/>
    <w:rsid w:val="00D16F03"/>
    <w:rsid w:val="00D1797C"/>
    <w:rsid w:val="00D179E3"/>
    <w:rsid w:val="00D17C95"/>
    <w:rsid w:val="00D20069"/>
    <w:rsid w:val="00D20230"/>
    <w:rsid w:val="00D20BF9"/>
    <w:rsid w:val="00D20CA2"/>
    <w:rsid w:val="00D213B9"/>
    <w:rsid w:val="00D218D2"/>
    <w:rsid w:val="00D22DE5"/>
    <w:rsid w:val="00D23105"/>
    <w:rsid w:val="00D23997"/>
    <w:rsid w:val="00D242B5"/>
    <w:rsid w:val="00D244A1"/>
    <w:rsid w:val="00D24612"/>
    <w:rsid w:val="00D253D3"/>
    <w:rsid w:val="00D25405"/>
    <w:rsid w:val="00D254E7"/>
    <w:rsid w:val="00D2583A"/>
    <w:rsid w:val="00D25B63"/>
    <w:rsid w:val="00D25D88"/>
    <w:rsid w:val="00D26615"/>
    <w:rsid w:val="00D266DE"/>
    <w:rsid w:val="00D269EE"/>
    <w:rsid w:val="00D26C70"/>
    <w:rsid w:val="00D26CFF"/>
    <w:rsid w:val="00D3012F"/>
    <w:rsid w:val="00D31571"/>
    <w:rsid w:val="00D3157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885"/>
    <w:rsid w:val="00D52BE0"/>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07C"/>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6307"/>
    <w:rsid w:val="00D967F2"/>
    <w:rsid w:val="00D971CE"/>
    <w:rsid w:val="00D974D0"/>
    <w:rsid w:val="00D97715"/>
    <w:rsid w:val="00DA0CF6"/>
    <w:rsid w:val="00DA12F2"/>
    <w:rsid w:val="00DA1F94"/>
    <w:rsid w:val="00DA2AEA"/>
    <w:rsid w:val="00DA2CF7"/>
    <w:rsid w:val="00DA3AA7"/>
    <w:rsid w:val="00DA43D5"/>
    <w:rsid w:val="00DA453A"/>
    <w:rsid w:val="00DA4E2E"/>
    <w:rsid w:val="00DA5C9B"/>
    <w:rsid w:val="00DA5D19"/>
    <w:rsid w:val="00DA5E0F"/>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66B"/>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DD8"/>
    <w:rsid w:val="00E51EF4"/>
    <w:rsid w:val="00E522C5"/>
    <w:rsid w:val="00E523AF"/>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5173"/>
    <w:rsid w:val="00E85FD3"/>
    <w:rsid w:val="00E86170"/>
    <w:rsid w:val="00E862F2"/>
    <w:rsid w:val="00E862FB"/>
    <w:rsid w:val="00E86C95"/>
    <w:rsid w:val="00E877BB"/>
    <w:rsid w:val="00E87951"/>
    <w:rsid w:val="00E87FE2"/>
    <w:rsid w:val="00E907BC"/>
    <w:rsid w:val="00E90CD1"/>
    <w:rsid w:val="00E90E4B"/>
    <w:rsid w:val="00E910ED"/>
    <w:rsid w:val="00E9145A"/>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C2B"/>
    <w:rsid w:val="00ED2D21"/>
    <w:rsid w:val="00ED3161"/>
    <w:rsid w:val="00ED3564"/>
    <w:rsid w:val="00ED3B67"/>
    <w:rsid w:val="00ED43C1"/>
    <w:rsid w:val="00ED540D"/>
    <w:rsid w:val="00ED5443"/>
    <w:rsid w:val="00ED64C9"/>
    <w:rsid w:val="00ED6E8A"/>
    <w:rsid w:val="00ED7EC4"/>
    <w:rsid w:val="00EE014C"/>
    <w:rsid w:val="00EE3797"/>
    <w:rsid w:val="00EE3869"/>
    <w:rsid w:val="00EE3B49"/>
    <w:rsid w:val="00EE4095"/>
    <w:rsid w:val="00EE4175"/>
    <w:rsid w:val="00EE48EF"/>
    <w:rsid w:val="00EE508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3E6"/>
    <w:rsid w:val="00F074F3"/>
    <w:rsid w:val="00F07B50"/>
    <w:rsid w:val="00F11347"/>
    <w:rsid w:val="00F116CE"/>
    <w:rsid w:val="00F116F3"/>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5A1"/>
    <w:rsid w:val="00F75924"/>
    <w:rsid w:val="00F7628F"/>
    <w:rsid w:val="00F76903"/>
    <w:rsid w:val="00F77892"/>
    <w:rsid w:val="00F77BAA"/>
    <w:rsid w:val="00F77D12"/>
    <w:rsid w:val="00F77FAA"/>
    <w:rsid w:val="00F80410"/>
    <w:rsid w:val="00F80519"/>
    <w:rsid w:val="00F80982"/>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BFD"/>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4EF"/>
    <w:rsid w:val="00FE2691"/>
    <w:rsid w:val="00FE2823"/>
    <w:rsid w:val="00FE297F"/>
    <w:rsid w:val="00FE2C44"/>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documentManagement/types"/>
    <ds:schemaRef ds:uri="36738d95-949f-4689-9b53-0d186961a75d"/>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ACE3DB-50DF-4B3C-8C1E-2FA5CFC8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1461</Words>
  <Characters>8333</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3</cp:revision>
  <dcterms:created xsi:type="dcterms:W3CDTF">2020-08-07T08:01:00Z</dcterms:created>
  <dcterms:modified xsi:type="dcterms:W3CDTF">2020-08-07T08:04:00Z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