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6718E30F"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EE6961">
        <w:rPr>
          <w:rFonts w:ascii="Arial" w:eastAsia="SimSun" w:hAnsi="Arial"/>
          <w:b/>
          <w:szCs w:val="22"/>
          <w:lang w:eastAsia="zh-CN"/>
        </w:rPr>
        <w:t>2</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4543DC" w:rsidRPr="004543DC">
        <w:rPr>
          <w:rFonts w:ascii="Arial" w:eastAsia="SimSun" w:hAnsi="Arial"/>
          <w:b/>
          <w:szCs w:val="22"/>
        </w:rPr>
        <w:t>R1-2006720</w:t>
      </w:r>
      <w:bookmarkStart w:id="1" w:name="_GoBack"/>
      <w:bookmarkEnd w:id="1"/>
    </w:p>
    <w:p w14:paraId="5F04922C" w14:textId="0D7F7471"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17</w:t>
      </w:r>
      <w:r w:rsidRPr="00C5186E">
        <w:rPr>
          <w:rFonts w:ascii="Arial" w:eastAsia="SimSun" w:hAnsi="Arial"/>
          <w:b/>
          <w:szCs w:val="22"/>
          <w:lang w:eastAsia="zh-CN"/>
        </w:rPr>
        <w:t xml:space="preserve">th –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2</w:t>
      </w:r>
      <w:r w:rsidR="00A64ED0">
        <w:rPr>
          <w:rFonts w:ascii="Arial" w:eastAsia="SimSun" w:hAnsi="Arial"/>
          <w:b/>
          <w:szCs w:val="22"/>
          <w:lang w:eastAsia="zh-CN"/>
        </w:rPr>
        <w:t>8</w:t>
      </w:r>
      <w:r w:rsidRPr="00C5186E">
        <w:rPr>
          <w:rFonts w:ascii="Arial" w:eastAsia="SimSun"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01F5311D"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 xml:space="preserve">Discussion on </w:t>
      </w:r>
      <w:r w:rsidR="003D1968" w:rsidRPr="003D1968">
        <w:rPr>
          <w:rFonts w:eastAsia="ＭＳ ゴシック"/>
          <w:noProof w:val="0"/>
          <w:sz w:val="24"/>
          <w:szCs w:val="22"/>
        </w:rPr>
        <w:t>inter-cell multi-TRP operations</w:t>
      </w:r>
    </w:p>
    <w:p w14:paraId="4EA871AB" w14:textId="057BFCD3"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2" w:name="Source"/>
      <w:bookmarkEnd w:id="2"/>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8A15CE">
        <w:rPr>
          <w:rFonts w:eastAsia="ＭＳ ゴシック"/>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D64E7E">
            <w:pPr>
              <w:numPr>
                <w:ilvl w:val="0"/>
                <w:numId w:val="40"/>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Evaluate and, if needed, specify beam-management-related enhancements for simultaneous multi-TRP transmission with multi-panel reception</w:t>
            </w:r>
          </w:p>
          <w:p w14:paraId="69D41623"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enhancements on aperiodic SRS triggering to facilitate more flexible triggering and/or DCI overhead/usage reduction</w:t>
            </w:r>
          </w:p>
          <w:p w14:paraId="644F1C4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3C702514"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item 2-</w:t>
      </w:r>
      <w:r w:rsidR="00D97221">
        <w:rPr>
          <w:rFonts w:eastAsiaTheme="minorEastAsia"/>
          <w:color w:val="000000"/>
          <w:sz w:val="22"/>
          <w:szCs w:val="22"/>
          <w:lang w:eastAsia="zh-CN"/>
        </w:rPr>
        <w:t>b</w:t>
      </w:r>
      <w:r w:rsidR="002D7E67">
        <w:rPr>
          <w:rFonts w:eastAsiaTheme="minorEastAsia"/>
          <w:color w:val="000000"/>
          <w:sz w:val="22"/>
          <w:szCs w:val="22"/>
          <w:lang w:eastAsia="zh-CN"/>
        </w:rPr>
        <w:t xml:space="preserve"> for </w:t>
      </w:r>
      <w:r w:rsidR="00284AFB" w:rsidRPr="00284AFB">
        <w:rPr>
          <w:rFonts w:eastAsiaTheme="minorEastAsia"/>
          <w:color w:val="000000"/>
          <w:sz w:val="22"/>
          <w:szCs w:val="22"/>
          <w:lang w:eastAsia="zh-CN"/>
        </w:rPr>
        <w:t>inter-cell multi-TRP operations, assuming multi-DCI based multi-PDSCH reception</w:t>
      </w:r>
      <w:r w:rsidR="00284AFB">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760ECCBE" w:rsidR="00F2224D" w:rsidRDefault="00756C5D" w:rsidP="00F2224D">
      <w:pPr>
        <w:pStyle w:val="1"/>
      </w:pPr>
      <w:r>
        <w:t>Inter-cell MTRP operation</w:t>
      </w:r>
      <w:r w:rsidR="00F2224D" w:rsidRPr="006A1D17">
        <w:t xml:space="preserve"> </w:t>
      </w:r>
    </w:p>
    <w:p w14:paraId="7CC27A4D" w14:textId="68A215FA" w:rsidR="00AC1F4B" w:rsidRDefault="00756C5D"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NR Rel-16, </w:t>
      </w:r>
      <w:r w:rsidR="00B70846" w:rsidRPr="00B70846">
        <w:rPr>
          <w:rFonts w:eastAsiaTheme="minorEastAsia"/>
          <w:color w:val="000000"/>
          <w:sz w:val="22"/>
          <w:szCs w:val="22"/>
          <w:lang w:val="x-none" w:eastAsia="zh-CN"/>
        </w:rPr>
        <w:t xml:space="preserve">CoRESETPoolindex is introduced </w:t>
      </w:r>
      <w:r w:rsidR="00B70846">
        <w:rPr>
          <w:rFonts w:eastAsiaTheme="minorEastAsia"/>
          <w:color w:val="000000"/>
          <w:sz w:val="22"/>
          <w:szCs w:val="22"/>
          <w:lang w:val="x-none" w:eastAsia="zh-CN"/>
        </w:rPr>
        <w:t>under</w:t>
      </w:r>
      <w:r w:rsidR="00B70846" w:rsidRPr="00B70846">
        <w:rPr>
          <w:rFonts w:eastAsiaTheme="minorEastAsia"/>
          <w:color w:val="000000"/>
          <w:sz w:val="22"/>
          <w:szCs w:val="22"/>
          <w:lang w:val="x-none" w:eastAsia="zh-CN"/>
        </w:rPr>
        <w:t xml:space="preserve"> single-cell based control plane framework to support </w:t>
      </w:r>
      <w:r w:rsidR="00B70846" w:rsidRPr="00284AFB">
        <w:rPr>
          <w:rFonts w:eastAsiaTheme="minorEastAsia"/>
          <w:color w:val="000000"/>
          <w:sz w:val="22"/>
          <w:szCs w:val="22"/>
          <w:lang w:eastAsia="zh-CN"/>
        </w:rPr>
        <w:t>multi-DCI based multi-PDSCH</w:t>
      </w:r>
      <w:r w:rsidR="001D35FF">
        <w:rPr>
          <w:rFonts w:eastAsiaTheme="minorEastAsia"/>
          <w:color w:val="000000"/>
          <w:sz w:val="22"/>
          <w:szCs w:val="22"/>
          <w:lang w:eastAsia="zh-CN"/>
        </w:rPr>
        <w:t xml:space="preserve"> reception</w:t>
      </w:r>
      <w:r w:rsidR="00B70846" w:rsidRPr="00B70846">
        <w:rPr>
          <w:rFonts w:eastAsiaTheme="minorEastAsia"/>
          <w:color w:val="000000"/>
          <w:sz w:val="22"/>
          <w:szCs w:val="22"/>
          <w:lang w:val="x-none" w:eastAsia="zh-CN"/>
        </w:rPr>
        <w:t>.</w:t>
      </w:r>
      <w:r w:rsidR="00A47FAB">
        <w:rPr>
          <w:rFonts w:eastAsiaTheme="minorEastAsia"/>
          <w:color w:val="000000"/>
          <w:sz w:val="22"/>
          <w:szCs w:val="22"/>
          <w:lang w:val="x-none" w:eastAsia="zh-CN"/>
        </w:rPr>
        <w:t xml:space="preserve"> Even though the concept of TRP is introduced, </w:t>
      </w:r>
      <w:r w:rsidR="00977F09">
        <w:rPr>
          <w:rFonts w:eastAsiaTheme="minorEastAsia"/>
          <w:color w:val="000000"/>
          <w:sz w:val="22"/>
          <w:szCs w:val="22"/>
          <w:lang w:val="x-none" w:eastAsia="zh-CN"/>
        </w:rPr>
        <w:t>only intra-cell MTRP operation is supported in NR Rel-16</w:t>
      </w:r>
      <w:r w:rsidR="00CE5F67">
        <w:rPr>
          <w:rFonts w:eastAsiaTheme="minorEastAsia"/>
          <w:color w:val="000000"/>
          <w:sz w:val="22"/>
          <w:szCs w:val="22"/>
          <w:lang w:val="x-none" w:eastAsia="zh-CN"/>
        </w:rPr>
        <w:t>. As shown in Fig.1, with single-cell based control plane framework,</w:t>
      </w:r>
      <w:r w:rsidR="0003207E">
        <w:rPr>
          <w:rFonts w:eastAsiaTheme="minorEastAsia"/>
          <w:color w:val="000000"/>
          <w:sz w:val="22"/>
          <w:szCs w:val="22"/>
          <w:lang w:val="x-none" w:eastAsia="zh-CN"/>
        </w:rPr>
        <w:t xml:space="preserve"> the SSBs </w:t>
      </w:r>
      <w:r w:rsidR="003678AF">
        <w:rPr>
          <w:rFonts w:eastAsiaTheme="minorEastAsia"/>
          <w:color w:val="000000"/>
          <w:sz w:val="22"/>
          <w:szCs w:val="22"/>
          <w:lang w:val="x-none" w:eastAsia="zh-CN"/>
        </w:rPr>
        <w:t>of MTRP</w:t>
      </w:r>
      <w:r w:rsidR="003E789A">
        <w:rPr>
          <w:rFonts w:eastAsiaTheme="minorEastAsia"/>
          <w:color w:val="000000"/>
          <w:sz w:val="22"/>
          <w:szCs w:val="22"/>
          <w:lang w:val="x-none" w:eastAsia="zh-CN"/>
        </w:rPr>
        <w:t xml:space="preserve"> are from the same</w:t>
      </w:r>
      <w:r w:rsidR="0003207E">
        <w:rPr>
          <w:rFonts w:eastAsiaTheme="minorEastAsia"/>
          <w:color w:val="000000"/>
          <w:sz w:val="22"/>
          <w:szCs w:val="22"/>
          <w:lang w:val="x-none" w:eastAsia="zh-CN"/>
        </w:rPr>
        <w:t xml:space="preserve"> serving cell</w:t>
      </w:r>
      <w:r w:rsidR="005D38F4">
        <w:rPr>
          <w:rFonts w:eastAsiaTheme="minorEastAsia"/>
          <w:color w:val="000000"/>
          <w:sz w:val="22"/>
          <w:szCs w:val="22"/>
          <w:lang w:val="x-none" w:eastAsia="zh-CN"/>
        </w:rPr>
        <w:t>, which</w:t>
      </w:r>
      <w:r w:rsidR="0003207E">
        <w:rPr>
          <w:rFonts w:eastAsiaTheme="minorEastAsia"/>
          <w:color w:val="000000"/>
          <w:sz w:val="22"/>
          <w:szCs w:val="22"/>
          <w:lang w:val="x-none" w:eastAsia="zh-CN"/>
        </w:rPr>
        <w:t xml:space="preserve"> are associated with a PCI and used </w:t>
      </w:r>
      <w:r w:rsidR="003678AF">
        <w:rPr>
          <w:rFonts w:eastAsiaTheme="minorEastAsia"/>
          <w:color w:val="000000"/>
          <w:sz w:val="22"/>
          <w:szCs w:val="22"/>
          <w:lang w:val="x-none" w:eastAsia="zh-CN"/>
        </w:rPr>
        <w:t>as top QCL source for other RSs.</w:t>
      </w:r>
      <w:r w:rsidR="00EF12D8">
        <w:rPr>
          <w:rFonts w:eastAsiaTheme="minorEastAsia"/>
          <w:color w:val="000000"/>
          <w:sz w:val="22"/>
          <w:szCs w:val="22"/>
          <w:lang w:val="x-none" w:eastAsia="zh-CN"/>
        </w:rPr>
        <w:t xml:space="preserve"> In that case, UE cannot derive QCL from a non-serving cell SSB. Inter-cell MTRP is not well supported in NR Rel-16.</w:t>
      </w:r>
    </w:p>
    <w:p w14:paraId="2D31FC90" w14:textId="222D4C8A" w:rsidR="00D6325C" w:rsidRDefault="00CF7C1D" w:rsidP="00CF7C1D">
      <w:pPr>
        <w:spacing w:beforeLines="50" w:before="120" w:afterLines="50" w:after="120"/>
        <w:jc w:val="center"/>
        <w:rPr>
          <w:rFonts w:eastAsiaTheme="minorEastAsia"/>
          <w:color w:val="000000"/>
          <w:sz w:val="22"/>
          <w:szCs w:val="22"/>
          <w:lang w:val="x-none" w:eastAsia="zh-CN"/>
        </w:rPr>
      </w:pPr>
      <w:r>
        <w:rPr>
          <w:rFonts w:eastAsiaTheme="minorEastAsia"/>
          <w:noProof/>
          <w:color w:val="000000"/>
          <w:sz w:val="22"/>
          <w:szCs w:val="22"/>
          <w:lang w:eastAsia="ja-JP"/>
        </w:rPr>
        <w:lastRenderedPageBreak/>
        <w:drawing>
          <wp:inline distT="0" distB="0" distL="0" distR="0" wp14:anchorId="43AFF17D" wp14:editId="63006B9D">
            <wp:extent cx="2693279" cy="14056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8481" cy="1413566"/>
                    </a:xfrm>
                    <a:prstGeom prst="rect">
                      <a:avLst/>
                    </a:prstGeom>
                    <a:noFill/>
                  </pic:spPr>
                </pic:pic>
              </a:graphicData>
            </a:graphic>
          </wp:inline>
        </w:drawing>
      </w:r>
    </w:p>
    <w:p w14:paraId="3EDE1031" w14:textId="776C8810" w:rsidR="00CF7C1D" w:rsidRDefault="00CF7C1D" w:rsidP="00CF7C1D">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ig</w:t>
      </w:r>
      <w:r w:rsidR="003033E4">
        <w:rPr>
          <w:rFonts w:eastAsiaTheme="minorEastAsia"/>
          <w:color w:val="000000"/>
          <w:sz w:val="22"/>
          <w:szCs w:val="22"/>
          <w:lang w:val="x-none" w:eastAsia="zh-CN"/>
        </w:rPr>
        <w:t xml:space="preserve">ure </w:t>
      </w:r>
      <w:r>
        <w:rPr>
          <w:rFonts w:eastAsiaTheme="minorEastAsia"/>
          <w:color w:val="000000"/>
          <w:sz w:val="22"/>
          <w:szCs w:val="22"/>
          <w:lang w:val="x-none" w:eastAsia="zh-CN"/>
        </w:rPr>
        <w:t>1 An example of intra-cell MTRP</w:t>
      </w:r>
      <w:r w:rsidR="00F601E2">
        <w:rPr>
          <w:rFonts w:eastAsiaTheme="minorEastAsia"/>
          <w:color w:val="000000"/>
          <w:sz w:val="22"/>
          <w:szCs w:val="22"/>
          <w:lang w:val="x-none" w:eastAsia="zh-CN"/>
        </w:rPr>
        <w:t xml:space="preserve"> in NR Rel-16</w:t>
      </w:r>
    </w:p>
    <w:p w14:paraId="2AD4D65A" w14:textId="38A90D15" w:rsidR="0004790F" w:rsidRDefault="0004790F" w:rsidP="00CF7C1D">
      <w:pPr>
        <w:spacing w:beforeLines="50" w:before="120" w:afterLines="50" w:after="120"/>
        <w:jc w:val="center"/>
        <w:rPr>
          <w:rFonts w:eastAsiaTheme="minorEastAsia"/>
          <w:color w:val="000000"/>
          <w:sz w:val="22"/>
          <w:szCs w:val="22"/>
          <w:lang w:val="x-none" w:eastAsia="zh-CN"/>
        </w:rPr>
      </w:pPr>
      <w:r>
        <w:rPr>
          <w:rFonts w:eastAsiaTheme="minorEastAsia"/>
          <w:noProof/>
          <w:color w:val="000000"/>
          <w:sz w:val="22"/>
          <w:szCs w:val="22"/>
          <w:lang w:eastAsia="ja-JP"/>
        </w:rPr>
        <w:drawing>
          <wp:inline distT="0" distB="0" distL="0" distR="0" wp14:anchorId="01555071" wp14:editId="38BB1777">
            <wp:extent cx="2466517" cy="142820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5239" cy="1444832"/>
                    </a:xfrm>
                    <a:prstGeom prst="rect">
                      <a:avLst/>
                    </a:prstGeom>
                    <a:noFill/>
                  </pic:spPr>
                </pic:pic>
              </a:graphicData>
            </a:graphic>
          </wp:inline>
        </w:drawing>
      </w:r>
    </w:p>
    <w:p w14:paraId="468370F4" w14:textId="604F7453" w:rsidR="00E55DA5" w:rsidRDefault="00E55DA5" w:rsidP="00E55DA5">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ig</w:t>
      </w:r>
      <w:r w:rsidR="00E4174A">
        <w:rPr>
          <w:rFonts w:eastAsiaTheme="minorEastAsia"/>
          <w:color w:val="000000"/>
          <w:sz w:val="22"/>
          <w:szCs w:val="22"/>
          <w:lang w:val="x-none" w:eastAsia="zh-CN"/>
        </w:rPr>
        <w:t xml:space="preserve">ure </w:t>
      </w:r>
      <w:r w:rsidR="00AA61FD">
        <w:rPr>
          <w:rFonts w:eastAsiaTheme="minorEastAsia"/>
          <w:color w:val="000000"/>
          <w:sz w:val="22"/>
          <w:szCs w:val="22"/>
          <w:lang w:val="x-none" w:eastAsia="zh-CN"/>
        </w:rPr>
        <w:t>2</w:t>
      </w:r>
      <w:r>
        <w:rPr>
          <w:rFonts w:eastAsiaTheme="minorEastAsia"/>
          <w:color w:val="000000"/>
          <w:sz w:val="22"/>
          <w:szCs w:val="22"/>
          <w:lang w:val="x-none" w:eastAsia="zh-CN"/>
        </w:rPr>
        <w:t xml:space="preserve"> An example of int</w:t>
      </w:r>
      <w:r w:rsidR="0004790F">
        <w:rPr>
          <w:rFonts w:eastAsiaTheme="minorEastAsia"/>
          <w:color w:val="000000"/>
          <w:sz w:val="22"/>
          <w:szCs w:val="22"/>
          <w:lang w:val="x-none" w:eastAsia="zh-CN"/>
        </w:rPr>
        <w:t>er</w:t>
      </w:r>
      <w:r>
        <w:rPr>
          <w:rFonts w:eastAsiaTheme="minorEastAsia"/>
          <w:color w:val="000000"/>
          <w:sz w:val="22"/>
          <w:szCs w:val="22"/>
          <w:lang w:val="x-none" w:eastAsia="zh-CN"/>
        </w:rPr>
        <w:t>-cell MTRP in NR Rel-1</w:t>
      </w:r>
      <w:r w:rsidR="0004790F">
        <w:rPr>
          <w:rFonts w:eastAsiaTheme="minorEastAsia"/>
          <w:color w:val="000000"/>
          <w:sz w:val="22"/>
          <w:szCs w:val="22"/>
          <w:lang w:val="x-none" w:eastAsia="zh-CN"/>
        </w:rPr>
        <w:t>7</w:t>
      </w:r>
    </w:p>
    <w:p w14:paraId="5D374CF6" w14:textId="77777777" w:rsidR="00E55DA5" w:rsidRPr="00E55DA5" w:rsidRDefault="00E55DA5" w:rsidP="00CF7C1D">
      <w:pPr>
        <w:spacing w:beforeLines="50" w:before="120" w:afterLines="50" w:after="120"/>
        <w:jc w:val="center"/>
        <w:rPr>
          <w:rFonts w:eastAsiaTheme="minorEastAsia"/>
          <w:color w:val="000000"/>
          <w:sz w:val="22"/>
          <w:szCs w:val="22"/>
          <w:lang w:val="x-none" w:eastAsia="zh-CN"/>
        </w:rPr>
      </w:pPr>
    </w:p>
    <w:p w14:paraId="6AA540D5" w14:textId="2A3D18F7" w:rsidR="00980DEA" w:rsidRDefault="002345FF"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T</w:t>
      </w:r>
      <w:r>
        <w:rPr>
          <w:rFonts w:eastAsiaTheme="minorEastAsia"/>
          <w:color w:val="000000"/>
          <w:sz w:val="22"/>
          <w:szCs w:val="22"/>
          <w:lang w:val="x-none" w:eastAsia="zh-CN"/>
        </w:rPr>
        <w:t xml:space="preserve">o better support inter-cell MTRP operation in NR Rel-17, the SSBs </w:t>
      </w:r>
      <w:r w:rsidR="000D4ACE">
        <w:rPr>
          <w:rFonts w:eastAsiaTheme="minorEastAsia"/>
          <w:color w:val="000000"/>
          <w:sz w:val="22"/>
          <w:szCs w:val="22"/>
          <w:lang w:val="x-none" w:eastAsia="zh-CN"/>
        </w:rPr>
        <w:t>from non-serving cell</w:t>
      </w:r>
      <w:r w:rsidR="007C31C3">
        <w:rPr>
          <w:rFonts w:eastAsiaTheme="minorEastAsia"/>
          <w:color w:val="000000"/>
          <w:sz w:val="22"/>
          <w:szCs w:val="22"/>
          <w:lang w:val="x-none" w:eastAsia="zh-CN"/>
        </w:rPr>
        <w:t xml:space="preserve"> with a different PCI</w:t>
      </w:r>
      <w:r w:rsidR="000D4ACE">
        <w:rPr>
          <w:rFonts w:eastAsiaTheme="minorEastAsia"/>
          <w:color w:val="000000"/>
          <w:sz w:val="22"/>
          <w:szCs w:val="22"/>
          <w:lang w:val="x-none" w:eastAsia="zh-CN"/>
        </w:rPr>
        <w:t xml:space="preserve"> should be able to become </w:t>
      </w:r>
      <w:r w:rsidR="00AA61FD">
        <w:rPr>
          <w:rFonts w:eastAsiaTheme="minorEastAsia"/>
          <w:color w:val="000000"/>
          <w:sz w:val="22"/>
          <w:szCs w:val="22"/>
          <w:lang w:val="x-none" w:eastAsia="zh-CN"/>
        </w:rPr>
        <w:t xml:space="preserve">the </w:t>
      </w:r>
      <w:r w:rsidR="000D4ACE">
        <w:rPr>
          <w:rFonts w:eastAsiaTheme="minorEastAsia"/>
          <w:color w:val="000000"/>
          <w:sz w:val="22"/>
          <w:szCs w:val="22"/>
          <w:lang w:val="x-none" w:eastAsia="zh-CN"/>
        </w:rPr>
        <w:t>top QCL source for a UE, as shown in Fig.2.</w:t>
      </w:r>
      <w:r w:rsidR="007C31C3">
        <w:rPr>
          <w:rFonts w:eastAsiaTheme="minorEastAsia"/>
          <w:color w:val="000000"/>
          <w:sz w:val="22"/>
          <w:szCs w:val="22"/>
          <w:lang w:val="x-none" w:eastAsia="zh-CN"/>
        </w:rPr>
        <w:t xml:space="preserve"> </w:t>
      </w:r>
      <w:r w:rsidR="00980DEA">
        <w:rPr>
          <w:rFonts w:eastAsiaTheme="minorEastAsia" w:hint="eastAsia"/>
          <w:color w:val="000000"/>
          <w:sz w:val="22"/>
          <w:szCs w:val="22"/>
          <w:lang w:val="x-none" w:eastAsia="zh-CN"/>
        </w:rPr>
        <w:t>I</w:t>
      </w:r>
      <w:r w:rsidR="00980DEA">
        <w:rPr>
          <w:rFonts w:eastAsiaTheme="minorEastAsia"/>
          <w:color w:val="000000"/>
          <w:sz w:val="22"/>
          <w:szCs w:val="22"/>
          <w:lang w:val="x-none" w:eastAsia="zh-CN"/>
        </w:rPr>
        <w:t xml:space="preserve">n NR Rel-16, some companies discussed to reuse CA or DC framework to support </w:t>
      </w:r>
      <w:r w:rsidR="006F029B">
        <w:rPr>
          <w:rFonts w:eastAsiaTheme="minorEastAsia"/>
          <w:color w:val="000000"/>
          <w:sz w:val="22"/>
          <w:szCs w:val="22"/>
          <w:lang w:val="x-none" w:eastAsia="zh-CN"/>
        </w:rPr>
        <w:t>multi</w:t>
      </w:r>
      <w:r w:rsidR="00980DEA">
        <w:rPr>
          <w:rFonts w:eastAsiaTheme="minorEastAsia"/>
          <w:color w:val="000000"/>
          <w:sz w:val="22"/>
          <w:szCs w:val="22"/>
          <w:lang w:val="x-none" w:eastAsia="zh-CN"/>
        </w:rPr>
        <w:t>-DCI based MTRP</w:t>
      </w:r>
      <w:r w:rsidR="006F029B">
        <w:rPr>
          <w:rFonts w:eastAsiaTheme="minorEastAsia"/>
          <w:color w:val="000000"/>
          <w:sz w:val="22"/>
          <w:szCs w:val="22"/>
          <w:lang w:val="x-none" w:eastAsia="zh-CN"/>
        </w:rPr>
        <w:t xml:space="preserve"> transmission</w:t>
      </w:r>
      <w:r w:rsidR="00980DEA">
        <w:rPr>
          <w:rFonts w:eastAsiaTheme="minorEastAsia"/>
          <w:color w:val="000000"/>
          <w:sz w:val="22"/>
          <w:szCs w:val="22"/>
          <w:lang w:val="x-none" w:eastAsia="zh-CN"/>
        </w:rPr>
        <w:t>.</w:t>
      </w:r>
      <w:r w:rsidR="006F029B">
        <w:rPr>
          <w:rFonts w:eastAsiaTheme="minorEastAsia"/>
          <w:color w:val="000000"/>
          <w:sz w:val="22"/>
          <w:szCs w:val="22"/>
          <w:lang w:val="x-none" w:eastAsia="zh-CN"/>
        </w:rPr>
        <w:t xml:space="preserve"> In that case, the second TRP</w:t>
      </w:r>
      <w:r w:rsidR="00BD5334">
        <w:rPr>
          <w:rFonts w:eastAsiaTheme="minorEastAsia"/>
          <w:color w:val="000000"/>
          <w:sz w:val="22"/>
          <w:szCs w:val="22"/>
          <w:lang w:val="x-none" w:eastAsia="zh-CN"/>
        </w:rPr>
        <w:t xml:space="preserve"> can be a serving cell with a different PCI</w:t>
      </w:r>
      <w:r w:rsidR="00CC46E7">
        <w:rPr>
          <w:rFonts w:eastAsiaTheme="minorEastAsia"/>
          <w:color w:val="000000"/>
          <w:sz w:val="22"/>
          <w:szCs w:val="22"/>
          <w:lang w:val="x-none" w:eastAsia="zh-CN"/>
        </w:rPr>
        <w:t xml:space="preserve"> and can be used as QCL source. However, </w:t>
      </w:r>
      <w:r w:rsidR="001D45BA">
        <w:rPr>
          <w:rFonts w:eastAsiaTheme="minorEastAsia"/>
          <w:color w:val="000000"/>
          <w:sz w:val="22"/>
          <w:szCs w:val="22"/>
          <w:lang w:val="x-none" w:eastAsia="zh-CN"/>
        </w:rPr>
        <w:t xml:space="preserve">with CA or DC framework, the RRC signaling overhead will be quite large and duplicated </w:t>
      </w:r>
      <w:r w:rsidR="00C73B9D">
        <w:rPr>
          <w:rFonts w:eastAsiaTheme="minorEastAsia"/>
          <w:color w:val="000000"/>
          <w:sz w:val="22"/>
          <w:szCs w:val="22"/>
          <w:lang w:val="x-none" w:eastAsia="zh-CN"/>
        </w:rPr>
        <w:t>since many configurations for the second TRP should be configured the same as the first TRP.</w:t>
      </w:r>
      <w:r w:rsidR="009844AE">
        <w:rPr>
          <w:rFonts w:eastAsiaTheme="minorEastAsia"/>
          <w:color w:val="000000"/>
          <w:sz w:val="22"/>
          <w:szCs w:val="22"/>
          <w:lang w:val="x-none" w:eastAsia="zh-CN"/>
        </w:rPr>
        <w:t xml:space="preserve"> And UE complexity to support MTRP is increased since </w:t>
      </w:r>
      <w:r w:rsidR="009844AE" w:rsidRPr="00AA61FD">
        <w:rPr>
          <w:rFonts w:eastAsiaTheme="minorEastAsia"/>
          <w:color w:val="000000"/>
          <w:sz w:val="22"/>
          <w:szCs w:val="22"/>
          <w:lang w:val="x-none" w:eastAsia="zh-CN"/>
        </w:rPr>
        <w:t>multiple MAC</w:t>
      </w:r>
      <w:r w:rsidR="009844AE">
        <w:rPr>
          <w:rFonts w:eastAsiaTheme="minorEastAsia"/>
          <w:color w:val="000000"/>
          <w:sz w:val="22"/>
          <w:szCs w:val="22"/>
          <w:lang w:val="x-none" w:eastAsia="zh-CN"/>
        </w:rPr>
        <w:t xml:space="preserve"> en</w:t>
      </w:r>
      <w:r w:rsidR="00DD643B">
        <w:rPr>
          <w:rFonts w:eastAsiaTheme="minorEastAsia"/>
          <w:color w:val="000000"/>
          <w:sz w:val="22"/>
          <w:szCs w:val="22"/>
          <w:lang w:val="x-none" w:eastAsia="zh-CN"/>
        </w:rPr>
        <w:t xml:space="preserve">tities are required </w:t>
      </w:r>
      <w:r w:rsidR="00C85B36">
        <w:rPr>
          <w:rFonts w:eastAsiaTheme="minorEastAsia"/>
          <w:color w:val="000000"/>
          <w:sz w:val="22"/>
          <w:szCs w:val="22"/>
          <w:lang w:val="x-none" w:eastAsia="zh-CN"/>
        </w:rPr>
        <w:t>for</w:t>
      </w:r>
      <w:r w:rsidR="00DD643B">
        <w:rPr>
          <w:rFonts w:eastAsiaTheme="minorEastAsia"/>
          <w:color w:val="000000"/>
          <w:sz w:val="22"/>
          <w:szCs w:val="22"/>
          <w:lang w:val="x-none" w:eastAsia="zh-CN"/>
        </w:rPr>
        <w:t xml:space="preserve"> DC framework.</w:t>
      </w:r>
      <w:r w:rsidR="00AD42E6">
        <w:rPr>
          <w:rFonts w:eastAsiaTheme="minorEastAsia"/>
          <w:color w:val="000000"/>
          <w:sz w:val="22"/>
          <w:szCs w:val="22"/>
          <w:lang w:val="x-none" w:eastAsia="zh-CN"/>
        </w:rPr>
        <w:t xml:space="preserve"> Hence, h</w:t>
      </w:r>
      <w:r w:rsidR="00AD42E6" w:rsidRPr="00AD42E6">
        <w:rPr>
          <w:rFonts w:eastAsiaTheme="minorEastAsia"/>
          <w:color w:val="000000"/>
          <w:sz w:val="22"/>
          <w:szCs w:val="22"/>
          <w:lang w:val="x-none" w:eastAsia="zh-CN"/>
        </w:rPr>
        <w:t xml:space="preserve">ow to support </w:t>
      </w:r>
      <w:r w:rsidR="00AD42E6">
        <w:rPr>
          <w:rFonts w:eastAsiaTheme="minorEastAsia"/>
          <w:color w:val="000000"/>
          <w:sz w:val="22"/>
          <w:szCs w:val="22"/>
          <w:lang w:val="x-none" w:eastAsia="zh-CN"/>
        </w:rPr>
        <w:t>inter-cell</w:t>
      </w:r>
      <w:r w:rsidR="005C0CFD">
        <w:rPr>
          <w:rFonts w:eastAsiaTheme="minorEastAsia"/>
          <w:color w:val="000000"/>
          <w:sz w:val="22"/>
          <w:szCs w:val="22"/>
          <w:lang w:val="x-none" w:eastAsia="zh-CN"/>
        </w:rPr>
        <w:t xml:space="preserve"> MTRP</w:t>
      </w:r>
      <w:r w:rsidR="00AD42E6" w:rsidRPr="00AD42E6">
        <w:rPr>
          <w:rFonts w:eastAsiaTheme="minorEastAsia"/>
          <w:color w:val="000000"/>
          <w:sz w:val="22"/>
          <w:szCs w:val="22"/>
          <w:lang w:val="x-none" w:eastAsia="zh-CN"/>
        </w:rPr>
        <w:t xml:space="preserve"> based on </w:t>
      </w:r>
      <w:r w:rsidR="005C0CFD" w:rsidRPr="00B70846">
        <w:rPr>
          <w:rFonts w:eastAsiaTheme="minorEastAsia"/>
          <w:color w:val="000000"/>
          <w:sz w:val="22"/>
          <w:szCs w:val="22"/>
          <w:lang w:val="x-none" w:eastAsia="zh-CN"/>
        </w:rPr>
        <w:t xml:space="preserve">single-cell </w:t>
      </w:r>
      <w:r w:rsidR="005C0CFD">
        <w:rPr>
          <w:rFonts w:eastAsiaTheme="minorEastAsia"/>
          <w:color w:val="000000"/>
          <w:sz w:val="22"/>
          <w:szCs w:val="22"/>
          <w:lang w:val="x-none" w:eastAsia="zh-CN"/>
        </w:rPr>
        <w:t>signaling</w:t>
      </w:r>
      <w:r w:rsidR="005C0CFD" w:rsidRPr="00AD42E6">
        <w:rPr>
          <w:rFonts w:eastAsiaTheme="minorEastAsia"/>
          <w:color w:val="000000"/>
          <w:sz w:val="22"/>
          <w:szCs w:val="22"/>
          <w:lang w:val="x-none" w:eastAsia="zh-CN"/>
        </w:rPr>
        <w:t xml:space="preserve"> </w:t>
      </w:r>
      <w:r w:rsidR="00AD42E6" w:rsidRPr="00AD42E6">
        <w:rPr>
          <w:rFonts w:eastAsiaTheme="minorEastAsia"/>
          <w:color w:val="000000"/>
          <w:sz w:val="22"/>
          <w:szCs w:val="22"/>
          <w:lang w:val="x-none" w:eastAsia="zh-CN"/>
        </w:rPr>
        <w:t>framework is important.</w:t>
      </w:r>
      <w:r w:rsidR="001251FF">
        <w:rPr>
          <w:rFonts w:eastAsiaTheme="minorEastAsia"/>
          <w:color w:val="000000"/>
          <w:sz w:val="22"/>
          <w:szCs w:val="22"/>
          <w:lang w:val="x-none" w:eastAsia="zh-CN"/>
        </w:rPr>
        <w:t xml:space="preserve"> Following methods can be considered.</w:t>
      </w:r>
    </w:p>
    <w:p w14:paraId="3891F467" w14:textId="6270FAE9" w:rsidR="001251FF" w:rsidRDefault="001251FF"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A</w:t>
      </w:r>
      <w:r>
        <w:rPr>
          <w:rFonts w:eastAsiaTheme="minorEastAsia"/>
          <w:color w:val="000000"/>
          <w:sz w:val="22"/>
          <w:szCs w:val="22"/>
          <w:lang w:val="x-none" w:eastAsia="zh-CN"/>
        </w:rPr>
        <w:t>lt.1</w:t>
      </w:r>
      <w:r w:rsidR="00D22B82">
        <w:rPr>
          <w:rFonts w:eastAsiaTheme="minorEastAsia"/>
          <w:color w:val="000000"/>
          <w:sz w:val="22"/>
          <w:szCs w:val="22"/>
          <w:lang w:val="x-none" w:eastAsia="zh-CN"/>
        </w:rPr>
        <w:t>:</w:t>
      </w:r>
      <w:r>
        <w:rPr>
          <w:rFonts w:eastAsiaTheme="minorEastAsia"/>
          <w:color w:val="000000"/>
          <w:sz w:val="22"/>
          <w:szCs w:val="22"/>
          <w:lang w:val="x-none" w:eastAsia="zh-CN"/>
        </w:rPr>
        <w:t xml:space="preserve"> </w:t>
      </w:r>
      <w:r w:rsidR="00D22B82">
        <w:rPr>
          <w:rFonts w:eastAsiaTheme="minorEastAsia"/>
          <w:color w:val="000000"/>
          <w:sz w:val="22"/>
          <w:szCs w:val="22"/>
          <w:lang w:val="x-none" w:eastAsia="zh-CN"/>
        </w:rPr>
        <w:t>‘TRP-ID’ and ‘TRP-config’ can be added</w:t>
      </w:r>
      <w:r w:rsidR="0044644F">
        <w:rPr>
          <w:rFonts w:eastAsiaTheme="minorEastAsia"/>
          <w:color w:val="000000"/>
          <w:sz w:val="22"/>
          <w:szCs w:val="22"/>
          <w:lang w:val="x-none" w:eastAsia="zh-CN"/>
        </w:rPr>
        <w:t xml:space="preserve"> for configuration of a serving cell for a UE. At least SSB list and </w:t>
      </w:r>
      <w:r w:rsidR="003C3F9C" w:rsidRPr="003C3F9C">
        <w:rPr>
          <w:rFonts w:eastAsiaTheme="minorEastAsia"/>
          <w:color w:val="000000"/>
          <w:sz w:val="22"/>
          <w:szCs w:val="22"/>
          <w:lang w:val="x-none" w:eastAsia="zh-CN"/>
        </w:rPr>
        <w:t xml:space="preserve">PhysCellId </w:t>
      </w:r>
      <w:r w:rsidR="003C3F9C">
        <w:rPr>
          <w:rFonts w:eastAsiaTheme="minorEastAsia"/>
          <w:color w:val="000000"/>
          <w:sz w:val="22"/>
          <w:szCs w:val="22"/>
          <w:lang w:val="x-none" w:eastAsia="zh-CN"/>
        </w:rPr>
        <w:t>can be configured for a TRP</w:t>
      </w:r>
      <w:r w:rsidR="003C3F9C" w:rsidRPr="003C3F9C">
        <w:rPr>
          <w:rFonts w:eastAsiaTheme="minorEastAsia"/>
          <w:color w:val="000000"/>
          <w:sz w:val="22"/>
          <w:szCs w:val="22"/>
          <w:lang w:val="x-none" w:eastAsia="zh-CN"/>
        </w:rPr>
        <w:t>.</w:t>
      </w:r>
      <w:r w:rsidR="00CE744F">
        <w:rPr>
          <w:rFonts w:eastAsiaTheme="minorEastAsia"/>
          <w:color w:val="000000"/>
          <w:sz w:val="22"/>
          <w:szCs w:val="22"/>
          <w:lang w:val="x-none" w:eastAsia="zh-CN"/>
        </w:rPr>
        <w:t xml:space="preserve"> </w:t>
      </w:r>
      <w:r w:rsidR="002C439D">
        <w:rPr>
          <w:rFonts w:eastAsiaTheme="minorEastAsia"/>
          <w:color w:val="000000"/>
          <w:sz w:val="22"/>
          <w:szCs w:val="22"/>
          <w:lang w:val="x-none" w:eastAsia="zh-CN"/>
        </w:rPr>
        <w:t xml:space="preserve">In that case, TRP is a concept under serving cell. </w:t>
      </w:r>
      <w:r w:rsidR="00CE744F">
        <w:rPr>
          <w:rFonts w:eastAsiaTheme="minorEastAsia"/>
          <w:color w:val="000000"/>
          <w:sz w:val="22"/>
          <w:szCs w:val="22"/>
          <w:lang w:val="x-none" w:eastAsia="zh-CN"/>
        </w:rPr>
        <w:t xml:space="preserve">In </w:t>
      </w:r>
      <w:r w:rsidR="00B63AA5">
        <w:rPr>
          <w:rFonts w:eastAsiaTheme="minorEastAsia"/>
          <w:color w:val="000000"/>
          <w:sz w:val="22"/>
          <w:szCs w:val="22"/>
          <w:lang w:val="x-none" w:eastAsia="zh-CN"/>
        </w:rPr>
        <w:t xml:space="preserve">existing </w:t>
      </w:r>
      <w:r w:rsidR="000F2D4E">
        <w:rPr>
          <w:rFonts w:eastAsiaTheme="minorEastAsia"/>
          <w:color w:val="000000"/>
          <w:sz w:val="22"/>
          <w:szCs w:val="22"/>
          <w:lang w:val="x-none" w:eastAsia="zh-CN"/>
        </w:rPr>
        <w:t>DL/UL QCL configuration</w:t>
      </w:r>
      <w:r w:rsidR="00ED2F43">
        <w:rPr>
          <w:rFonts w:eastAsiaTheme="minorEastAsia"/>
          <w:color w:val="000000"/>
          <w:sz w:val="22"/>
          <w:szCs w:val="22"/>
          <w:lang w:val="x-none" w:eastAsia="zh-CN"/>
        </w:rPr>
        <w:t xml:space="preserve"> signaling</w:t>
      </w:r>
      <w:r w:rsidR="00B63AA5">
        <w:rPr>
          <w:rFonts w:eastAsiaTheme="minorEastAsia"/>
          <w:color w:val="000000"/>
          <w:sz w:val="22"/>
          <w:szCs w:val="22"/>
          <w:lang w:val="x-none" w:eastAsia="zh-CN"/>
        </w:rPr>
        <w:t>, TRP-ID can be added</w:t>
      </w:r>
      <w:r w:rsidR="00ED2F43">
        <w:rPr>
          <w:rFonts w:eastAsiaTheme="minorEastAsia"/>
          <w:color w:val="000000"/>
          <w:sz w:val="22"/>
          <w:szCs w:val="22"/>
          <w:lang w:val="x-none" w:eastAsia="zh-CN"/>
        </w:rPr>
        <w:t>, so that QCL configuration is for each TRP-ID of the serving cell.</w:t>
      </w:r>
    </w:p>
    <w:p w14:paraId="23569A02" w14:textId="2635D249" w:rsidR="00D717C0" w:rsidRDefault="00D717C0"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A</w:t>
      </w:r>
      <w:r>
        <w:rPr>
          <w:rFonts w:eastAsiaTheme="minorEastAsia"/>
          <w:color w:val="000000"/>
          <w:sz w:val="22"/>
          <w:szCs w:val="22"/>
          <w:lang w:val="x-none" w:eastAsia="zh-CN"/>
        </w:rPr>
        <w:t xml:space="preserve">lt.2: </w:t>
      </w:r>
      <w:r w:rsidR="004F425B">
        <w:rPr>
          <w:rFonts w:eastAsiaTheme="minorEastAsia"/>
          <w:color w:val="000000"/>
          <w:sz w:val="22"/>
          <w:szCs w:val="22"/>
          <w:lang w:val="x-none" w:eastAsia="zh-CN"/>
        </w:rPr>
        <w:t>In existing DL/UL QCL configuration signaling,</w:t>
      </w:r>
      <w:r w:rsidR="00D876D4">
        <w:rPr>
          <w:rFonts w:eastAsiaTheme="minorEastAsia"/>
          <w:color w:val="000000"/>
          <w:sz w:val="22"/>
          <w:szCs w:val="22"/>
          <w:lang w:val="x-none" w:eastAsia="zh-CN"/>
        </w:rPr>
        <w:t xml:space="preserve"> SSBs from non-serving cell with PhysCellId can be configured as resource RS directly.</w:t>
      </w:r>
      <w:r w:rsidR="00923424">
        <w:rPr>
          <w:rFonts w:eastAsiaTheme="minorEastAsia"/>
          <w:color w:val="000000"/>
          <w:sz w:val="22"/>
          <w:szCs w:val="22"/>
          <w:lang w:val="x-none" w:eastAsia="zh-CN"/>
        </w:rPr>
        <w:t xml:space="preserve"> TRP-ID</w:t>
      </w:r>
      <w:r w:rsidR="00903250">
        <w:rPr>
          <w:rFonts w:eastAsiaTheme="minorEastAsia"/>
          <w:color w:val="000000"/>
          <w:sz w:val="22"/>
          <w:szCs w:val="22"/>
          <w:lang w:val="x-none" w:eastAsia="zh-CN"/>
        </w:rPr>
        <w:t xml:space="preserve"> is not needed in this method to change serving cell configuration.</w:t>
      </w:r>
      <w:r w:rsidR="00303165">
        <w:rPr>
          <w:rFonts w:eastAsiaTheme="minorEastAsia"/>
          <w:color w:val="000000"/>
          <w:sz w:val="22"/>
          <w:szCs w:val="22"/>
          <w:lang w:val="x-none" w:eastAsia="zh-CN"/>
        </w:rPr>
        <w:t xml:space="preserve"> SSBs from non-serving cell may be also configured for L1 measurement, </w:t>
      </w:r>
      <w:r w:rsidR="000762D7">
        <w:rPr>
          <w:rFonts w:eastAsiaTheme="minorEastAsia"/>
          <w:color w:val="000000"/>
          <w:sz w:val="22"/>
          <w:szCs w:val="22"/>
          <w:lang w:val="x-none" w:eastAsia="zh-CN"/>
        </w:rPr>
        <w:t>and/or beam failure direction.</w:t>
      </w:r>
    </w:p>
    <w:p w14:paraId="79D10F43" w14:textId="2CE509DF" w:rsidR="00750099" w:rsidRPr="00F2224D" w:rsidRDefault="00750099"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T</w:t>
      </w:r>
      <w:r>
        <w:rPr>
          <w:rFonts w:eastAsiaTheme="minorEastAsia"/>
          <w:color w:val="000000"/>
          <w:sz w:val="22"/>
          <w:szCs w:val="22"/>
          <w:lang w:val="x-none" w:eastAsia="zh-CN"/>
        </w:rPr>
        <w:t>he TRP configuration in Alt.1 is applied for all the BWPs of a serving cell.</w:t>
      </w:r>
      <w:r w:rsidR="006A0485">
        <w:rPr>
          <w:rFonts w:eastAsiaTheme="minorEastAsia"/>
          <w:color w:val="000000"/>
          <w:sz w:val="22"/>
          <w:szCs w:val="22"/>
          <w:lang w:val="x-none" w:eastAsia="zh-CN"/>
        </w:rPr>
        <w:t xml:space="preserve"> </w:t>
      </w:r>
      <w:r w:rsidR="00325880">
        <w:rPr>
          <w:rFonts w:eastAsiaTheme="minorEastAsia"/>
          <w:color w:val="000000"/>
          <w:sz w:val="22"/>
          <w:szCs w:val="22"/>
          <w:lang w:val="x-none" w:eastAsia="zh-CN"/>
        </w:rPr>
        <w:t xml:space="preserve">While the </w:t>
      </w:r>
      <w:r w:rsidR="00790952">
        <w:rPr>
          <w:rFonts w:eastAsiaTheme="minorEastAsia"/>
          <w:color w:val="000000"/>
          <w:sz w:val="22"/>
          <w:szCs w:val="22"/>
          <w:lang w:val="x-none" w:eastAsia="zh-CN"/>
        </w:rPr>
        <w:t xml:space="preserve">QCL configuration in Alt.2 is configured for each BWP separately, which is more flexible and efficient. </w:t>
      </w:r>
      <w:r w:rsidR="00F37888">
        <w:rPr>
          <w:rFonts w:eastAsiaTheme="minorEastAsia"/>
          <w:color w:val="000000"/>
          <w:sz w:val="22"/>
          <w:szCs w:val="22"/>
          <w:lang w:val="x-none" w:eastAsia="zh-CN"/>
        </w:rPr>
        <w:t>Hence, Alt. 2 is preferred.</w:t>
      </w:r>
      <w:r w:rsidR="00897436">
        <w:rPr>
          <w:rFonts w:eastAsiaTheme="minorEastAsia"/>
          <w:color w:val="000000"/>
          <w:sz w:val="22"/>
          <w:szCs w:val="22"/>
          <w:lang w:val="x-none" w:eastAsia="zh-CN"/>
        </w:rPr>
        <w:t xml:space="preserve"> </w:t>
      </w:r>
    </w:p>
    <w:p w14:paraId="327BF14C" w14:textId="77777777" w:rsidR="00B73209" w:rsidRDefault="00B73209" w:rsidP="00040410">
      <w:pPr>
        <w:spacing w:before="60"/>
        <w:jc w:val="both"/>
        <w:rPr>
          <w:rFonts w:eastAsiaTheme="minorEastAsia"/>
          <w:sz w:val="22"/>
          <w:szCs w:val="22"/>
          <w:lang w:eastAsia="zh-CN"/>
        </w:rPr>
      </w:pPr>
    </w:p>
    <w:p w14:paraId="44C123D5" w14:textId="6B709454" w:rsidR="00E1287A" w:rsidRPr="00B44D24" w:rsidRDefault="00E31CA2" w:rsidP="007A30CB">
      <w:pPr>
        <w:spacing w:before="60"/>
        <w:rPr>
          <w:b/>
          <w:bCs/>
          <w:color w:val="212121"/>
          <w:sz w:val="23"/>
          <w:szCs w:val="23"/>
          <w:u w:val="single"/>
        </w:rPr>
      </w:pPr>
      <w:r w:rsidRPr="00B44D24">
        <w:rPr>
          <w:rFonts w:eastAsiaTheme="minorEastAsia"/>
          <w:b/>
          <w:bCs/>
          <w:sz w:val="22"/>
          <w:szCs w:val="22"/>
          <w:u w:val="single"/>
        </w:rPr>
        <w:t>Proposal 1:</w:t>
      </w:r>
    </w:p>
    <w:p w14:paraId="7267A8F7" w14:textId="0845F010" w:rsidR="005F4214" w:rsidRPr="00AD42B1" w:rsidRDefault="005B373B" w:rsidP="005F421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AD42B1">
        <w:rPr>
          <w:rFonts w:ascii="Times New Roman" w:hAnsi="Times New Roman" w:cs="Times New Roman"/>
          <w:b/>
          <w:bCs/>
          <w:i/>
          <w:iCs/>
          <w:color w:val="212121"/>
          <w:sz w:val="22"/>
          <w:szCs w:val="22"/>
        </w:rPr>
        <w:t>Support to configure SSBs of</w:t>
      </w:r>
      <w:r w:rsidR="005F4214" w:rsidRPr="00AD42B1">
        <w:rPr>
          <w:rFonts w:ascii="Times New Roman" w:hAnsi="Times New Roman" w:cs="Times New Roman"/>
          <w:b/>
          <w:bCs/>
          <w:i/>
          <w:iCs/>
          <w:color w:val="212121"/>
          <w:sz w:val="22"/>
          <w:szCs w:val="22"/>
        </w:rPr>
        <w:t xml:space="preserve"> non-serving cell with </w:t>
      </w:r>
      <w:r w:rsidRPr="00AD42B1">
        <w:rPr>
          <w:rFonts w:ascii="Times New Roman" w:hAnsi="Times New Roman" w:cs="Times New Roman"/>
          <w:b/>
          <w:bCs/>
          <w:i/>
          <w:iCs/>
          <w:color w:val="212121"/>
          <w:sz w:val="22"/>
          <w:szCs w:val="22"/>
        </w:rPr>
        <w:t xml:space="preserve">a different </w:t>
      </w:r>
      <w:r w:rsidR="005F4214" w:rsidRPr="00AD42B1">
        <w:rPr>
          <w:rFonts w:ascii="Times New Roman" w:hAnsi="Times New Roman" w:cs="Times New Roman"/>
          <w:b/>
          <w:bCs/>
          <w:i/>
          <w:iCs/>
          <w:color w:val="212121"/>
          <w:sz w:val="22"/>
          <w:szCs w:val="22"/>
        </w:rPr>
        <w:t xml:space="preserve">PhysCellId as source RS for </w:t>
      </w:r>
      <w:r w:rsidR="006620A4" w:rsidRPr="00AD42B1">
        <w:rPr>
          <w:rFonts w:ascii="Times New Roman" w:hAnsi="Times New Roman" w:cs="Times New Roman"/>
          <w:b/>
          <w:bCs/>
          <w:i/>
          <w:iCs/>
          <w:color w:val="212121"/>
          <w:sz w:val="22"/>
          <w:szCs w:val="22"/>
        </w:rPr>
        <w:t>QCL</w:t>
      </w:r>
      <w:r w:rsidR="005F4214" w:rsidRPr="00AD42B1">
        <w:rPr>
          <w:rFonts w:ascii="Times New Roman" w:hAnsi="Times New Roman" w:cs="Times New Roman"/>
          <w:b/>
          <w:bCs/>
          <w:i/>
          <w:iCs/>
          <w:color w:val="212121"/>
          <w:sz w:val="22"/>
          <w:szCs w:val="22"/>
        </w:rPr>
        <w:t xml:space="preserve"> configuration.</w:t>
      </w:r>
    </w:p>
    <w:p w14:paraId="2DBC85DF" w14:textId="77777777" w:rsidR="00CA1FF9" w:rsidRPr="00D92C41" w:rsidRDefault="00CA1FF9"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2BB4E4D8" w:rsidR="00C21138" w:rsidRDefault="00C21138" w:rsidP="002E01A3">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00BF28BF">
        <w:rPr>
          <w:rFonts w:eastAsia="ＭＳ 明朝"/>
          <w:sz w:val="22"/>
          <w:szCs w:val="22"/>
        </w:rPr>
        <w:t xml:space="preserve"> enhancements to support </w:t>
      </w:r>
      <w:r w:rsidR="00BF28BF" w:rsidRPr="00BF28BF">
        <w:rPr>
          <w:rFonts w:eastAsia="ＭＳ 明朝"/>
          <w:sz w:val="22"/>
          <w:szCs w:val="22"/>
        </w:rPr>
        <w:t>inter-cell multi-TRP operation</w:t>
      </w:r>
      <w:r w:rsidR="00BF28BF">
        <w:rPr>
          <w:rFonts w:eastAsia="ＭＳ 明朝"/>
          <w:sz w:val="22"/>
          <w:szCs w:val="22"/>
        </w:rPr>
        <w:t>. We have following proposal.</w:t>
      </w:r>
    </w:p>
    <w:p w14:paraId="68263450" w14:textId="77777777" w:rsidR="00BF28BF" w:rsidRPr="00B44D24" w:rsidRDefault="00BF28BF" w:rsidP="00BF28BF">
      <w:pPr>
        <w:spacing w:before="60"/>
        <w:rPr>
          <w:b/>
          <w:bCs/>
          <w:color w:val="212121"/>
          <w:sz w:val="23"/>
          <w:szCs w:val="23"/>
          <w:u w:val="single"/>
        </w:rPr>
      </w:pPr>
      <w:r w:rsidRPr="00B44D24">
        <w:rPr>
          <w:rFonts w:eastAsiaTheme="minorEastAsia"/>
          <w:b/>
          <w:bCs/>
          <w:sz w:val="22"/>
          <w:szCs w:val="22"/>
          <w:u w:val="single"/>
        </w:rPr>
        <w:t>Proposal 1:</w:t>
      </w:r>
    </w:p>
    <w:p w14:paraId="1CB1C17F" w14:textId="77777777" w:rsidR="00BF28BF" w:rsidRPr="00AD42B1" w:rsidRDefault="00BF28BF" w:rsidP="00BF28B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AD42B1">
        <w:rPr>
          <w:rFonts w:ascii="Times New Roman" w:hAnsi="Times New Roman" w:cs="Times New Roman"/>
          <w:b/>
          <w:bCs/>
          <w:i/>
          <w:iCs/>
          <w:color w:val="212121"/>
          <w:sz w:val="22"/>
          <w:szCs w:val="22"/>
        </w:rPr>
        <w:t>Support to configure SSBs of non-serving cell with a different PhysCellId as source RS for QCL configuration.</w:t>
      </w:r>
    </w:p>
    <w:p w14:paraId="123B1579" w14:textId="2B8B6FBD" w:rsidR="00D254E7" w:rsidRPr="00BF28BF" w:rsidRDefault="00D254E7"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6A8E6D07" w:rsidR="00491883" w:rsidRPr="00BF28BF" w:rsidRDefault="00FF2CFE" w:rsidP="00BF28BF">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sectPr w:rsidR="00491883" w:rsidRPr="00BF28B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A553E" w14:textId="77777777" w:rsidR="00776317" w:rsidRDefault="00776317">
      <w:r>
        <w:separator/>
      </w:r>
    </w:p>
  </w:endnote>
  <w:endnote w:type="continuationSeparator" w:id="0">
    <w:p w14:paraId="333644B1" w14:textId="77777777" w:rsidR="00776317" w:rsidRDefault="0077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08495" w14:textId="77777777" w:rsidR="00776317" w:rsidRDefault="00776317">
      <w:r>
        <w:separator/>
      </w:r>
    </w:p>
  </w:footnote>
  <w:footnote w:type="continuationSeparator" w:id="0">
    <w:p w14:paraId="239018E6" w14:textId="77777777" w:rsidR="00776317" w:rsidRDefault="00776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SimSun" w:hAnsi="Wingdings" w:cs="Times New Roman" w:hint="default"/>
        <w:sz w:val="22"/>
      </w:rPr>
    </w:lvl>
    <w:lvl w:ilvl="3" w:tplc="9D007980">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4"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SimSun" w:hAnsi="SimSun" w:hint="default"/>
      </w:rPr>
    </w:lvl>
    <w:lvl w:ilvl="1" w:tplc="45901F82">
      <w:start w:val="1"/>
      <w:numFmt w:val="bullet"/>
      <w:lvlText w:val="-"/>
      <w:lvlJc w:val="left"/>
      <w:pPr>
        <w:tabs>
          <w:tab w:val="num" w:pos="1440"/>
        </w:tabs>
        <w:ind w:left="1440" w:hanging="360"/>
      </w:pPr>
      <w:rPr>
        <w:rFonts w:ascii="SimSun" w:hAnsi="SimSun" w:hint="default"/>
      </w:rPr>
    </w:lvl>
    <w:lvl w:ilvl="2" w:tplc="29FAA58A">
      <w:start w:val="1"/>
      <w:numFmt w:val="bullet"/>
      <w:lvlText w:val="-"/>
      <w:lvlJc w:val="left"/>
      <w:pPr>
        <w:tabs>
          <w:tab w:val="num" w:pos="2160"/>
        </w:tabs>
        <w:ind w:left="2160" w:hanging="360"/>
      </w:pPr>
      <w:rPr>
        <w:rFonts w:ascii="SimSun" w:hAnsi="SimSun" w:hint="default"/>
      </w:rPr>
    </w:lvl>
    <w:lvl w:ilvl="3" w:tplc="4934A50C" w:tentative="1">
      <w:start w:val="1"/>
      <w:numFmt w:val="bullet"/>
      <w:lvlText w:val="-"/>
      <w:lvlJc w:val="left"/>
      <w:pPr>
        <w:tabs>
          <w:tab w:val="num" w:pos="2880"/>
        </w:tabs>
        <w:ind w:left="2880" w:hanging="360"/>
      </w:pPr>
      <w:rPr>
        <w:rFonts w:ascii="SimSun" w:hAnsi="SimSun" w:hint="default"/>
      </w:rPr>
    </w:lvl>
    <w:lvl w:ilvl="4" w:tplc="2C367A08" w:tentative="1">
      <w:start w:val="1"/>
      <w:numFmt w:val="bullet"/>
      <w:lvlText w:val="-"/>
      <w:lvlJc w:val="left"/>
      <w:pPr>
        <w:tabs>
          <w:tab w:val="num" w:pos="3600"/>
        </w:tabs>
        <w:ind w:left="3600" w:hanging="360"/>
      </w:pPr>
      <w:rPr>
        <w:rFonts w:ascii="SimSun" w:hAnsi="SimSun" w:hint="default"/>
      </w:rPr>
    </w:lvl>
    <w:lvl w:ilvl="5" w:tplc="12EC671A" w:tentative="1">
      <w:start w:val="1"/>
      <w:numFmt w:val="bullet"/>
      <w:lvlText w:val="-"/>
      <w:lvlJc w:val="left"/>
      <w:pPr>
        <w:tabs>
          <w:tab w:val="num" w:pos="4320"/>
        </w:tabs>
        <w:ind w:left="4320" w:hanging="360"/>
      </w:pPr>
      <w:rPr>
        <w:rFonts w:ascii="SimSun" w:hAnsi="SimSun" w:hint="default"/>
      </w:rPr>
    </w:lvl>
    <w:lvl w:ilvl="6" w:tplc="ED4ADC50" w:tentative="1">
      <w:start w:val="1"/>
      <w:numFmt w:val="bullet"/>
      <w:lvlText w:val="-"/>
      <w:lvlJc w:val="left"/>
      <w:pPr>
        <w:tabs>
          <w:tab w:val="num" w:pos="5040"/>
        </w:tabs>
        <w:ind w:left="5040" w:hanging="360"/>
      </w:pPr>
      <w:rPr>
        <w:rFonts w:ascii="SimSun" w:hAnsi="SimSun" w:hint="default"/>
      </w:rPr>
    </w:lvl>
    <w:lvl w:ilvl="7" w:tplc="765AE54A" w:tentative="1">
      <w:start w:val="1"/>
      <w:numFmt w:val="bullet"/>
      <w:lvlText w:val="-"/>
      <w:lvlJc w:val="left"/>
      <w:pPr>
        <w:tabs>
          <w:tab w:val="num" w:pos="5760"/>
        </w:tabs>
        <w:ind w:left="5760" w:hanging="360"/>
      </w:pPr>
      <w:rPr>
        <w:rFonts w:ascii="SimSun" w:hAnsi="SimSun" w:hint="default"/>
      </w:rPr>
    </w:lvl>
    <w:lvl w:ilvl="8" w:tplc="D2BAB188"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0"/>
  </w:num>
  <w:num w:numId="3">
    <w:abstractNumId w:val="16"/>
  </w:num>
  <w:num w:numId="4">
    <w:abstractNumId w:val="17"/>
  </w:num>
  <w:num w:numId="5">
    <w:abstractNumId w:val="3"/>
  </w:num>
  <w:num w:numId="6">
    <w:abstractNumId w:val="14"/>
  </w:num>
  <w:num w:numId="7">
    <w:abstractNumId w:val="8"/>
  </w:num>
  <w:num w:numId="8">
    <w:abstractNumId w:val="26"/>
  </w:num>
  <w:num w:numId="9">
    <w:abstractNumId w:val="31"/>
  </w:num>
  <w:num w:numId="10">
    <w:abstractNumId w:val="30"/>
  </w:num>
  <w:num w:numId="11">
    <w:abstractNumId w:val="33"/>
  </w:num>
  <w:num w:numId="12">
    <w:abstractNumId w:val="33"/>
  </w:num>
  <w:num w:numId="13">
    <w:abstractNumId w:val="33"/>
  </w:num>
  <w:num w:numId="14">
    <w:abstractNumId w:val="33"/>
  </w:num>
  <w:num w:numId="15">
    <w:abstractNumId w:val="33"/>
  </w:num>
  <w:num w:numId="16">
    <w:abstractNumId w:val="34"/>
  </w:num>
  <w:num w:numId="17">
    <w:abstractNumId w:val="21"/>
  </w:num>
  <w:num w:numId="18">
    <w:abstractNumId w:val="23"/>
  </w:num>
  <w:num w:numId="19">
    <w:abstractNumId w:val="24"/>
  </w:num>
  <w:num w:numId="20">
    <w:abstractNumId w:val="27"/>
  </w:num>
  <w:num w:numId="21">
    <w:abstractNumId w:val="32"/>
  </w:num>
  <w:num w:numId="22">
    <w:abstractNumId w:val="13"/>
  </w:num>
  <w:num w:numId="23">
    <w:abstractNumId w:val="7"/>
  </w:num>
  <w:num w:numId="24">
    <w:abstractNumId w:val="10"/>
  </w:num>
  <w:num w:numId="25">
    <w:abstractNumId w:val="25"/>
  </w:num>
  <w:num w:numId="26">
    <w:abstractNumId w:val="20"/>
  </w:num>
  <w:num w:numId="27">
    <w:abstractNumId w:val="9"/>
  </w:num>
  <w:num w:numId="28">
    <w:abstractNumId w:val="12"/>
  </w:num>
  <w:num w:numId="29">
    <w:abstractNumId w:val="15"/>
  </w:num>
  <w:num w:numId="30">
    <w:abstractNumId w:val="29"/>
  </w:num>
  <w:num w:numId="31">
    <w:abstractNumId w:val="18"/>
  </w:num>
  <w:num w:numId="32">
    <w:abstractNumId w:val="4"/>
  </w:num>
  <w:num w:numId="33">
    <w:abstractNumId w:val="6"/>
  </w:num>
  <w:num w:numId="34">
    <w:abstractNumId w:val="5"/>
  </w:num>
  <w:num w:numId="35">
    <w:abstractNumId w:val="28"/>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5"/>
  </w:num>
  <w:num w:numId="40">
    <w:abstractNumId w:val="19"/>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07E"/>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4790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1D8"/>
    <w:rsid w:val="000762D7"/>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ACE"/>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D4E"/>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1FF"/>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35FF"/>
    <w:rsid w:val="001D428F"/>
    <w:rsid w:val="001D45BA"/>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45FF"/>
    <w:rsid w:val="0023522F"/>
    <w:rsid w:val="00236166"/>
    <w:rsid w:val="002361DB"/>
    <w:rsid w:val="00236A8E"/>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A16"/>
    <w:rsid w:val="00261D18"/>
    <w:rsid w:val="00262257"/>
    <w:rsid w:val="00263D3E"/>
    <w:rsid w:val="00264229"/>
    <w:rsid w:val="00264810"/>
    <w:rsid w:val="0026582B"/>
    <w:rsid w:val="00270034"/>
    <w:rsid w:val="00270A14"/>
    <w:rsid w:val="0027165C"/>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69"/>
    <w:rsid w:val="00284AFB"/>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3EB0"/>
    <w:rsid w:val="002C439D"/>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3165"/>
    <w:rsid w:val="003033E4"/>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5880"/>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8AF"/>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3F9C"/>
    <w:rsid w:val="003C4961"/>
    <w:rsid w:val="003C6D5E"/>
    <w:rsid w:val="003C7445"/>
    <w:rsid w:val="003C74FD"/>
    <w:rsid w:val="003C76C1"/>
    <w:rsid w:val="003C7C58"/>
    <w:rsid w:val="003D06EE"/>
    <w:rsid w:val="003D0C82"/>
    <w:rsid w:val="003D0D3F"/>
    <w:rsid w:val="003D1894"/>
    <w:rsid w:val="003D1968"/>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E789A"/>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4644F"/>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43DC"/>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25B"/>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3DE3"/>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F81"/>
    <w:rsid w:val="00557A21"/>
    <w:rsid w:val="00557B08"/>
    <w:rsid w:val="00560B95"/>
    <w:rsid w:val="00560E90"/>
    <w:rsid w:val="0056168B"/>
    <w:rsid w:val="00561944"/>
    <w:rsid w:val="00562299"/>
    <w:rsid w:val="005624CE"/>
    <w:rsid w:val="00562982"/>
    <w:rsid w:val="005634ED"/>
    <w:rsid w:val="00563517"/>
    <w:rsid w:val="00563B44"/>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73B"/>
    <w:rsid w:val="005B3A99"/>
    <w:rsid w:val="005B480D"/>
    <w:rsid w:val="005B481B"/>
    <w:rsid w:val="005B4E9A"/>
    <w:rsid w:val="005B4EBF"/>
    <w:rsid w:val="005B55CE"/>
    <w:rsid w:val="005B5789"/>
    <w:rsid w:val="005B6237"/>
    <w:rsid w:val="005B6E39"/>
    <w:rsid w:val="005B6F12"/>
    <w:rsid w:val="005B709F"/>
    <w:rsid w:val="005C0BEA"/>
    <w:rsid w:val="005C0BFB"/>
    <w:rsid w:val="005C0CFD"/>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8F4"/>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214"/>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20A4"/>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485"/>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11E0"/>
    <w:rsid w:val="006B11F2"/>
    <w:rsid w:val="006B1445"/>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9B"/>
    <w:rsid w:val="006F02AF"/>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A52"/>
    <w:rsid w:val="00746CB5"/>
    <w:rsid w:val="007478F1"/>
    <w:rsid w:val="00747BDE"/>
    <w:rsid w:val="00750099"/>
    <w:rsid w:val="007508DB"/>
    <w:rsid w:val="007509EE"/>
    <w:rsid w:val="00750FBC"/>
    <w:rsid w:val="00752FFD"/>
    <w:rsid w:val="00753A46"/>
    <w:rsid w:val="0075564C"/>
    <w:rsid w:val="00755EAB"/>
    <w:rsid w:val="00755EFA"/>
    <w:rsid w:val="00756419"/>
    <w:rsid w:val="00756811"/>
    <w:rsid w:val="00756C5D"/>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317"/>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0952"/>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1C3"/>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7627"/>
    <w:rsid w:val="008701F7"/>
    <w:rsid w:val="00870916"/>
    <w:rsid w:val="008716C7"/>
    <w:rsid w:val="00871CB1"/>
    <w:rsid w:val="00871D87"/>
    <w:rsid w:val="0087213F"/>
    <w:rsid w:val="00873356"/>
    <w:rsid w:val="00873A3A"/>
    <w:rsid w:val="00873A4D"/>
    <w:rsid w:val="00873CF4"/>
    <w:rsid w:val="0087402E"/>
    <w:rsid w:val="0087480F"/>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436"/>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250"/>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424"/>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F09"/>
    <w:rsid w:val="00980A10"/>
    <w:rsid w:val="00980DEA"/>
    <w:rsid w:val="00980FC3"/>
    <w:rsid w:val="009815BE"/>
    <w:rsid w:val="0098265A"/>
    <w:rsid w:val="00982921"/>
    <w:rsid w:val="00982AC8"/>
    <w:rsid w:val="00982E54"/>
    <w:rsid w:val="00983465"/>
    <w:rsid w:val="009844AE"/>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47FA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1FD"/>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42B1"/>
    <w:rsid w:val="00AD42E6"/>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682B"/>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3AA5"/>
    <w:rsid w:val="00B64481"/>
    <w:rsid w:val="00B65889"/>
    <w:rsid w:val="00B65DE8"/>
    <w:rsid w:val="00B65FAF"/>
    <w:rsid w:val="00B66371"/>
    <w:rsid w:val="00B667B9"/>
    <w:rsid w:val="00B66DE5"/>
    <w:rsid w:val="00B70846"/>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334"/>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BF"/>
    <w:rsid w:val="00BF28E8"/>
    <w:rsid w:val="00BF3C69"/>
    <w:rsid w:val="00BF42D7"/>
    <w:rsid w:val="00BF448F"/>
    <w:rsid w:val="00BF482C"/>
    <w:rsid w:val="00BF4894"/>
    <w:rsid w:val="00BF5A89"/>
    <w:rsid w:val="00BF5BEA"/>
    <w:rsid w:val="00BF5C75"/>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B9D"/>
    <w:rsid w:val="00C73FEB"/>
    <w:rsid w:val="00C748EA"/>
    <w:rsid w:val="00C74D6E"/>
    <w:rsid w:val="00C764B1"/>
    <w:rsid w:val="00C770CB"/>
    <w:rsid w:val="00C77757"/>
    <w:rsid w:val="00C7790B"/>
    <w:rsid w:val="00C77E25"/>
    <w:rsid w:val="00C802B2"/>
    <w:rsid w:val="00C824AA"/>
    <w:rsid w:val="00C82995"/>
    <w:rsid w:val="00C83234"/>
    <w:rsid w:val="00C833C1"/>
    <w:rsid w:val="00C83F81"/>
    <w:rsid w:val="00C85B36"/>
    <w:rsid w:val="00C8614D"/>
    <w:rsid w:val="00C86293"/>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6E7"/>
    <w:rsid w:val="00CC49FD"/>
    <w:rsid w:val="00CC56B1"/>
    <w:rsid w:val="00CC58E0"/>
    <w:rsid w:val="00CC5D7B"/>
    <w:rsid w:val="00CC5DEA"/>
    <w:rsid w:val="00CC6472"/>
    <w:rsid w:val="00CD05AA"/>
    <w:rsid w:val="00CD0AA0"/>
    <w:rsid w:val="00CD1223"/>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5F67"/>
    <w:rsid w:val="00CE6349"/>
    <w:rsid w:val="00CE690C"/>
    <w:rsid w:val="00CE7232"/>
    <w:rsid w:val="00CE744F"/>
    <w:rsid w:val="00CE7803"/>
    <w:rsid w:val="00CE7FDC"/>
    <w:rsid w:val="00CF1044"/>
    <w:rsid w:val="00CF19A1"/>
    <w:rsid w:val="00CF1B4A"/>
    <w:rsid w:val="00CF21A3"/>
    <w:rsid w:val="00CF267C"/>
    <w:rsid w:val="00CF3069"/>
    <w:rsid w:val="00CF3997"/>
    <w:rsid w:val="00CF3F59"/>
    <w:rsid w:val="00CF5E14"/>
    <w:rsid w:val="00CF6EDF"/>
    <w:rsid w:val="00CF7044"/>
    <w:rsid w:val="00CF769B"/>
    <w:rsid w:val="00CF7C1D"/>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B82"/>
    <w:rsid w:val="00D22DE5"/>
    <w:rsid w:val="00D23105"/>
    <w:rsid w:val="00D23997"/>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391"/>
    <w:rsid w:val="00D613B2"/>
    <w:rsid w:val="00D614CC"/>
    <w:rsid w:val="00D61CF1"/>
    <w:rsid w:val="00D628B7"/>
    <w:rsid w:val="00D6301F"/>
    <w:rsid w:val="00D630E9"/>
    <w:rsid w:val="00D6325C"/>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7C0"/>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5F93"/>
    <w:rsid w:val="00D86DF6"/>
    <w:rsid w:val="00D876D4"/>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221"/>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43B"/>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174A"/>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4E"/>
    <w:rsid w:val="00E55DA5"/>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2F43"/>
    <w:rsid w:val="00ED3161"/>
    <w:rsid w:val="00ED3B67"/>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2D8"/>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28CB"/>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9A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888"/>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1E2"/>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687"/>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6178813">
      <w:bodyDiv w:val="1"/>
      <w:marLeft w:val="0"/>
      <w:marRight w:val="0"/>
      <w:marTop w:val="0"/>
      <w:marBottom w:val="0"/>
      <w:divBdr>
        <w:top w:val="none" w:sz="0" w:space="0" w:color="auto"/>
        <w:left w:val="none" w:sz="0" w:space="0" w:color="auto"/>
        <w:bottom w:val="none" w:sz="0" w:space="0" w:color="auto"/>
        <w:right w:val="none" w:sz="0" w:space="0" w:color="auto"/>
      </w:divBdr>
      <w:divsChild>
        <w:div w:id="2063213218">
          <w:marLeft w:val="1310"/>
          <w:marRight w:val="0"/>
          <w:marTop w:val="6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5508903">
      <w:bodyDiv w:val="1"/>
      <w:marLeft w:val="0"/>
      <w:marRight w:val="0"/>
      <w:marTop w:val="0"/>
      <w:marBottom w:val="0"/>
      <w:divBdr>
        <w:top w:val="none" w:sz="0" w:space="0" w:color="auto"/>
        <w:left w:val="none" w:sz="0" w:space="0" w:color="auto"/>
        <w:bottom w:val="none" w:sz="0" w:space="0" w:color="auto"/>
        <w:right w:val="none" w:sz="0" w:space="0" w:color="auto"/>
      </w:divBdr>
      <w:divsChild>
        <w:div w:id="622422212">
          <w:marLeft w:val="1310"/>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36738d95-949f-4689-9b53-0d186961a75d"/>
    <ds:schemaRef ds:uri="http://purl.org/dc/elements/1.1/"/>
    <ds:schemaRef ds:uri="http://schemas.microsoft.com/office/infopath/2007/PartnerControls"/>
    <ds:schemaRef ds:uri="c61a25db-9b18-4920-ab2c-0e64ad008678"/>
    <ds:schemaRef ds:uri="http://www.w3.org/XML/1998/namespace"/>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7BA845-4E5A-4055-9BD4-C9823AD5B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954</Words>
  <Characters>5444</Characters>
  <Application>Microsoft Office Word</Application>
  <DocSecurity>4</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2</cp:revision>
  <dcterms:created xsi:type="dcterms:W3CDTF">2020-08-07T08:06:00Z</dcterms:created>
  <dcterms:modified xsi:type="dcterms:W3CDTF">2020-08-07T08:06:00Z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