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24417328" w:rsidR="00F110CD" w:rsidRPr="00C84F38" w:rsidRDefault="001D6A31" w:rsidP="00F110CD">
      <w:pPr>
        <w:pStyle w:val="Header"/>
        <w:tabs>
          <w:tab w:val="right" w:pos="9639"/>
        </w:tabs>
        <w:rPr>
          <w:bCs/>
          <w:noProof w:val="0"/>
          <w:sz w:val="24"/>
          <w:szCs w:val="24"/>
        </w:rPr>
      </w:pPr>
      <w:r w:rsidRPr="00C84F38">
        <w:rPr>
          <w:bCs/>
          <w:noProof w:val="0"/>
          <w:sz w:val="24"/>
          <w:szCs w:val="24"/>
        </w:rPr>
        <w:t>3GPP TSG RA</w:t>
      </w:r>
      <w:r>
        <w:rPr>
          <w:bCs/>
          <w:noProof w:val="0"/>
          <w:sz w:val="24"/>
          <w:szCs w:val="24"/>
        </w:rPr>
        <w:t>N WG1 #102</w:t>
      </w:r>
      <w:r w:rsidR="001348FE">
        <w:rPr>
          <w:bCs/>
          <w:noProof w:val="0"/>
          <w:sz w:val="24"/>
          <w:szCs w:val="24"/>
        </w:rPr>
        <w:tab/>
      </w:r>
      <w:r w:rsidR="00BA1872">
        <w:rPr>
          <w:bCs/>
          <w:noProof w:val="0"/>
          <w:sz w:val="24"/>
          <w:szCs w:val="24"/>
        </w:rPr>
        <w:t>R1-</w:t>
      </w:r>
      <w:r w:rsidR="006408E9" w:rsidRPr="006408E9">
        <w:t xml:space="preserve"> </w:t>
      </w:r>
      <w:r w:rsidR="006408E9" w:rsidRPr="006408E9">
        <w:rPr>
          <w:bCs/>
          <w:noProof w:val="0"/>
          <w:sz w:val="24"/>
          <w:szCs w:val="24"/>
        </w:rPr>
        <w:t>2006424</w:t>
      </w:r>
    </w:p>
    <w:p w14:paraId="38C3F98F" w14:textId="77777777" w:rsidR="001D6A31" w:rsidRDefault="001D6A31" w:rsidP="001D6A31">
      <w:pPr>
        <w:pStyle w:val="Header"/>
        <w:rPr>
          <w:bCs/>
          <w:noProof w:val="0"/>
          <w:sz w:val="24"/>
          <w:szCs w:val="24"/>
        </w:rPr>
      </w:pPr>
      <w:r w:rsidRPr="002778BD">
        <w:rPr>
          <w:bCs/>
          <w:noProof w:val="0"/>
          <w:sz w:val="24"/>
          <w:szCs w:val="24"/>
        </w:rPr>
        <w:t xml:space="preserve">e-Meeting, </w:t>
      </w:r>
      <w:r>
        <w:rPr>
          <w:bCs/>
          <w:noProof w:val="0"/>
          <w:sz w:val="24"/>
          <w:szCs w:val="24"/>
        </w:rPr>
        <w:t>August 17</w:t>
      </w:r>
      <w:r w:rsidRPr="004A77B1">
        <w:rPr>
          <w:bCs/>
          <w:noProof w:val="0"/>
          <w:sz w:val="24"/>
          <w:szCs w:val="24"/>
          <w:vertAlign w:val="superscript"/>
        </w:rPr>
        <w:t>th</w:t>
      </w:r>
      <w:r>
        <w:rPr>
          <w:bCs/>
          <w:noProof w:val="0"/>
          <w:sz w:val="24"/>
          <w:szCs w:val="24"/>
        </w:rPr>
        <w:t xml:space="preserve"> – 29</w:t>
      </w:r>
      <w:r w:rsidRPr="002778BD">
        <w:rPr>
          <w:bCs/>
          <w:noProof w:val="0"/>
          <w:sz w:val="24"/>
          <w:szCs w:val="24"/>
          <w:vertAlign w:val="superscript"/>
        </w:rPr>
        <w:t>th</w:t>
      </w:r>
      <w:r w:rsidRPr="002778BD">
        <w:rPr>
          <w:bCs/>
          <w:noProof w:val="0"/>
          <w:sz w:val="24"/>
          <w:szCs w:val="24"/>
        </w:rPr>
        <w:t>, 2020</w:t>
      </w:r>
    </w:p>
    <w:p w14:paraId="2CFE1919" w14:textId="77777777" w:rsidR="00850D96" w:rsidRPr="00850D96" w:rsidRDefault="00850D96" w:rsidP="00CA26CE">
      <w:pPr>
        <w:pStyle w:val="Header"/>
        <w:rPr>
          <w:bCs/>
          <w:noProof w:val="0"/>
          <w:sz w:val="24"/>
          <w:lang w:val="en-GB" w:eastAsia="ja-JP"/>
        </w:rPr>
      </w:pPr>
    </w:p>
    <w:p w14:paraId="30E02941" w14:textId="7FC99B90"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F63846">
        <w:rPr>
          <w:rFonts w:cs="Arial"/>
          <w:b/>
          <w:bCs/>
          <w:sz w:val="24"/>
        </w:rPr>
        <w:t>8</w:t>
      </w:r>
      <w:r w:rsidR="0052773A" w:rsidRPr="00BD2F13">
        <w:rPr>
          <w:rFonts w:cs="Arial"/>
          <w:b/>
          <w:bCs/>
          <w:sz w:val="24"/>
          <w:szCs w:val="24"/>
        </w:rPr>
        <w:t>.</w:t>
      </w:r>
      <w:r w:rsidR="00F63846">
        <w:rPr>
          <w:rFonts w:cs="Arial"/>
          <w:b/>
          <w:bCs/>
          <w:sz w:val="24"/>
          <w:szCs w:val="24"/>
        </w:rPr>
        <w:t>4</w:t>
      </w:r>
      <w:r w:rsidR="007820D0">
        <w:rPr>
          <w:rFonts w:cs="Arial"/>
          <w:b/>
          <w:bCs/>
          <w:sz w:val="24"/>
          <w:szCs w:val="24"/>
        </w:rPr>
        <w:t>.</w:t>
      </w:r>
      <w:r w:rsidR="00F63846">
        <w:rPr>
          <w:rFonts w:cs="Arial"/>
          <w:b/>
          <w:bCs/>
          <w:sz w:val="24"/>
          <w:szCs w:val="24"/>
        </w:rPr>
        <w:t>4</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01EB0C8E" w:rsidR="0034111C" w:rsidRPr="0016316A" w:rsidRDefault="0034111C" w:rsidP="16512788">
      <w:pPr>
        <w:ind w:left="1985" w:hanging="1985"/>
        <w:rPr>
          <w:rFonts w:ascii="Arial" w:hAnsi="Arial" w:cs="Arial"/>
          <w:b/>
          <w:bCs/>
          <w:sz w:val="24"/>
          <w:szCs w:val="24"/>
        </w:rPr>
      </w:pPr>
      <w:r w:rsidRPr="006408E9">
        <w:rPr>
          <w:rFonts w:ascii="Arial" w:hAnsi="Arial" w:cs="Arial"/>
          <w:b/>
          <w:bCs/>
          <w:sz w:val="24"/>
          <w:szCs w:val="24"/>
        </w:rPr>
        <w:t>Title:</w:t>
      </w:r>
      <w:r w:rsidRPr="006408E9">
        <w:rPr>
          <w:rFonts w:ascii="Arial" w:hAnsi="Arial" w:cs="Arial"/>
          <w:b/>
          <w:bCs/>
          <w:sz w:val="24"/>
        </w:rPr>
        <w:tab/>
      </w:r>
      <w:r w:rsidR="00F63846" w:rsidRPr="006408E9">
        <w:rPr>
          <w:rFonts w:ascii="Arial" w:hAnsi="Arial" w:cs="Arial"/>
          <w:b/>
          <w:bCs/>
          <w:sz w:val="24"/>
        </w:rPr>
        <w:t xml:space="preserve">Clarification of </w:t>
      </w:r>
      <w:r w:rsidR="00F076A6" w:rsidRPr="006408E9">
        <w:rPr>
          <w:rFonts w:ascii="Arial" w:hAnsi="Arial" w:cs="Arial"/>
          <w:b/>
          <w:bCs/>
          <w:sz w:val="24"/>
        </w:rPr>
        <w:t xml:space="preserve">NTN </w:t>
      </w:r>
      <w:r w:rsidR="00F63846" w:rsidRPr="006408E9">
        <w:rPr>
          <w:rFonts w:ascii="Arial" w:hAnsi="Arial" w:cs="Arial"/>
          <w:b/>
          <w:bCs/>
          <w:sz w:val="24"/>
        </w:rPr>
        <w:t>assumptions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bookmarkStart w:id="0" w:name="_GoBack"/>
      <w:bookmarkEnd w:id="0"/>
    </w:p>
    <w:p w14:paraId="7CF7938E" w14:textId="7E19F756" w:rsidR="00ED1327" w:rsidRPr="00ED1327" w:rsidRDefault="00EE7FA7" w:rsidP="00ED1327">
      <w:pPr>
        <w:pStyle w:val="Heading1"/>
      </w:pPr>
      <w:r w:rsidRPr="0016316A">
        <w:t>Introduction</w:t>
      </w:r>
    </w:p>
    <w:p w14:paraId="63586B87" w14:textId="451B4ABA" w:rsidR="00F63846" w:rsidRDefault="00F63846" w:rsidP="00F63846">
      <w:bookmarkStart w:id="1" w:name="_Hlk510705081"/>
      <w:r>
        <w:t>At RAN #86 in December 2019 a work item for NTN was agreed (</w:t>
      </w:r>
      <w:r w:rsidRPr="001E0458">
        <w:t>RP-193234</w:t>
      </w:r>
      <w:r>
        <w:t>,</w:t>
      </w:r>
      <w:r w:rsidR="00CE0DAB">
        <w:t xml:space="preserve"> </w:t>
      </w:r>
      <w:r w:rsidR="00CE0DAB">
        <w:fldChar w:fldCharType="begin"/>
      </w:r>
      <w:r w:rsidR="00CE0DAB">
        <w:instrText xml:space="preserve"> REF _Ref31184830 \r \h </w:instrText>
      </w:r>
      <w:r w:rsidR="00CE0DAB">
        <w:fldChar w:fldCharType="separate"/>
      </w:r>
      <w:r w:rsidR="00F35C8F">
        <w:t>[1]</w:t>
      </w:r>
      <w:r w:rsidR="00CE0DAB">
        <w:fldChar w:fldCharType="end"/>
      </w:r>
      <w:r>
        <w:t xml:space="preserve">). The normative activities include development of specifications for transparent payload-based LEO. In this document we provide our view on transparent satellite, feeder link, inter-satellite link and GNSS details, which </w:t>
      </w:r>
      <w:r w:rsidR="00011916">
        <w:t xml:space="preserve">to our understanding </w:t>
      </w:r>
      <w:r>
        <w:t xml:space="preserve">need further </w:t>
      </w:r>
      <w:r w:rsidR="00011916">
        <w:t xml:space="preserve">discussion and </w:t>
      </w:r>
      <w:r>
        <w:t>clarification.</w:t>
      </w:r>
    </w:p>
    <w:p w14:paraId="71230483" w14:textId="2AAE12C0" w:rsidR="00305297" w:rsidRDefault="007820D0" w:rsidP="00A23DCA">
      <w:pPr>
        <w:pStyle w:val="Heading1"/>
      </w:pPr>
      <w:r>
        <w:t>Discussion</w:t>
      </w:r>
    </w:p>
    <w:p w14:paraId="73122624" w14:textId="07FBAEF8" w:rsidR="00F63846" w:rsidRPr="00F63846" w:rsidRDefault="00F63846" w:rsidP="00F63846">
      <w:pPr>
        <w:pStyle w:val="Heading2"/>
      </w:pPr>
      <w:r>
        <w:t>Transparent satellite</w:t>
      </w:r>
      <w:r w:rsidR="00011916">
        <w:t xml:space="preserve"> aspects</w:t>
      </w:r>
    </w:p>
    <w:p w14:paraId="69DF4404" w14:textId="23F0EB5C" w:rsidR="00F63846" w:rsidRDefault="00F63846" w:rsidP="00F63846">
      <w:r w:rsidRPr="0050070F">
        <w:rPr>
          <w:noProof/>
        </w:rPr>
        <mc:AlternateContent>
          <mc:Choice Requires="wps">
            <w:drawing>
              <wp:anchor distT="45720" distB="45720" distL="114300" distR="114300" simplePos="0" relativeHeight="251658240" behindDoc="0" locked="0" layoutInCell="1" allowOverlap="1" wp14:anchorId="044F2436" wp14:editId="6B2CF14C">
                <wp:simplePos x="0" y="0"/>
                <wp:positionH relativeFrom="column">
                  <wp:posOffset>41910</wp:posOffset>
                </wp:positionH>
                <wp:positionV relativeFrom="paragraph">
                  <wp:posOffset>236855</wp:posOffset>
                </wp:positionV>
                <wp:extent cx="5892800" cy="2609850"/>
                <wp:effectExtent l="0" t="0" r="1270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2609850"/>
                        </a:xfrm>
                        <a:prstGeom prst="rect">
                          <a:avLst/>
                        </a:prstGeom>
                        <a:solidFill>
                          <a:srgbClr val="FFFFFF"/>
                        </a:solidFill>
                        <a:ln w="9525">
                          <a:solidFill>
                            <a:srgbClr val="000000"/>
                          </a:solidFill>
                          <a:miter lim="800000"/>
                          <a:headEnd/>
                          <a:tailEnd/>
                        </a:ln>
                      </wps:spPr>
                      <wps:txbx>
                        <w:txbxContent>
                          <w:p w14:paraId="05A8E36B" w14:textId="77777777" w:rsidR="001D6A31" w:rsidRPr="0050070F" w:rsidRDefault="001D6A31" w:rsidP="00F63846">
                            <w:pPr>
                              <w:keepNext/>
                              <w:keepLines/>
                              <w:spacing w:before="180"/>
                              <w:ind w:left="1134" w:hanging="1134"/>
                              <w:outlineLvl w:val="1"/>
                              <w:rPr>
                                <w:rFonts w:ascii="Arial" w:eastAsia="Times New Roman" w:hAnsi="Arial"/>
                                <w:sz w:val="32"/>
                              </w:rPr>
                            </w:pPr>
                            <w:bookmarkStart w:id="2" w:name="_Toc26620913"/>
                            <w:r w:rsidRPr="0050070F">
                              <w:rPr>
                                <w:rFonts w:ascii="Arial" w:eastAsia="Times New Roman" w:hAnsi="Arial"/>
                                <w:sz w:val="32"/>
                              </w:rPr>
                              <w:t>5.1</w:t>
                            </w:r>
                            <w:r w:rsidRPr="0050070F">
                              <w:rPr>
                                <w:rFonts w:ascii="Arial" w:eastAsia="Times New Roman" w:hAnsi="Arial"/>
                                <w:sz w:val="32"/>
                              </w:rPr>
                              <w:tab/>
                              <w:t xml:space="preserve">Transparent </w:t>
                            </w:r>
                            <w:proofErr w:type="gramStart"/>
                            <w:r w:rsidRPr="0050070F">
                              <w:rPr>
                                <w:rFonts w:ascii="Arial" w:eastAsia="Times New Roman" w:hAnsi="Arial"/>
                                <w:sz w:val="32"/>
                              </w:rPr>
                              <w:t>satellite based</w:t>
                            </w:r>
                            <w:proofErr w:type="gramEnd"/>
                            <w:r w:rsidRPr="0050070F">
                              <w:rPr>
                                <w:rFonts w:ascii="Arial" w:eastAsia="Times New Roman" w:hAnsi="Arial"/>
                                <w:sz w:val="32"/>
                              </w:rPr>
                              <w:t xml:space="preserve"> NG-RAN architecture</w:t>
                            </w:r>
                            <w:bookmarkEnd w:id="2"/>
                          </w:p>
                          <w:p w14:paraId="3B294149" w14:textId="77777777" w:rsidR="001D6A31" w:rsidRPr="0050070F" w:rsidRDefault="001D6A31" w:rsidP="00F63846">
                            <w:pPr>
                              <w:keepNext/>
                              <w:keepLines/>
                              <w:spacing w:before="120"/>
                              <w:ind w:left="1134" w:hanging="1134"/>
                              <w:outlineLvl w:val="2"/>
                              <w:rPr>
                                <w:rFonts w:ascii="Arial" w:eastAsia="Times New Roman" w:hAnsi="Arial"/>
                                <w:sz w:val="28"/>
                              </w:rPr>
                            </w:pPr>
                            <w:bookmarkStart w:id="3" w:name="_Toc26620914"/>
                            <w:r w:rsidRPr="0050070F">
                              <w:rPr>
                                <w:rFonts w:ascii="Arial" w:eastAsia="Times New Roman" w:hAnsi="Arial"/>
                                <w:sz w:val="28"/>
                              </w:rPr>
                              <w:t>5.1.1</w:t>
                            </w:r>
                            <w:r w:rsidRPr="0050070F">
                              <w:rPr>
                                <w:rFonts w:ascii="Arial" w:eastAsia="Times New Roman" w:hAnsi="Arial"/>
                                <w:sz w:val="28"/>
                              </w:rPr>
                              <w:tab/>
                              <w:t>Overview</w:t>
                            </w:r>
                            <w:bookmarkEnd w:id="3"/>
                          </w:p>
                          <w:p w14:paraId="38BA56F3" w14:textId="77777777" w:rsidR="001D6A31" w:rsidRPr="0050070F" w:rsidRDefault="001D6A31" w:rsidP="00F63846">
                            <w:pPr>
                              <w:rPr>
                                <w:rFonts w:eastAsia="Times New Roman"/>
                              </w:rPr>
                            </w:pPr>
                            <w:r w:rsidRPr="0050070F">
                              <w:rPr>
                                <w:rFonts w:eastAsia="Times New Roman"/>
                              </w:rPr>
                              <w:t xml:space="preserve">The satellite payload implements frequency conversion and a Radio Frequency amplifier in both up link and down link direction. It corresponds to an analogue RF repeater. </w:t>
                            </w:r>
                          </w:p>
                          <w:p w14:paraId="5FA6826A" w14:textId="77777777" w:rsidR="001D6A31" w:rsidRPr="0050070F" w:rsidRDefault="001D6A31" w:rsidP="00F63846">
                            <w:pPr>
                              <w:rPr>
                                <w:rFonts w:eastAsia="Times New Roman"/>
                              </w:rPr>
                            </w:pPr>
                            <w:r w:rsidRPr="0050070F">
                              <w:rPr>
                                <w:rFonts w:eastAsia="Times New Roman"/>
                              </w:rPr>
                              <w:t>Hence the satellite repeats the NR-</w:t>
                            </w:r>
                            <w:proofErr w:type="spellStart"/>
                            <w:r w:rsidRPr="0050070F">
                              <w:rPr>
                                <w:rFonts w:eastAsia="Times New Roman"/>
                              </w:rPr>
                              <w:t>Uu</w:t>
                            </w:r>
                            <w:proofErr w:type="spellEnd"/>
                            <w:r w:rsidRPr="0050070F">
                              <w:rPr>
                                <w:rFonts w:eastAsia="Times New Roman"/>
                              </w:rPr>
                              <w:t xml:space="preserve"> radio interface from the feeder link (between the NTN gateway and the satellite) to the service link (between the satellite and the UE) and vice versa.</w:t>
                            </w:r>
                          </w:p>
                          <w:p w14:paraId="11E60A0E" w14:textId="77777777" w:rsidR="001D6A31" w:rsidRPr="0050070F" w:rsidRDefault="001D6A31" w:rsidP="00F63846">
                            <w:pPr>
                              <w:rPr>
                                <w:rFonts w:eastAsia="Times New Roman"/>
                              </w:rPr>
                            </w:pPr>
                            <w:r w:rsidRPr="0050070F">
                              <w:rPr>
                                <w:rFonts w:eastAsia="Times New Roman"/>
                              </w:rPr>
                              <w:t>The Satellite Radio Interface (SRI) on the feeder link is the NR-</w:t>
                            </w:r>
                            <w:proofErr w:type="spellStart"/>
                            <w:r w:rsidRPr="0050070F">
                              <w:rPr>
                                <w:rFonts w:eastAsia="Times New Roman"/>
                              </w:rPr>
                              <w:t>Uu</w:t>
                            </w:r>
                            <w:proofErr w:type="spellEnd"/>
                            <w:r w:rsidRPr="0050070F">
                              <w:rPr>
                                <w:rFonts w:eastAsia="Times New Roman"/>
                              </w:rPr>
                              <w:t>. In other words, the satellite does not terminate NR-</w:t>
                            </w:r>
                            <w:proofErr w:type="spellStart"/>
                            <w:r w:rsidRPr="0050070F">
                              <w:rPr>
                                <w:rFonts w:eastAsia="Times New Roman"/>
                              </w:rPr>
                              <w:t>Uu</w:t>
                            </w:r>
                            <w:proofErr w:type="spellEnd"/>
                            <w:r w:rsidRPr="0050070F">
                              <w:rPr>
                                <w:rFonts w:eastAsia="Times New Roman"/>
                              </w:rPr>
                              <w:t>.</w:t>
                            </w:r>
                          </w:p>
                          <w:p w14:paraId="411C83FE" w14:textId="77777777" w:rsidR="001D6A31" w:rsidRPr="0050070F" w:rsidRDefault="001D6A31" w:rsidP="00F63846">
                            <w:pPr>
                              <w:rPr>
                                <w:rFonts w:eastAsia="Times New Roman"/>
                              </w:rPr>
                            </w:pPr>
                            <w:r w:rsidRPr="0050070F">
                              <w:rPr>
                                <w:rFonts w:eastAsia="Times New Roman"/>
                              </w:rPr>
                              <w:t>The NTN GW supports all necessary functions to forward the signal of NR-</w:t>
                            </w:r>
                            <w:proofErr w:type="spellStart"/>
                            <w:r w:rsidRPr="0050070F">
                              <w:rPr>
                                <w:rFonts w:eastAsia="Times New Roman"/>
                              </w:rPr>
                              <w:t>Uu</w:t>
                            </w:r>
                            <w:proofErr w:type="spellEnd"/>
                            <w:r w:rsidRPr="0050070F">
                              <w:rPr>
                                <w:rFonts w:eastAsia="Times New Roman"/>
                              </w:rPr>
                              <w:t xml:space="preserve"> interface.</w:t>
                            </w:r>
                          </w:p>
                          <w:p w14:paraId="7E0076FE" w14:textId="77777777" w:rsidR="001D6A31" w:rsidRPr="0050070F" w:rsidRDefault="001D6A31" w:rsidP="00F63846">
                            <w:pPr>
                              <w:rPr>
                                <w:rFonts w:eastAsia="Times New Roman"/>
                              </w:rPr>
                            </w:pPr>
                            <w:r w:rsidRPr="0050070F">
                              <w:rPr>
                                <w:rFonts w:eastAsia="Times New Roman"/>
                              </w:rPr>
                              <w:t>Different transparent satellites may be connected to the same gNB on the ground.</w:t>
                            </w:r>
                          </w:p>
                          <w:p w14:paraId="72E1F8AA" w14:textId="77777777" w:rsidR="001D6A31" w:rsidRDefault="001D6A31" w:rsidP="00F6384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44F2436" id="_x0000_t202" coordsize="21600,21600" o:spt="202" path="m,l,21600r21600,l21600,xe">
                <v:stroke joinstyle="miter"/>
                <v:path gradientshapeok="t" o:connecttype="rect"/>
              </v:shapetype>
              <v:shape id="Text Box 2" o:spid="_x0000_s1026" type="#_x0000_t202" style="position:absolute;margin-left:3.3pt;margin-top:18.65pt;width:464pt;height:205.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7brJQIAAEcEAAAOAAAAZHJzL2Uyb0RvYy54bWysU1Fv2yAQfp+0/4B4X+xYSZtYcaouXaZJ&#10;XTep3Q/AGMdowDEgsbNfvwOnadRtL9N4QBx3fHz33d3qZtCKHITzEkxFp5OcEmE4NNLsKvrtaftu&#10;QYkPzDRMgREVPQpPb9Zv36x6W4oCOlCNcARBjC97W9EuBFtmmeed0MxPwAqDzhacZgFNt8sax3pE&#10;1yor8vwq68E11gEX3uPt3eik64TftoKHL23rRSCqosgtpN2lvY57tl6xcueY7SQ/0WD/wEIzafDT&#10;M9QdC4zsnfwNSkvuwEMbJhx0Bm0ruUg5YDbT/FU2jx2zIuWC4nh7lsn/P1j+cPjqiGwqWkyvKTFM&#10;Y5GexBDIexhIEfXprS8x7NFiYBjwGuuccvX2Hvh3TwxsOmZ24tY56DvBGuQ3jS+zi6cjjo8gdf8Z&#10;GvyG7QMkoKF1OoqHchBExzodz7WJVDhezhfLYpGji6OvuMqXi3mqXsbK5+fW+fBRgCbxUFGHxU/w&#10;7HDvQ6TDyueQ+JsHJZutVCoZbldvlCMHho2yTStl8CpMGdJXdDkv5qMCf4XI0/oThJYBO15JXVHM&#10;B1cMYmXU7YNp0jkwqcYzUlbmJGTUblQxDPWAgVHdGpojSupg7GycRDx04H5S0mNXV9T/2DMnKFGf&#10;DJZlOZ3N4hgkYza/LtBwl5760sMMR6iKBkrG4yak0Yl8Ddxi+VqZhH1hcuKK3Zr0Pk1WHIdLO0W9&#10;zP/6FwAAAP//AwBQSwMEFAAGAAgAAAAhAJbOU3LeAAAACAEAAA8AAABkcnMvZG93bnJldi54bWxM&#10;j81OwzAQhO9IvIO1SFwQdcBRmoZsKoQEghsU1F7d2E0i/BNsNw1vz3KC4+yMZr6t17M1bNIhDt4h&#10;3CwyYNq1Xg2uQ/h4f7wugcUknZLGO43wrSOsm/OzWlbKn9ybnjapY1TiYiUR+pTGivPY9trKuPCj&#10;duQdfLAykQwdV0GeqNwafptlBbdycLTQy1E/9Lr93BwtQpk/T7v4Il63bXEwq3S1nJ6+AuLlxXx/&#10;ByzpOf2F4Ref0KEhpr0/OhWZQSgKCiKIpQBG9krkdNgj5HkpgDc1//9A8wMAAP//AwBQSwECLQAU&#10;AAYACAAAACEAtoM4kv4AAADhAQAAEwAAAAAAAAAAAAAAAAAAAAAAW0NvbnRlbnRfVHlwZXNdLnht&#10;bFBLAQItABQABgAIAAAAIQA4/SH/1gAAAJQBAAALAAAAAAAAAAAAAAAAAC8BAABfcmVscy8ucmVs&#10;c1BLAQItABQABgAIAAAAIQDXX7brJQIAAEcEAAAOAAAAAAAAAAAAAAAAAC4CAABkcnMvZTJvRG9j&#10;LnhtbFBLAQItABQABgAIAAAAIQCWzlNy3gAAAAgBAAAPAAAAAAAAAAAAAAAAAH8EAABkcnMvZG93&#10;bnJldi54bWxQSwUGAAAAAAQABADzAAAAigUAAAAA&#10;">
                <v:textbox>
                  <w:txbxContent>
                    <w:p w14:paraId="05A8E36B" w14:textId="77777777" w:rsidR="001D6A31" w:rsidRPr="0050070F" w:rsidRDefault="001D6A31" w:rsidP="00F63846">
                      <w:pPr>
                        <w:keepNext/>
                        <w:keepLines/>
                        <w:spacing w:before="180"/>
                        <w:ind w:left="1134" w:hanging="1134"/>
                        <w:outlineLvl w:val="1"/>
                        <w:rPr>
                          <w:rFonts w:ascii="Arial" w:eastAsia="Times New Roman" w:hAnsi="Arial"/>
                          <w:sz w:val="32"/>
                        </w:rPr>
                      </w:pPr>
                      <w:bookmarkStart w:id="4" w:name="_Toc26620913"/>
                      <w:r w:rsidRPr="0050070F">
                        <w:rPr>
                          <w:rFonts w:ascii="Arial" w:eastAsia="Times New Roman" w:hAnsi="Arial"/>
                          <w:sz w:val="32"/>
                        </w:rPr>
                        <w:t>5.1</w:t>
                      </w:r>
                      <w:r w:rsidRPr="0050070F">
                        <w:rPr>
                          <w:rFonts w:ascii="Arial" w:eastAsia="Times New Roman" w:hAnsi="Arial"/>
                          <w:sz w:val="32"/>
                        </w:rPr>
                        <w:tab/>
                        <w:t xml:space="preserve">Transparent </w:t>
                      </w:r>
                      <w:proofErr w:type="gramStart"/>
                      <w:r w:rsidRPr="0050070F">
                        <w:rPr>
                          <w:rFonts w:ascii="Arial" w:eastAsia="Times New Roman" w:hAnsi="Arial"/>
                          <w:sz w:val="32"/>
                        </w:rPr>
                        <w:t>satellite based</w:t>
                      </w:r>
                      <w:proofErr w:type="gramEnd"/>
                      <w:r w:rsidRPr="0050070F">
                        <w:rPr>
                          <w:rFonts w:ascii="Arial" w:eastAsia="Times New Roman" w:hAnsi="Arial"/>
                          <w:sz w:val="32"/>
                        </w:rPr>
                        <w:t xml:space="preserve"> NG-RAN architecture</w:t>
                      </w:r>
                      <w:bookmarkEnd w:id="4"/>
                    </w:p>
                    <w:p w14:paraId="3B294149" w14:textId="77777777" w:rsidR="001D6A31" w:rsidRPr="0050070F" w:rsidRDefault="001D6A31" w:rsidP="00F63846">
                      <w:pPr>
                        <w:keepNext/>
                        <w:keepLines/>
                        <w:spacing w:before="120"/>
                        <w:ind w:left="1134" w:hanging="1134"/>
                        <w:outlineLvl w:val="2"/>
                        <w:rPr>
                          <w:rFonts w:ascii="Arial" w:eastAsia="Times New Roman" w:hAnsi="Arial"/>
                          <w:sz w:val="28"/>
                        </w:rPr>
                      </w:pPr>
                      <w:bookmarkStart w:id="5" w:name="_Toc26620914"/>
                      <w:r w:rsidRPr="0050070F">
                        <w:rPr>
                          <w:rFonts w:ascii="Arial" w:eastAsia="Times New Roman" w:hAnsi="Arial"/>
                          <w:sz w:val="28"/>
                        </w:rPr>
                        <w:t>5.1.1</w:t>
                      </w:r>
                      <w:r w:rsidRPr="0050070F">
                        <w:rPr>
                          <w:rFonts w:ascii="Arial" w:eastAsia="Times New Roman" w:hAnsi="Arial"/>
                          <w:sz w:val="28"/>
                        </w:rPr>
                        <w:tab/>
                        <w:t>Overview</w:t>
                      </w:r>
                      <w:bookmarkEnd w:id="5"/>
                    </w:p>
                    <w:p w14:paraId="38BA56F3" w14:textId="77777777" w:rsidR="001D6A31" w:rsidRPr="0050070F" w:rsidRDefault="001D6A31" w:rsidP="00F63846">
                      <w:pPr>
                        <w:rPr>
                          <w:rFonts w:eastAsia="Times New Roman"/>
                        </w:rPr>
                      </w:pPr>
                      <w:r w:rsidRPr="0050070F">
                        <w:rPr>
                          <w:rFonts w:eastAsia="Times New Roman"/>
                        </w:rPr>
                        <w:t xml:space="preserve">The satellite payload implements frequency conversion and a Radio Frequency amplifier in both up link and down link direction. It corresponds to an analogue RF repeater. </w:t>
                      </w:r>
                    </w:p>
                    <w:p w14:paraId="5FA6826A" w14:textId="77777777" w:rsidR="001D6A31" w:rsidRPr="0050070F" w:rsidRDefault="001D6A31" w:rsidP="00F63846">
                      <w:pPr>
                        <w:rPr>
                          <w:rFonts w:eastAsia="Times New Roman"/>
                        </w:rPr>
                      </w:pPr>
                      <w:r w:rsidRPr="0050070F">
                        <w:rPr>
                          <w:rFonts w:eastAsia="Times New Roman"/>
                        </w:rPr>
                        <w:t>Hence the satellite repeats the NR-</w:t>
                      </w:r>
                      <w:proofErr w:type="spellStart"/>
                      <w:r w:rsidRPr="0050070F">
                        <w:rPr>
                          <w:rFonts w:eastAsia="Times New Roman"/>
                        </w:rPr>
                        <w:t>Uu</w:t>
                      </w:r>
                      <w:proofErr w:type="spellEnd"/>
                      <w:r w:rsidRPr="0050070F">
                        <w:rPr>
                          <w:rFonts w:eastAsia="Times New Roman"/>
                        </w:rPr>
                        <w:t xml:space="preserve"> radio interface from the feeder link (between the NTN gateway and the satellite) to the service link (between the satellite and the UE) and vice versa.</w:t>
                      </w:r>
                    </w:p>
                    <w:p w14:paraId="11E60A0E" w14:textId="77777777" w:rsidR="001D6A31" w:rsidRPr="0050070F" w:rsidRDefault="001D6A31" w:rsidP="00F63846">
                      <w:pPr>
                        <w:rPr>
                          <w:rFonts w:eastAsia="Times New Roman"/>
                        </w:rPr>
                      </w:pPr>
                      <w:r w:rsidRPr="0050070F">
                        <w:rPr>
                          <w:rFonts w:eastAsia="Times New Roman"/>
                        </w:rPr>
                        <w:t>The Satellite Radio Interface (SRI) on the feeder link is the NR-</w:t>
                      </w:r>
                      <w:proofErr w:type="spellStart"/>
                      <w:r w:rsidRPr="0050070F">
                        <w:rPr>
                          <w:rFonts w:eastAsia="Times New Roman"/>
                        </w:rPr>
                        <w:t>Uu</w:t>
                      </w:r>
                      <w:proofErr w:type="spellEnd"/>
                      <w:r w:rsidRPr="0050070F">
                        <w:rPr>
                          <w:rFonts w:eastAsia="Times New Roman"/>
                        </w:rPr>
                        <w:t>. In other words, the satellite does not terminate NR-</w:t>
                      </w:r>
                      <w:proofErr w:type="spellStart"/>
                      <w:r w:rsidRPr="0050070F">
                        <w:rPr>
                          <w:rFonts w:eastAsia="Times New Roman"/>
                        </w:rPr>
                        <w:t>Uu</w:t>
                      </w:r>
                      <w:proofErr w:type="spellEnd"/>
                      <w:r w:rsidRPr="0050070F">
                        <w:rPr>
                          <w:rFonts w:eastAsia="Times New Roman"/>
                        </w:rPr>
                        <w:t>.</w:t>
                      </w:r>
                    </w:p>
                    <w:p w14:paraId="411C83FE" w14:textId="77777777" w:rsidR="001D6A31" w:rsidRPr="0050070F" w:rsidRDefault="001D6A31" w:rsidP="00F63846">
                      <w:pPr>
                        <w:rPr>
                          <w:rFonts w:eastAsia="Times New Roman"/>
                        </w:rPr>
                      </w:pPr>
                      <w:r w:rsidRPr="0050070F">
                        <w:rPr>
                          <w:rFonts w:eastAsia="Times New Roman"/>
                        </w:rPr>
                        <w:t>The NTN GW supports all necessary functions to forward the signal of NR-</w:t>
                      </w:r>
                      <w:proofErr w:type="spellStart"/>
                      <w:r w:rsidRPr="0050070F">
                        <w:rPr>
                          <w:rFonts w:eastAsia="Times New Roman"/>
                        </w:rPr>
                        <w:t>Uu</w:t>
                      </w:r>
                      <w:proofErr w:type="spellEnd"/>
                      <w:r w:rsidRPr="0050070F">
                        <w:rPr>
                          <w:rFonts w:eastAsia="Times New Roman"/>
                        </w:rPr>
                        <w:t xml:space="preserve"> interface.</w:t>
                      </w:r>
                    </w:p>
                    <w:p w14:paraId="7E0076FE" w14:textId="77777777" w:rsidR="001D6A31" w:rsidRPr="0050070F" w:rsidRDefault="001D6A31" w:rsidP="00F63846">
                      <w:pPr>
                        <w:rPr>
                          <w:rFonts w:eastAsia="Times New Roman"/>
                        </w:rPr>
                      </w:pPr>
                      <w:r w:rsidRPr="0050070F">
                        <w:rPr>
                          <w:rFonts w:eastAsia="Times New Roman"/>
                        </w:rPr>
                        <w:t>Different transparent satellites may be connected to the same gNB on the ground.</w:t>
                      </w:r>
                    </w:p>
                    <w:p w14:paraId="72E1F8AA" w14:textId="77777777" w:rsidR="001D6A31" w:rsidRDefault="001D6A31" w:rsidP="00F63846"/>
                  </w:txbxContent>
                </v:textbox>
                <w10:wrap type="square"/>
              </v:shape>
            </w:pict>
          </mc:Fallback>
        </mc:AlternateContent>
      </w:r>
      <w:r>
        <w:t xml:space="preserve">The TR 38.821 </w:t>
      </w:r>
      <w:r w:rsidR="00CE0DAB">
        <w:fldChar w:fldCharType="begin"/>
      </w:r>
      <w:r w:rsidR="00CE0DAB">
        <w:instrText xml:space="preserve"> REF _Ref31184816 \r \h </w:instrText>
      </w:r>
      <w:r w:rsidR="00CE0DAB">
        <w:fldChar w:fldCharType="separate"/>
      </w:r>
      <w:r w:rsidR="00F35C8F">
        <w:t>[2]</w:t>
      </w:r>
      <w:r w:rsidR="00CE0DAB">
        <w:fldChar w:fldCharType="end"/>
      </w:r>
      <w:r>
        <w:t xml:space="preserve"> defines a transparent satellite as follows:</w:t>
      </w:r>
    </w:p>
    <w:p w14:paraId="354130BC" w14:textId="4FA99806" w:rsidR="00F63846" w:rsidRDefault="00F63846" w:rsidP="00F63846">
      <w:r>
        <w:t xml:space="preserve">The text of section 5.1.1 </w:t>
      </w:r>
      <w:r w:rsidR="00CE0DAB">
        <w:fldChar w:fldCharType="begin"/>
      </w:r>
      <w:r w:rsidR="00CE0DAB">
        <w:instrText xml:space="preserve"> REF _Ref31184816 \r \h </w:instrText>
      </w:r>
      <w:r w:rsidR="00CE0DAB">
        <w:fldChar w:fldCharType="separate"/>
      </w:r>
      <w:r w:rsidR="00F35C8F">
        <w:t>[2]</w:t>
      </w:r>
      <w:r w:rsidR="00CE0DAB">
        <w:fldChar w:fldCharType="end"/>
      </w:r>
      <w:r>
        <w:t xml:space="preserve"> defines the transparent satellite implements amplification of uplink and downlink. However, the exact type of amplification is not defined. This is an issue, e.g. because the satellite downlink output power impacts </w:t>
      </w:r>
      <w:r w:rsidR="00011916">
        <w:t xml:space="preserve">link adaptation (interpretation of CQI, SRS), </w:t>
      </w:r>
      <w:r>
        <w:t>mobility mechanisms (handover and cell selection) and UE uplink power control. Thus, it is necessary to define the type of satellite amplification, both for the downlink (i.e. feeder link to service link) and uplink (i.e. service link to feeder link) – note that each link is composed of a receiving and transmitting gain factor. The potential amplification types include:</w:t>
      </w:r>
    </w:p>
    <w:p w14:paraId="20F769A0" w14:textId="77777777" w:rsidR="00F63846" w:rsidRDefault="00F63846" w:rsidP="00F63846">
      <w:pPr>
        <w:pStyle w:val="ListParagraph"/>
        <w:numPr>
          <w:ilvl w:val="0"/>
          <w:numId w:val="15"/>
        </w:numPr>
        <w:spacing w:after="160" w:line="259" w:lineRule="auto"/>
        <w:rPr>
          <w:sz w:val="20"/>
          <w:szCs w:val="20"/>
        </w:rPr>
      </w:pPr>
      <w:proofErr w:type="spellStart"/>
      <w:r>
        <w:rPr>
          <w:sz w:val="20"/>
          <w:szCs w:val="20"/>
        </w:rPr>
        <w:t>Constant</w:t>
      </w:r>
      <w:proofErr w:type="spellEnd"/>
      <w:r>
        <w:rPr>
          <w:sz w:val="20"/>
          <w:szCs w:val="20"/>
        </w:rPr>
        <w:t xml:space="preserve"> </w:t>
      </w:r>
      <w:proofErr w:type="spellStart"/>
      <w:r>
        <w:rPr>
          <w:sz w:val="20"/>
          <w:szCs w:val="20"/>
        </w:rPr>
        <w:t>gain</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combined</w:t>
      </w:r>
      <w:proofErr w:type="spellEnd"/>
      <w:r>
        <w:rPr>
          <w:sz w:val="20"/>
          <w:szCs w:val="20"/>
        </w:rPr>
        <w:t xml:space="preserve"> </w:t>
      </w:r>
      <w:proofErr w:type="spellStart"/>
      <w:r>
        <w:rPr>
          <w:sz w:val="20"/>
          <w:szCs w:val="20"/>
        </w:rPr>
        <w:t>receive</w:t>
      </w:r>
      <w:proofErr w:type="spellEnd"/>
      <w:r>
        <w:rPr>
          <w:sz w:val="20"/>
          <w:szCs w:val="20"/>
        </w:rPr>
        <w:t xml:space="preserve"> and </w:t>
      </w:r>
      <w:proofErr w:type="spellStart"/>
      <w:r>
        <w:rPr>
          <w:sz w:val="20"/>
          <w:szCs w:val="20"/>
        </w:rPr>
        <w:t>transmit</w:t>
      </w:r>
      <w:proofErr w:type="spellEnd"/>
      <w:r>
        <w:rPr>
          <w:sz w:val="20"/>
          <w:szCs w:val="20"/>
        </w:rPr>
        <w:t xml:space="preserve"> </w:t>
      </w:r>
      <w:proofErr w:type="spellStart"/>
      <w:r>
        <w:rPr>
          <w:sz w:val="20"/>
          <w:szCs w:val="20"/>
        </w:rPr>
        <w:t>gain</w:t>
      </w:r>
      <w:proofErr w:type="spellEnd"/>
      <w:r>
        <w:rPr>
          <w:sz w:val="20"/>
          <w:szCs w:val="20"/>
        </w:rPr>
        <w:t xml:space="preserve"> is a </w:t>
      </w:r>
      <w:proofErr w:type="spellStart"/>
      <w:r>
        <w:rPr>
          <w:sz w:val="20"/>
          <w:szCs w:val="20"/>
        </w:rPr>
        <w:t>constant</w:t>
      </w:r>
      <w:proofErr w:type="spellEnd"/>
      <w:r>
        <w:rPr>
          <w:sz w:val="20"/>
          <w:szCs w:val="20"/>
        </w:rPr>
        <w:t xml:space="preserve">, </w:t>
      </w:r>
      <w:proofErr w:type="spellStart"/>
      <w:r>
        <w:rPr>
          <w:sz w:val="20"/>
          <w:szCs w:val="20"/>
        </w:rPr>
        <w:t>independent</w:t>
      </w:r>
      <w:proofErr w:type="spellEnd"/>
      <w:r>
        <w:rPr>
          <w:sz w:val="20"/>
          <w:szCs w:val="20"/>
        </w:rPr>
        <w:t xml:space="preserve"> of </w:t>
      </w:r>
      <w:proofErr w:type="spellStart"/>
      <w:r>
        <w:rPr>
          <w:sz w:val="20"/>
          <w:szCs w:val="20"/>
        </w:rPr>
        <w:t>the</w:t>
      </w:r>
      <w:proofErr w:type="spellEnd"/>
      <w:r>
        <w:rPr>
          <w:sz w:val="20"/>
          <w:szCs w:val="20"/>
        </w:rPr>
        <w:t xml:space="preserve"> </w:t>
      </w:r>
      <w:proofErr w:type="spellStart"/>
      <w:r>
        <w:rPr>
          <w:sz w:val="20"/>
          <w:szCs w:val="20"/>
        </w:rPr>
        <w:t>received</w:t>
      </w:r>
      <w:proofErr w:type="spellEnd"/>
      <w:r>
        <w:rPr>
          <w:sz w:val="20"/>
          <w:szCs w:val="20"/>
        </w:rPr>
        <w:t xml:space="preserve"> </w:t>
      </w:r>
      <w:proofErr w:type="spellStart"/>
      <w:r>
        <w:rPr>
          <w:sz w:val="20"/>
          <w:szCs w:val="20"/>
        </w:rPr>
        <w:t>signal</w:t>
      </w:r>
      <w:proofErr w:type="spellEnd"/>
      <w:r>
        <w:rPr>
          <w:sz w:val="20"/>
          <w:szCs w:val="20"/>
        </w:rPr>
        <w:t>.</w:t>
      </w:r>
    </w:p>
    <w:p w14:paraId="4E9BE3FC" w14:textId="12E37663" w:rsidR="00F63846" w:rsidRDefault="00F63846" w:rsidP="00F63846">
      <w:pPr>
        <w:pStyle w:val="ListParagraph"/>
        <w:numPr>
          <w:ilvl w:val="0"/>
          <w:numId w:val="15"/>
        </w:numPr>
        <w:spacing w:after="160" w:line="259" w:lineRule="auto"/>
        <w:rPr>
          <w:sz w:val="20"/>
          <w:szCs w:val="20"/>
        </w:rPr>
      </w:pPr>
      <w:proofErr w:type="spellStart"/>
      <w:r>
        <w:rPr>
          <w:sz w:val="20"/>
          <w:szCs w:val="20"/>
        </w:rPr>
        <w:t>Constant</w:t>
      </w:r>
      <w:proofErr w:type="spellEnd"/>
      <w:r>
        <w:rPr>
          <w:sz w:val="20"/>
          <w:szCs w:val="20"/>
        </w:rPr>
        <w:t xml:space="preserve"> </w:t>
      </w:r>
      <w:proofErr w:type="spellStart"/>
      <w:r>
        <w:rPr>
          <w:sz w:val="20"/>
          <w:szCs w:val="20"/>
        </w:rPr>
        <w:t>Emitted</w:t>
      </w:r>
      <w:proofErr w:type="spellEnd"/>
      <w:r>
        <w:rPr>
          <w:sz w:val="20"/>
          <w:szCs w:val="20"/>
        </w:rPr>
        <w:t xml:space="preserve"> </w:t>
      </w:r>
      <w:proofErr w:type="spellStart"/>
      <w:r>
        <w:rPr>
          <w:sz w:val="20"/>
          <w:szCs w:val="20"/>
        </w:rPr>
        <w:t>Isotropic</w:t>
      </w:r>
      <w:proofErr w:type="spellEnd"/>
      <w:r>
        <w:rPr>
          <w:sz w:val="20"/>
          <w:szCs w:val="20"/>
        </w:rPr>
        <w:t xml:space="preserve"> </w:t>
      </w:r>
      <w:proofErr w:type="spellStart"/>
      <w:r>
        <w:rPr>
          <w:sz w:val="20"/>
          <w:szCs w:val="20"/>
        </w:rPr>
        <w:t>Radiated</w:t>
      </w:r>
      <w:proofErr w:type="spellEnd"/>
      <w:r>
        <w:rPr>
          <w:sz w:val="20"/>
          <w:szCs w:val="20"/>
        </w:rPr>
        <w:t xml:space="preserve"> Power (EIRP). </w:t>
      </w:r>
      <w:proofErr w:type="spellStart"/>
      <w:r>
        <w:rPr>
          <w:sz w:val="20"/>
          <w:szCs w:val="20"/>
        </w:rPr>
        <w:t>The</w:t>
      </w:r>
      <w:proofErr w:type="spellEnd"/>
      <w:r>
        <w:rPr>
          <w:sz w:val="20"/>
          <w:szCs w:val="20"/>
        </w:rPr>
        <w:t xml:space="preserve"> </w:t>
      </w:r>
      <w:proofErr w:type="spellStart"/>
      <w:r>
        <w:rPr>
          <w:sz w:val="20"/>
          <w:szCs w:val="20"/>
        </w:rPr>
        <w:t>satellite</w:t>
      </w:r>
      <w:proofErr w:type="spellEnd"/>
      <w:r>
        <w:rPr>
          <w:sz w:val="20"/>
          <w:szCs w:val="20"/>
        </w:rPr>
        <w:t xml:space="preserve"> </w:t>
      </w:r>
      <w:proofErr w:type="spellStart"/>
      <w:r>
        <w:rPr>
          <w:sz w:val="20"/>
          <w:szCs w:val="20"/>
        </w:rPr>
        <w:t>will</w:t>
      </w:r>
      <w:proofErr w:type="spellEnd"/>
      <w:r>
        <w:rPr>
          <w:sz w:val="20"/>
          <w:szCs w:val="20"/>
        </w:rPr>
        <w:t xml:space="preserve"> </w:t>
      </w:r>
      <w:proofErr w:type="spellStart"/>
      <w:r>
        <w:rPr>
          <w:sz w:val="20"/>
          <w:szCs w:val="20"/>
        </w:rPr>
        <w:t>adjust</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combined</w:t>
      </w:r>
      <w:proofErr w:type="spellEnd"/>
      <w:r>
        <w:rPr>
          <w:sz w:val="20"/>
          <w:szCs w:val="20"/>
        </w:rPr>
        <w:t xml:space="preserve"> </w:t>
      </w:r>
      <w:proofErr w:type="spellStart"/>
      <w:r>
        <w:rPr>
          <w:sz w:val="20"/>
          <w:szCs w:val="20"/>
        </w:rPr>
        <w:t>receive</w:t>
      </w:r>
      <w:proofErr w:type="spellEnd"/>
      <w:r>
        <w:rPr>
          <w:sz w:val="20"/>
          <w:szCs w:val="20"/>
        </w:rPr>
        <w:t xml:space="preserve"> and </w:t>
      </w:r>
      <w:proofErr w:type="spellStart"/>
      <w:r>
        <w:rPr>
          <w:sz w:val="20"/>
          <w:szCs w:val="20"/>
        </w:rPr>
        <w:t>transmit</w:t>
      </w:r>
      <w:proofErr w:type="spellEnd"/>
      <w:r>
        <w:rPr>
          <w:sz w:val="20"/>
          <w:szCs w:val="20"/>
        </w:rPr>
        <w:t xml:space="preserve"> </w:t>
      </w:r>
      <w:proofErr w:type="spellStart"/>
      <w:r>
        <w:rPr>
          <w:sz w:val="20"/>
          <w:szCs w:val="20"/>
        </w:rPr>
        <w:t>gain</w:t>
      </w:r>
      <w:proofErr w:type="spellEnd"/>
      <w:r>
        <w:rPr>
          <w:sz w:val="20"/>
          <w:szCs w:val="20"/>
        </w:rPr>
        <w:t xml:space="preserve"> </w:t>
      </w:r>
      <w:proofErr w:type="spellStart"/>
      <w:r>
        <w:rPr>
          <w:sz w:val="20"/>
          <w:szCs w:val="20"/>
        </w:rPr>
        <w:t>based</w:t>
      </w:r>
      <w:proofErr w:type="spellEnd"/>
      <w:r>
        <w:rPr>
          <w:sz w:val="20"/>
          <w:szCs w:val="20"/>
        </w:rPr>
        <w:t xml:space="preserve"> on </w:t>
      </w:r>
      <w:proofErr w:type="spellStart"/>
      <w:r>
        <w:rPr>
          <w:sz w:val="20"/>
          <w:szCs w:val="20"/>
        </w:rPr>
        <w:t>the</w:t>
      </w:r>
      <w:proofErr w:type="spellEnd"/>
      <w:r>
        <w:rPr>
          <w:sz w:val="20"/>
          <w:szCs w:val="20"/>
        </w:rPr>
        <w:t xml:space="preserve"> </w:t>
      </w:r>
      <w:proofErr w:type="spellStart"/>
      <w:r>
        <w:rPr>
          <w:sz w:val="20"/>
          <w:szCs w:val="20"/>
        </w:rPr>
        <w:t>received</w:t>
      </w:r>
      <w:proofErr w:type="spellEnd"/>
      <w:r>
        <w:rPr>
          <w:sz w:val="20"/>
          <w:szCs w:val="20"/>
        </w:rPr>
        <w:t xml:space="preserve"> </w:t>
      </w:r>
      <w:proofErr w:type="spellStart"/>
      <w:r>
        <w:rPr>
          <w:sz w:val="20"/>
          <w:szCs w:val="20"/>
        </w:rPr>
        <w:t>signal</w:t>
      </w:r>
      <w:proofErr w:type="spellEnd"/>
      <w:r>
        <w:rPr>
          <w:sz w:val="20"/>
          <w:szCs w:val="20"/>
        </w:rPr>
        <w:t xml:space="preserve"> and a </w:t>
      </w:r>
      <w:proofErr w:type="spellStart"/>
      <w:r>
        <w:rPr>
          <w:sz w:val="20"/>
          <w:szCs w:val="20"/>
        </w:rPr>
        <w:t>target</w:t>
      </w:r>
      <w:proofErr w:type="spellEnd"/>
      <w:r>
        <w:rPr>
          <w:sz w:val="20"/>
          <w:szCs w:val="20"/>
        </w:rPr>
        <w:t xml:space="preserve"> EIRP.</w:t>
      </w:r>
      <w:r w:rsidR="00011916">
        <w:rPr>
          <w:sz w:val="20"/>
          <w:szCs w:val="20"/>
        </w:rPr>
        <w:t xml:space="preserve"> </w:t>
      </w:r>
      <w:proofErr w:type="spellStart"/>
      <w:r w:rsidR="00011916">
        <w:rPr>
          <w:sz w:val="20"/>
          <w:szCs w:val="20"/>
        </w:rPr>
        <w:t>This</w:t>
      </w:r>
      <w:proofErr w:type="spellEnd"/>
      <w:r w:rsidR="00011916">
        <w:rPr>
          <w:sz w:val="20"/>
          <w:szCs w:val="20"/>
        </w:rPr>
        <w:t xml:space="preserve"> </w:t>
      </w:r>
      <w:proofErr w:type="spellStart"/>
      <w:r w:rsidR="00011916">
        <w:rPr>
          <w:sz w:val="20"/>
          <w:szCs w:val="20"/>
        </w:rPr>
        <w:t>may</w:t>
      </w:r>
      <w:proofErr w:type="spellEnd"/>
      <w:r w:rsidR="00011916">
        <w:rPr>
          <w:sz w:val="20"/>
          <w:szCs w:val="20"/>
        </w:rPr>
        <w:t xml:space="preserve"> </w:t>
      </w:r>
      <w:proofErr w:type="spellStart"/>
      <w:r w:rsidR="00011916">
        <w:rPr>
          <w:sz w:val="20"/>
          <w:szCs w:val="20"/>
        </w:rPr>
        <w:t>potentially</w:t>
      </w:r>
      <w:proofErr w:type="spellEnd"/>
      <w:r w:rsidR="00011916">
        <w:rPr>
          <w:sz w:val="20"/>
          <w:szCs w:val="20"/>
        </w:rPr>
        <w:t xml:space="preserve"> </w:t>
      </w:r>
      <w:proofErr w:type="spellStart"/>
      <w:r w:rsidR="00011916">
        <w:rPr>
          <w:sz w:val="20"/>
          <w:szCs w:val="20"/>
        </w:rPr>
        <w:t>make</w:t>
      </w:r>
      <w:proofErr w:type="spellEnd"/>
      <w:r w:rsidR="00011916">
        <w:rPr>
          <w:sz w:val="20"/>
          <w:szCs w:val="20"/>
        </w:rPr>
        <w:t xml:space="preserve"> </w:t>
      </w:r>
      <w:proofErr w:type="spellStart"/>
      <w:r w:rsidR="00011916">
        <w:rPr>
          <w:sz w:val="20"/>
          <w:szCs w:val="20"/>
        </w:rPr>
        <w:t>the</w:t>
      </w:r>
      <w:proofErr w:type="spellEnd"/>
      <w:r w:rsidR="00011916">
        <w:rPr>
          <w:sz w:val="20"/>
          <w:szCs w:val="20"/>
        </w:rPr>
        <w:t xml:space="preserve"> </w:t>
      </w:r>
      <w:proofErr w:type="spellStart"/>
      <w:r w:rsidR="00011916">
        <w:rPr>
          <w:sz w:val="20"/>
          <w:szCs w:val="20"/>
        </w:rPr>
        <w:t>feeder</w:t>
      </w:r>
      <w:proofErr w:type="spellEnd"/>
      <w:r w:rsidR="00011916">
        <w:rPr>
          <w:sz w:val="20"/>
          <w:szCs w:val="20"/>
        </w:rPr>
        <w:t xml:space="preserve"> </w:t>
      </w:r>
      <w:proofErr w:type="spellStart"/>
      <w:r w:rsidR="00011916">
        <w:rPr>
          <w:sz w:val="20"/>
          <w:szCs w:val="20"/>
        </w:rPr>
        <w:t>link</w:t>
      </w:r>
      <w:proofErr w:type="spellEnd"/>
      <w:r w:rsidR="00011916">
        <w:rPr>
          <w:sz w:val="20"/>
          <w:szCs w:val="20"/>
        </w:rPr>
        <w:t xml:space="preserve"> </w:t>
      </w:r>
      <w:proofErr w:type="spellStart"/>
      <w:r w:rsidR="00011916">
        <w:rPr>
          <w:sz w:val="20"/>
          <w:szCs w:val="20"/>
        </w:rPr>
        <w:t>gain</w:t>
      </w:r>
      <w:proofErr w:type="spellEnd"/>
      <w:r w:rsidR="00011916">
        <w:rPr>
          <w:sz w:val="20"/>
          <w:szCs w:val="20"/>
        </w:rPr>
        <w:t xml:space="preserve"> </w:t>
      </w:r>
      <w:proofErr w:type="spellStart"/>
      <w:r w:rsidR="00011916">
        <w:rPr>
          <w:sz w:val="20"/>
          <w:szCs w:val="20"/>
        </w:rPr>
        <w:t>equal</w:t>
      </w:r>
      <w:proofErr w:type="spellEnd"/>
      <w:r w:rsidR="00011916">
        <w:rPr>
          <w:sz w:val="20"/>
          <w:szCs w:val="20"/>
        </w:rPr>
        <w:t xml:space="preserve"> to </w:t>
      </w:r>
      <w:proofErr w:type="spellStart"/>
      <w:r w:rsidR="00011916">
        <w:rPr>
          <w:sz w:val="20"/>
          <w:szCs w:val="20"/>
        </w:rPr>
        <w:t>one</w:t>
      </w:r>
      <w:proofErr w:type="spellEnd"/>
      <w:r w:rsidR="00011916">
        <w:rPr>
          <w:sz w:val="20"/>
          <w:szCs w:val="20"/>
        </w:rPr>
        <w:t>.</w:t>
      </w:r>
    </w:p>
    <w:p w14:paraId="4D86119D" w14:textId="0B67C2F1" w:rsidR="00F63846" w:rsidRDefault="00F63846" w:rsidP="00F63846">
      <w:pPr>
        <w:pStyle w:val="ListParagraph"/>
        <w:numPr>
          <w:ilvl w:val="0"/>
          <w:numId w:val="15"/>
        </w:numPr>
        <w:spacing w:after="160" w:line="259" w:lineRule="auto"/>
        <w:rPr>
          <w:sz w:val="20"/>
          <w:szCs w:val="20"/>
        </w:rPr>
      </w:pPr>
      <w:proofErr w:type="spellStart"/>
      <w:r>
        <w:rPr>
          <w:sz w:val="20"/>
          <w:szCs w:val="20"/>
        </w:rPr>
        <w:t>Constant</w:t>
      </w:r>
      <w:proofErr w:type="spellEnd"/>
      <w:r>
        <w:rPr>
          <w:sz w:val="20"/>
          <w:szCs w:val="20"/>
        </w:rPr>
        <w:t xml:space="preserve"> </w:t>
      </w:r>
      <w:proofErr w:type="spellStart"/>
      <w:r>
        <w:rPr>
          <w:sz w:val="20"/>
          <w:szCs w:val="20"/>
        </w:rPr>
        <w:t>power</w:t>
      </w:r>
      <w:proofErr w:type="spellEnd"/>
      <w:r>
        <w:rPr>
          <w:sz w:val="20"/>
          <w:szCs w:val="20"/>
        </w:rPr>
        <w:t xml:space="preserve"> at </w:t>
      </w:r>
      <w:proofErr w:type="spellStart"/>
      <w:r>
        <w:rPr>
          <w:sz w:val="20"/>
          <w:szCs w:val="20"/>
        </w:rPr>
        <w:t>receiver</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satellite</w:t>
      </w:r>
      <w:proofErr w:type="spellEnd"/>
      <w:r>
        <w:rPr>
          <w:sz w:val="20"/>
          <w:szCs w:val="20"/>
        </w:rPr>
        <w:t xml:space="preserve"> </w:t>
      </w:r>
      <w:proofErr w:type="spellStart"/>
      <w:r>
        <w:rPr>
          <w:sz w:val="20"/>
          <w:szCs w:val="20"/>
        </w:rPr>
        <w:t>will</w:t>
      </w:r>
      <w:proofErr w:type="spellEnd"/>
      <w:r>
        <w:rPr>
          <w:sz w:val="20"/>
          <w:szCs w:val="20"/>
        </w:rPr>
        <w:t xml:space="preserve"> </w:t>
      </w:r>
      <w:proofErr w:type="spellStart"/>
      <w:r>
        <w:rPr>
          <w:sz w:val="20"/>
          <w:szCs w:val="20"/>
        </w:rPr>
        <w:t>attempt</w:t>
      </w:r>
      <w:proofErr w:type="spellEnd"/>
      <w:r>
        <w:rPr>
          <w:sz w:val="20"/>
          <w:szCs w:val="20"/>
        </w:rPr>
        <w:t xml:space="preserve"> to </w:t>
      </w:r>
      <w:proofErr w:type="spellStart"/>
      <w:r>
        <w:rPr>
          <w:sz w:val="20"/>
          <w:szCs w:val="20"/>
        </w:rPr>
        <w:t>compensate</w:t>
      </w:r>
      <w:proofErr w:type="spellEnd"/>
      <w:r>
        <w:rPr>
          <w:sz w:val="20"/>
          <w:szCs w:val="20"/>
        </w:rPr>
        <w:t xml:space="preserve"> for </w:t>
      </w:r>
      <w:proofErr w:type="spellStart"/>
      <w:r>
        <w:rPr>
          <w:sz w:val="20"/>
          <w:szCs w:val="20"/>
        </w:rPr>
        <w:t>the</w:t>
      </w:r>
      <w:proofErr w:type="spellEnd"/>
      <w:r>
        <w:rPr>
          <w:sz w:val="20"/>
          <w:szCs w:val="20"/>
        </w:rPr>
        <w:t xml:space="preserve"> radio </w:t>
      </w:r>
      <w:proofErr w:type="spellStart"/>
      <w:r>
        <w:rPr>
          <w:sz w:val="20"/>
          <w:szCs w:val="20"/>
        </w:rPr>
        <w:t>channel</w:t>
      </w:r>
      <w:proofErr w:type="spellEnd"/>
      <w:r>
        <w:rPr>
          <w:sz w:val="20"/>
          <w:szCs w:val="20"/>
        </w:rPr>
        <w:t xml:space="preserve">. </w:t>
      </w:r>
    </w:p>
    <w:p w14:paraId="2B5E906C" w14:textId="4750F028" w:rsidR="00F63846" w:rsidRDefault="00F63846" w:rsidP="00F63846">
      <w:r>
        <w:t>As an example of the implications, consider the scenar</w:t>
      </w:r>
      <w:r w:rsidRPr="00511925">
        <w:t xml:space="preserve">io of </w:t>
      </w:r>
      <w:r w:rsidRPr="00511925">
        <w:fldChar w:fldCharType="begin"/>
      </w:r>
      <w:r w:rsidRPr="00511925">
        <w:instrText xml:space="preserve"> REF _Ref30426839 \h  \* MERGEFORMAT </w:instrText>
      </w:r>
      <w:r w:rsidRPr="00511925">
        <w:fldChar w:fldCharType="separate"/>
      </w:r>
      <w:r w:rsidR="00F35C8F">
        <w:t xml:space="preserve">Figure </w:t>
      </w:r>
      <w:r w:rsidR="00F35C8F">
        <w:rPr>
          <w:noProof/>
        </w:rPr>
        <w:t>1</w:t>
      </w:r>
      <w:r w:rsidRPr="00511925">
        <w:fldChar w:fldCharType="end"/>
      </w:r>
      <w:r w:rsidRPr="00511925">
        <w:t xml:space="preserve">. </w:t>
      </w:r>
      <w:r>
        <w:t xml:space="preserve">Since the combined propagation distance is the same for NTN-GW1 – SAT1 – UE and NTN-GW2 – SAT2 – UE, the constant gain type of amplification will in principle result in the same received power at the UE from both NTN-GWs. However, if the constant EIRP type of amplification is applied, the SAT2 will provide a significantly stronger signal to the UE </w:t>
      </w:r>
      <w:r>
        <w:lastRenderedPageBreak/>
        <w:t xml:space="preserve">since service link sl2&lt;&lt;sl1, but SAT2 will also consume more power, because the required gain from feeder link to service link is larger (fl1&lt;&lt;fl2). </w:t>
      </w:r>
      <w:r w:rsidR="00011916">
        <w:fldChar w:fldCharType="begin"/>
      </w:r>
      <w:r w:rsidR="00011916">
        <w:instrText xml:space="preserve"> REF _Ref31275908 \h </w:instrText>
      </w:r>
      <w:r w:rsidR="00011916">
        <w:fldChar w:fldCharType="separate"/>
      </w:r>
      <w:r w:rsidR="00F35C8F">
        <w:t xml:space="preserve">Figure </w:t>
      </w:r>
      <w:r w:rsidR="00F35C8F">
        <w:rPr>
          <w:noProof/>
        </w:rPr>
        <w:t>2</w:t>
      </w:r>
      <w:r w:rsidR="00011916">
        <w:fldChar w:fldCharType="end"/>
      </w:r>
      <w:r w:rsidR="00BC603E">
        <w:t xml:space="preserve"> provides another example, where the transparent satellite is connected to two different feeder links (i.e. a feeder link switch may be imminent). One feeder link (fl1) experiences significantly larger </w:t>
      </w:r>
      <w:r w:rsidR="004240BE">
        <w:t>propagation delay and loss compared to the other (fl2). However, if the satellite fully compensates for the feeder link propagation loss in downlink, the UE will see two equal power service links (sl1 and sl2).</w:t>
      </w:r>
    </w:p>
    <w:p w14:paraId="65D757A6" w14:textId="77777777" w:rsidR="00F63846" w:rsidRDefault="00F63846" w:rsidP="00F63846">
      <w:pPr>
        <w:keepNext/>
        <w:jc w:val="center"/>
      </w:pPr>
      <w:r>
        <w:rPr>
          <w:noProof/>
        </w:rPr>
        <w:drawing>
          <wp:inline distT="0" distB="0" distL="0" distR="0" wp14:anchorId="3631EDF7" wp14:editId="6529C336">
            <wp:extent cx="4196517" cy="1800000"/>
            <wp:effectExtent l="0" t="0" r="0" b="0"/>
            <wp:docPr id="159405219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8">
                      <a:extLst>
                        <a:ext uri="{28A0092B-C50C-407E-A947-70E740481C1C}">
                          <a14:useLocalDpi xmlns:a14="http://schemas.microsoft.com/office/drawing/2010/main" val="0"/>
                        </a:ext>
                      </a:extLst>
                    </a:blip>
                    <a:stretch>
                      <a:fillRect/>
                    </a:stretch>
                  </pic:blipFill>
                  <pic:spPr>
                    <a:xfrm>
                      <a:off x="0" y="0"/>
                      <a:ext cx="4196517" cy="1800000"/>
                    </a:xfrm>
                    <a:prstGeom prst="rect">
                      <a:avLst/>
                    </a:prstGeom>
                  </pic:spPr>
                </pic:pic>
              </a:graphicData>
            </a:graphic>
          </wp:inline>
        </w:drawing>
      </w:r>
    </w:p>
    <w:p w14:paraId="114A6209" w14:textId="7A28D4D6" w:rsidR="00F63846" w:rsidRDefault="00F63846" w:rsidP="00F63846">
      <w:pPr>
        <w:pStyle w:val="Caption"/>
        <w:jc w:val="center"/>
      </w:pPr>
      <w:bookmarkStart w:id="6" w:name="_Ref30426839"/>
      <w:r>
        <w:t xml:space="preserve">Figure </w:t>
      </w:r>
      <w:r>
        <w:fldChar w:fldCharType="begin"/>
      </w:r>
      <w:r>
        <w:instrText xml:space="preserve"> SEQ Figure \* ARABIC </w:instrText>
      </w:r>
      <w:r>
        <w:fldChar w:fldCharType="separate"/>
      </w:r>
      <w:r w:rsidR="00F35C8F">
        <w:rPr>
          <w:noProof/>
        </w:rPr>
        <w:t>1</w:t>
      </w:r>
      <w:r>
        <w:rPr>
          <w:noProof/>
        </w:rPr>
        <w:fldChar w:fldCharType="end"/>
      </w:r>
      <w:bookmarkEnd w:id="6"/>
      <w:r>
        <w:t xml:space="preserve"> Scenario where transparent satellite amplification type impacts UE mobility.</w:t>
      </w:r>
    </w:p>
    <w:p w14:paraId="437268B9" w14:textId="77777777" w:rsidR="00011916" w:rsidRDefault="00011916" w:rsidP="00011916">
      <w:pPr>
        <w:keepNext/>
        <w:jc w:val="center"/>
      </w:pPr>
      <w:r>
        <w:rPr>
          <w:noProof/>
        </w:rPr>
        <w:drawing>
          <wp:inline distT="0" distB="0" distL="0" distR="0" wp14:anchorId="2E3370F2" wp14:editId="2A13D549">
            <wp:extent cx="3384744" cy="1800000"/>
            <wp:effectExtent l="0" t="0" r="6350" b="0"/>
            <wp:docPr id="11830247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9">
                      <a:extLst>
                        <a:ext uri="{28A0092B-C50C-407E-A947-70E740481C1C}">
                          <a14:useLocalDpi xmlns:a14="http://schemas.microsoft.com/office/drawing/2010/main" val="0"/>
                        </a:ext>
                      </a:extLst>
                    </a:blip>
                    <a:stretch>
                      <a:fillRect/>
                    </a:stretch>
                  </pic:blipFill>
                  <pic:spPr>
                    <a:xfrm>
                      <a:off x="0" y="0"/>
                      <a:ext cx="3384744" cy="1800000"/>
                    </a:xfrm>
                    <a:prstGeom prst="rect">
                      <a:avLst/>
                    </a:prstGeom>
                  </pic:spPr>
                </pic:pic>
              </a:graphicData>
            </a:graphic>
          </wp:inline>
        </w:drawing>
      </w:r>
    </w:p>
    <w:p w14:paraId="5A2BE26A" w14:textId="55C4F50A" w:rsidR="00011916" w:rsidRPr="00011916" w:rsidRDefault="00011916" w:rsidP="00011916">
      <w:pPr>
        <w:pStyle w:val="Caption"/>
        <w:jc w:val="center"/>
      </w:pPr>
      <w:bookmarkStart w:id="7" w:name="_Ref31275908"/>
      <w:r>
        <w:t xml:space="preserve">Figure </w:t>
      </w:r>
      <w:r>
        <w:fldChar w:fldCharType="begin"/>
      </w:r>
      <w:r>
        <w:instrText xml:space="preserve"> SEQ Figure \* ARABIC </w:instrText>
      </w:r>
      <w:r>
        <w:fldChar w:fldCharType="separate"/>
      </w:r>
      <w:r w:rsidR="00F35C8F">
        <w:rPr>
          <w:noProof/>
        </w:rPr>
        <w:t>2</w:t>
      </w:r>
      <w:r>
        <w:fldChar w:fldCharType="end"/>
      </w:r>
      <w:bookmarkEnd w:id="7"/>
      <w:r>
        <w:t xml:space="preserve"> Another scenario where transparent satellite amplification type impacts UE mobility.</w:t>
      </w:r>
    </w:p>
    <w:p w14:paraId="6D9FA7DE" w14:textId="77777777" w:rsidR="00F63846" w:rsidRPr="004416C6" w:rsidRDefault="00F63846" w:rsidP="00F63846">
      <w:r>
        <w:t>In addition to the amplification types, it will also be beneficial to clarify, whether the target of the selected amplification type can always be achieved or certain events (e.g. lack of battery power, high load of users) will result in variations over time.</w:t>
      </w:r>
    </w:p>
    <w:p w14:paraId="20F7DD1F" w14:textId="0469262A" w:rsidR="00F63846" w:rsidRDefault="00F63846" w:rsidP="00F63846">
      <w:pPr>
        <w:rPr>
          <w:b/>
        </w:rPr>
      </w:pPr>
      <w:r>
        <w:rPr>
          <w:b/>
        </w:rPr>
        <w:t>Proposal</w:t>
      </w:r>
      <w:r w:rsidR="00264E84">
        <w:rPr>
          <w:b/>
        </w:rPr>
        <w:t xml:space="preserve"> 1</w:t>
      </w:r>
      <w:r>
        <w:rPr>
          <w:b/>
        </w:rPr>
        <w:t>: RAN1 to define the feeder and service link type of amplification of a transparent satellite and potential limitations.</w:t>
      </w:r>
    </w:p>
    <w:p w14:paraId="5FEAB046" w14:textId="2AD99B1F" w:rsidR="00F63846" w:rsidRPr="00A62864" w:rsidRDefault="00F63846" w:rsidP="00F63846">
      <w:r w:rsidRPr="00A62864">
        <w:t>Give</w:t>
      </w:r>
      <w:r>
        <w:t>n the above options of transparent satellite amplification it is observed that it will be beneficial for the gNB to be aware of the transparent satellite mechanisms. This is e.g. useful for interpreting measurement reports and configuring UE uplink transmit power control. As an example, the UE considers the radio path loss to be reciprocal and it thus relies on downlink RSRP measurements, when determining its uplink transmit power. However, the satellite may apply different gain factors in the feeder link to service link and the service link to feeder link, which results in suboptimal UE uplink transmit power. Therefore, it is beneficial for the gNB to be aware of the transparent satellite’s gain factor</w:t>
      </w:r>
      <w:r w:rsidR="00937FE1">
        <w:t>s</w:t>
      </w:r>
      <w:r>
        <w:t xml:space="preserve"> and to potentially adjust certain UE parameters including transmit power control</w:t>
      </w:r>
      <w:r w:rsidR="00CE0DAB">
        <w:t xml:space="preserve"> </w:t>
      </w:r>
      <w:r w:rsidR="00CE0DAB">
        <w:fldChar w:fldCharType="begin"/>
      </w:r>
      <w:r w:rsidR="00CE0DAB">
        <w:instrText xml:space="preserve"> REF _Ref31184866 \r \h </w:instrText>
      </w:r>
      <w:r w:rsidR="00CE0DAB">
        <w:fldChar w:fldCharType="separate"/>
      </w:r>
      <w:r w:rsidR="00F35C8F">
        <w:t>[3]</w:t>
      </w:r>
      <w:r w:rsidR="00CE0DAB">
        <w:fldChar w:fldCharType="end"/>
      </w:r>
      <w:r>
        <w:t>.</w:t>
      </w:r>
    </w:p>
    <w:p w14:paraId="4979483E" w14:textId="1F661C2A" w:rsidR="00F63846" w:rsidRPr="004416C6" w:rsidRDefault="00F63846" w:rsidP="00F63846">
      <w:pPr>
        <w:rPr>
          <w:b/>
        </w:rPr>
      </w:pPr>
      <w:r>
        <w:rPr>
          <w:b/>
        </w:rPr>
        <w:t>Observation</w:t>
      </w:r>
      <w:r w:rsidR="00264E84">
        <w:rPr>
          <w:b/>
        </w:rPr>
        <w:t xml:space="preserve"> 1</w:t>
      </w:r>
      <w:r>
        <w:rPr>
          <w:b/>
        </w:rPr>
        <w:t>: It is beneficial for the</w:t>
      </w:r>
      <w:r w:rsidR="00C319CA">
        <w:rPr>
          <w:b/>
        </w:rPr>
        <w:t xml:space="preserve"> 5G system / </w:t>
      </w:r>
      <w:r>
        <w:rPr>
          <w:b/>
        </w:rPr>
        <w:t>gNB to be aware of the transparent satellite’s (time-varying) gain factors.</w:t>
      </w:r>
    </w:p>
    <w:p w14:paraId="4CD5520E" w14:textId="0920C281" w:rsidR="00F63846" w:rsidRPr="00311335" w:rsidRDefault="00F63846" w:rsidP="00311335">
      <w:r w:rsidRPr="00311335">
        <w:t xml:space="preserve">The text of section 5.1.1 suggests the transparent satellite corresponds to an analogue RF repeater, but in principle the satellite could also sample and forward a digital version of the analogue transmissions. </w:t>
      </w:r>
      <w:r w:rsidR="00311335">
        <w:t>No matter the satellite mode, the gNB may in principle compensate for the</w:t>
      </w:r>
      <w:r w:rsidRPr="00311335">
        <w:t xml:space="preserve"> timing advance and Doppler </w:t>
      </w:r>
      <w:r w:rsidR="00311335">
        <w:t>on the NTN-GW – satellite link. If such compensation is performed by the gNB, the UE would only need to handle the service link.</w:t>
      </w:r>
    </w:p>
    <w:p w14:paraId="2EB9D3A1" w14:textId="37136ADE" w:rsidR="00F63846" w:rsidRPr="00311335" w:rsidRDefault="00F63846" w:rsidP="00F63846">
      <w:pPr>
        <w:rPr>
          <w:b/>
        </w:rPr>
      </w:pPr>
      <w:r w:rsidRPr="00311335">
        <w:rPr>
          <w:b/>
        </w:rPr>
        <w:t>Proposal</w:t>
      </w:r>
      <w:r w:rsidR="00264E84">
        <w:rPr>
          <w:b/>
        </w:rPr>
        <w:t xml:space="preserve"> 2</w:t>
      </w:r>
      <w:r w:rsidRPr="00311335">
        <w:rPr>
          <w:b/>
        </w:rPr>
        <w:t xml:space="preserve">: RAN1 to </w:t>
      </w:r>
      <w:r w:rsidR="00311335">
        <w:rPr>
          <w:b/>
        </w:rPr>
        <w:t xml:space="preserve">clarify that the satellite does not terminate the </w:t>
      </w:r>
      <w:proofErr w:type="spellStart"/>
      <w:r w:rsidR="00311335">
        <w:rPr>
          <w:b/>
        </w:rPr>
        <w:t>Uu</w:t>
      </w:r>
      <w:proofErr w:type="spellEnd"/>
      <w:r w:rsidR="00311335">
        <w:rPr>
          <w:b/>
        </w:rPr>
        <w:t xml:space="preserve"> interface, which implies no manipulation of information context is performed.</w:t>
      </w:r>
    </w:p>
    <w:p w14:paraId="29F89A96" w14:textId="1CAE354A" w:rsidR="00F63846" w:rsidRDefault="00F63846" w:rsidP="00F63846">
      <w:r>
        <w:lastRenderedPageBreak/>
        <w:t xml:space="preserve">Transparent satellites rely on a gNB located on Earth. The 3GPP should not define </w:t>
      </w:r>
      <w:r w:rsidR="00771A06">
        <w:t xml:space="preserve">nor signal </w:t>
      </w:r>
      <w:r>
        <w:t>the exact gNB location</w:t>
      </w:r>
      <w:r w:rsidR="008A3532">
        <w:t xml:space="preserve"> nor the NTN-GW location</w:t>
      </w:r>
      <w:r w:rsidR="00314D88">
        <w:t xml:space="preserve"> to the UE (similar assumptions as in release 16)</w:t>
      </w:r>
      <w:r>
        <w:t xml:space="preserve">, but it is worth discussing the implications of </w:t>
      </w:r>
      <w:r w:rsidR="00314D88">
        <w:t>th</w:t>
      </w:r>
      <w:r w:rsidR="008A3532">
        <w:t>ose</w:t>
      </w:r>
      <w:r w:rsidR="00314D88">
        <w:t xml:space="preserve"> location</w:t>
      </w:r>
      <w:r w:rsidR="008A3532">
        <w:t>s</w:t>
      </w:r>
      <w:r>
        <w:t>. The combined service and feeder link provide the NR-</w:t>
      </w:r>
      <w:proofErr w:type="spellStart"/>
      <w:r>
        <w:t>Uu</w:t>
      </w:r>
      <w:proofErr w:type="spellEnd"/>
      <w:r>
        <w:t xml:space="preserve"> interface (i.e. UE-gNB interface) and thus the NTN-GW corresponds to the antenna system of a terrestrial gNB. Thus, if the gNB is located next to the NTN-GW the RF signals can be transferred directly. If the gNB is in a different location, it may not be possible to transfer the RF signals directly, but instead they need to be digitized and transported, e.g. over an IP network. The routing delay of such transport networks may be varying and thus impact the Nr-UU performance.</w:t>
      </w:r>
    </w:p>
    <w:p w14:paraId="414F30D4" w14:textId="33F0F98F" w:rsidR="00F63846" w:rsidRDefault="00F63846" w:rsidP="00F63846">
      <w:pPr>
        <w:rPr>
          <w:b/>
        </w:rPr>
      </w:pPr>
      <w:r>
        <w:rPr>
          <w:b/>
        </w:rPr>
        <w:t>Observation</w:t>
      </w:r>
      <w:r w:rsidR="00264E84">
        <w:rPr>
          <w:b/>
        </w:rPr>
        <w:t xml:space="preserve"> 2</w:t>
      </w:r>
      <w:r>
        <w:rPr>
          <w:b/>
        </w:rPr>
        <w:t>: The gNB location relative to the NTN-GW may impact the NTN user experience.</w:t>
      </w:r>
    </w:p>
    <w:p w14:paraId="161101AC" w14:textId="5F28CC5A" w:rsidR="00F63846" w:rsidRDefault="00F63846" w:rsidP="00F63846">
      <w:r w:rsidRPr="005220A0">
        <w:t>To</w:t>
      </w:r>
      <w:r>
        <w:t xml:space="preserve"> ensure that the unpredictable delay between gNB and NTN-GW does not harm the NTN user experience, it may be beneficial</w:t>
      </w:r>
      <w:r w:rsidR="00534AE6">
        <w:t xml:space="preserve"> for RAN1</w:t>
      </w:r>
      <w:r>
        <w:t xml:space="preserve"> to define </w:t>
      </w:r>
      <w:r w:rsidR="00534AE6">
        <w:t xml:space="preserve">an assumption of </w:t>
      </w:r>
      <w:r>
        <w:t>a limit on the maximum allowed delay.</w:t>
      </w:r>
      <w:r w:rsidR="00534AE6">
        <w:t xml:space="preserve"> The actual delay limit is an architecture issue, which should be addressed by RAN3.</w:t>
      </w:r>
    </w:p>
    <w:p w14:paraId="2579CFFE" w14:textId="7AD7E3F8" w:rsidR="00F63846" w:rsidRPr="001446FC" w:rsidRDefault="00F63846" w:rsidP="00F63846">
      <w:pPr>
        <w:rPr>
          <w:b/>
        </w:rPr>
      </w:pPr>
      <w:r>
        <w:rPr>
          <w:b/>
        </w:rPr>
        <w:t>Proposal</w:t>
      </w:r>
      <w:r w:rsidR="00264E84">
        <w:rPr>
          <w:b/>
        </w:rPr>
        <w:t xml:space="preserve"> 3</w:t>
      </w:r>
      <w:r>
        <w:rPr>
          <w:b/>
        </w:rPr>
        <w:t xml:space="preserve">: RAN1 to define </w:t>
      </w:r>
      <w:r w:rsidR="00513BD2">
        <w:rPr>
          <w:b/>
        </w:rPr>
        <w:t xml:space="preserve">an assumption of </w:t>
      </w:r>
      <w:r>
        <w:rPr>
          <w:b/>
        </w:rPr>
        <w:t xml:space="preserve">the maximum </w:t>
      </w:r>
      <w:r w:rsidR="00794B49">
        <w:rPr>
          <w:b/>
        </w:rPr>
        <w:t xml:space="preserve">tolerable </w:t>
      </w:r>
      <w:r>
        <w:rPr>
          <w:b/>
        </w:rPr>
        <w:t>gNB – NTN-GW delay.</w:t>
      </w:r>
    </w:p>
    <w:p w14:paraId="43877B8C" w14:textId="77777777" w:rsidR="00F63846" w:rsidRDefault="00F63846" w:rsidP="00F63846">
      <w:pPr>
        <w:pStyle w:val="Heading2"/>
      </w:pPr>
      <w:r>
        <w:t>Feeder link</w:t>
      </w:r>
    </w:p>
    <w:p w14:paraId="3F9B8A38" w14:textId="77777777" w:rsidR="00F63846" w:rsidRDefault="00F63846" w:rsidP="00F63846">
      <w:r>
        <w:t xml:space="preserve">As stated previously, the location of the gNB relative to the NTN-GW may impact the NTN user experience, and therefore it is beneficial to clarify whether a feeder link switch is also a gNB switch. In other words, can one gNB serve the same satellite through more than one NTN-GW over time, where the NTN-GWs may be separated 1,000s of </w:t>
      </w:r>
      <w:proofErr w:type="spellStart"/>
      <w:r>
        <w:t>kilometers</w:t>
      </w:r>
      <w:proofErr w:type="spellEnd"/>
      <w:r>
        <w:t>? If the CU-DU split architecture is used, the UEs will still see a PCI change, when the satellite switches from the DU of the first NTN-GW to the DU of the second NTN-GW.</w:t>
      </w:r>
    </w:p>
    <w:p w14:paraId="4D125073" w14:textId="5289E903" w:rsidR="00F63846" w:rsidRDefault="00F63846" w:rsidP="00F63846">
      <w:pPr>
        <w:rPr>
          <w:b/>
        </w:rPr>
      </w:pPr>
      <w:r>
        <w:rPr>
          <w:b/>
        </w:rPr>
        <w:t>Observation</w:t>
      </w:r>
      <w:r w:rsidR="00264E84">
        <w:rPr>
          <w:b/>
        </w:rPr>
        <w:t xml:space="preserve"> </w:t>
      </w:r>
      <w:r w:rsidR="00045C0E">
        <w:rPr>
          <w:b/>
        </w:rPr>
        <w:t>3</w:t>
      </w:r>
      <w:r>
        <w:rPr>
          <w:b/>
        </w:rPr>
        <w:t>: A feeder link switch for a transparent satellite may result in a cell switch.</w:t>
      </w:r>
    </w:p>
    <w:p w14:paraId="52A517E7" w14:textId="784A0A0B" w:rsidR="00F63846" w:rsidRPr="005220A0" w:rsidRDefault="00F63846" w:rsidP="00F63846">
      <w:r>
        <w:t xml:space="preserve">Alternatively, the gNB may initially be connected to the UE through one satellite with a feeder link from one NTN-GW, but after some time connect to the UE through another satellite, which has feeder link connection with the same NTN-GW. In that scenario, the gNB remains the same, but the links of the </w:t>
      </w:r>
      <w:proofErr w:type="spellStart"/>
      <w:r>
        <w:t>Uu</w:t>
      </w:r>
      <w:proofErr w:type="spellEnd"/>
      <w:r>
        <w:t xml:space="preserve"> interface change, which would require time-frequency resynchronization.</w:t>
      </w:r>
      <w:r w:rsidR="006F6E57">
        <w:t xml:space="preserve"> </w:t>
      </w:r>
    </w:p>
    <w:p w14:paraId="2292E7BD" w14:textId="0FBCF468" w:rsidR="00F63846" w:rsidRDefault="00F63846" w:rsidP="00F63846">
      <w:pPr>
        <w:rPr>
          <w:b/>
        </w:rPr>
      </w:pPr>
      <w:r w:rsidRPr="005220A0">
        <w:rPr>
          <w:b/>
        </w:rPr>
        <w:t>Observation</w:t>
      </w:r>
      <w:r w:rsidR="00264E84">
        <w:rPr>
          <w:b/>
        </w:rPr>
        <w:t xml:space="preserve"> </w:t>
      </w:r>
      <w:r w:rsidR="00045C0E">
        <w:rPr>
          <w:b/>
        </w:rPr>
        <w:t>4</w:t>
      </w:r>
      <w:r>
        <w:rPr>
          <w:b/>
        </w:rPr>
        <w:t xml:space="preserve">: A </w:t>
      </w:r>
      <w:proofErr w:type="spellStart"/>
      <w:r>
        <w:rPr>
          <w:b/>
        </w:rPr>
        <w:t>gNB</w:t>
      </w:r>
      <w:proofErr w:type="spellEnd"/>
      <w:r>
        <w:rPr>
          <w:b/>
        </w:rPr>
        <w:t xml:space="preserve"> may switch links of the </w:t>
      </w:r>
      <w:proofErr w:type="spellStart"/>
      <w:r>
        <w:rPr>
          <w:b/>
        </w:rPr>
        <w:t>Uu</w:t>
      </w:r>
      <w:proofErr w:type="spellEnd"/>
      <w:r>
        <w:rPr>
          <w:b/>
        </w:rPr>
        <w:t xml:space="preserve"> interface from one satellite and feeder link to another satellite and feeder link, originating from the same NTN-GW.</w:t>
      </w:r>
    </w:p>
    <w:p w14:paraId="12B2475A" w14:textId="63E3092A" w:rsidR="002F294F" w:rsidRDefault="006F6E57" w:rsidP="00F63846">
      <w:r>
        <w:t xml:space="preserve">Before a feeder link switch, the gNB may notify the UE about the imminent </w:t>
      </w:r>
      <w:proofErr w:type="gramStart"/>
      <w:r>
        <w:t>event, and</w:t>
      </w:r>
      <w:proofErr w:type="gramEnd"/>
      <w:r>
        <w:t xml:space="preserve"> provide the UE with information on when the switch will happen</w:t>
      </w:r>
      <w:r w:rsidR="0022172F">
        <w:t xml:space="preserve">, </w:t>
      </w:r>
      <w:r>
        <w:t>the duration of the resulting transmission gap</w:t>
      </w:r>
      <w:r w:rsidR="0022172F">
        <w:t xml:space="preserve"> and potentially further assistance information to facilitate fast reconnection</w:t>
      </w:r>
      <w:r>
        <w:t xml:space="preserve">. The knowledge of the gap is useful for the UE, because it can potentially continue obtaining service after the switch without declaring RLF, flushing of HARQ and reset of MAC.   </w:t>
      </w:r>
    </w:p>
    <w:p w14:paraId="0DE56F03" w14:textId="5EF8E4DD" w:rsidR="008F29D7" w:rsidRDefault="008F29D7" w:rsidP="00F63846">
      <w:pPr>
        <w:rPr>
          <w:b/>
        </w:rPr>
      </w:pPr>
      <w:r>
        <w:rPr>
          <w:b/>
        </w:rPr>
        <w:t>Obs</w:t>
      </w:r>
      <w:r w:rsidR="0022172F">
        <w:rPr>
          <w:b/>
        </w:rPr>
        <w:t>e</w:t>
      </w:r>
      <w:r>
        <w:rPr>
          <w:b/>
        </w:rPr>
        <w:t>rvation</w:t>
      </w:r>
      <w:r w:rsidR="00264E84">
        <w:rPr>
          <w:b/>
        </w:rPr>
        <w:t xml:space="preserve"> </w:t>
      </w:r>
      <w:r w:rsidR="00045C0E">
        <w:rPr>
          <w:b/>
        </w:rPr>
        <w:t>5</w:t>
      </w:r>
      <w:r>
        <w:rPr>
          <w:b/>
        </w:rPr>
        <w:t>: An NTN UE may be informed about imminent switch events including the resulting transmission gap.</w:t>
      </w:r>
    </w:p>
    <w:p w14:paraId="1E716A45" w14:textId="774BCC61" w:rsidR="0022172F" w:rsidRDefault="0022172F" w:rsidP="00F63846">
      <w:pPr>
        <w:rPr>
          <w:b/>
        </w:rPr>
      </w:pPr>
      <w:r>
        <w:rPr>
          <w:b/>
        </w:rPr>
        <w:t>Proposal</w:t>
      </w:r>
      <w:r w:rsidR="00264E84">
        <w:rPr>
          <w:b/>
        </w:rPr>
        <w:t xml:space="preserve"> 4</w:t>
      </w:r>
      <w:r>
        <w:rPr>
          <w:b/>
        </w:rPr>
        <w:t xml:space="preserve">: RAN1 to clarify impact of feeder link switch and </w:t>
      </w:r>
      <w:r w:rsidR="001D6540">
        <w:rPr>
          <w:b/>
        </w:rPr>
        <w:t>benefit of</w:t>
      </w:r>
      <w:r>
        <w:rPr>
          <w:b/>
        </w:rPr>
        <w:t xml:space="preserve"> signalling assistance information for imminent switch events.</w:t>
      </w:r>
    </w:p>
    <w:p w14:paraId="52FCF915" w14:textId="0D70DD23" w:rsidR="00144D42" w:rsidRPr="00144D42" w:rsidRDefault="004D2ADF" w:rsidP="00144D42">
      <w:pPr>
        <w:overflowPunct/>
        <w:autoSpaceDE/>
        <w:autoSpaceDN/>
        <w:adjustRightInd/>
        <w:spacing w:after="0"/>
        <w:textAlignment w:val="auto"/>
        <w:rPr>
          <w:rFonts w:eastAsia="Times New Roman"/>
          <w:lang w:val="en-US" w:eastAsia="da-DK"/>
        </w:rPr>
      </w:pPr>
      <w:r>
        <w:t xml:space="preserve">In the TR 38.821 </w:t>
      </w:r>
      <w:r>
        <w:fldChar w:fldCharType="begin"/>
      </w:r>
      <w:r>
        <w:instrText xml:space="preserve"> REF _Ref31184816 \r \h </w:instrText>
      </w:r>
      <w:r>
        <w:fldChar w:fldCharType="separate"/>
      </w:r>
      <w:r w:rsidR="00F35C8F">
        <w:t>[2]</w:t>
      </w:r>
      <w:r>
        <w:fldChar w:fldCharType="end"/>
      </w:r>
      <w:r>
        <w:t>, the propagation delay for a transparent satellite is specified to be twice the delay of a regenerative satellite</w:t>
      </w:r>
      <w:r w:rsidR="00F4365B">
        <w:t xml:space="preserve"> (25.77 ms versus 12.89 ms for 600 km LEO, table 4.2-2)</w:t>
      </w:r>
      <w:r>
        <w:t>. However, this implies the NTN-GW is located at the same distance to the satellite as the UE is. This is an assumption, which needs further clarification, because the feeder link operates with a different (better) link budget, which could allow longer propagation distances, and thus also longer delays. Furthermore, this delay varies as the satellite moves.</w:t>
      </w:r>
      <w:r w:rsidR="00144D42">
        <w:t xml:space="preserve"> </w:t>
      </w:r>
      <w:r w:rsidR="00045C0E" w:rsidRPr="00144D42">
        <w:rPr>
          <w:rFonts w:eastAsia="Times New Roman"/>
          <w:lang w:val="en-US" w:eastAsia="da-DK"/>
        </w:rPr>
        <w:t xml:space="preserve">Similarly, in our RAN2 contribution </w:t>
      </w:r>
      <w:r w:rsidR="00045C0E">
        <w:rPr>
          <w:rFonts w:eastAsia="Times New Roman"/>
          <w:lang w:val="en-US" w:eastAsia="da-DK"/>
        </w:rPr>
        <w:fldChar w:fldCharType="begin"/>
      </w:r>
      <w:r w:rsidR="00045C0E">
        <w:rPr>
          <w:rFonts w:eastAsia="Times New Roman"/>
          <w:lang w:val="en-US" w:eastAsia="da-DK"/>
        </w:rPr>
        <w:instrText xml:space="preserve"> REF _Ref47687096 \r \h </w:instrText>
      </w:r>
      <w:r w:rsidR="00045C0E">
        <w:rPr>
          <w:rFonts w:eastAsia="Times New Roman"/>
          <w:lang w:val="en-US" w:eastAsia="da-DK"/>
        </w:rPr>
      </w:r>
      <w:r w:rsidR="00045C0E">
        <w:rPr>
          <w:rFonts w:eastAsia="Times New Roman"/>
          <w:lang w:val="en-US" w:eastAsia="da-DK"/>
        </w:rPr>
        <w:fldChar w:fldCharType="separate"/>
      </w:r>
      <w:r w:rsidR="00F35C8F">
        <w:rPr>
          <w:rFonts w:eastAsia="Times New Roman"/>
          <w:lang w:val="en-US" w:eastAsia="da-DK"/>
        </w:rPr>
        <w:t>[9]</w:t>
      </w:r>
      <w:r w:rsidR="00045C0E">
        <w:rPr>
          <w:rFonts w:eastAsia="Times New Roman"/>
          <w:lang w:val="en-US" w:eastAsia="da-DK"/>
        </w:rPr>
        <w:fldChar w:fldCharType="end"/>
      </w:r>
      <w:r w:rsidR="00045C0E" w:rsidRPr="00144D42">
        <w:rPr>
          <w:rFonts w:eastAsia="Times New Roman"/>
          <w:lang w:val="en-US" w:eastAsia="da-DK"/>
        </w:rPr>
        <w:t xml:space="preserve"> there is a proposal to introduce a </w:t>
      </w:r>
      <w:r w:rsidR="00045C0E">
        <w:rPr>
          <w:rFonts w:eastAsia="Times New Roman"/>
          <w:lang w:val="en-US" w:eastAsia="da-DK"/>
        </w:rPr>
        <w:t xml:space="preserve">function describing the </w:t>
      </w:r>
      <w:r w:rsidR="00045C0E" w:rsidRPr="00144D42">
        <w:rPr>
          <w:rFonts w:eastAsia="Times New Roman"/>
          <w:lang w:val="en-US" w:eastAsia="da-DK"/>
        </w:rPr>
        <w:t>time-varying feeder link delay, and for consistency there is a need to know the maximum possible feeder link delay. Hence, we propose the following</w:t>
      </w:r>
    </w:p>
    <w:p w14:paraId="7C33580A" w14:textId="77777777" w:rsidR="00144D42" w:rsidRDefault="00144D42" w:rsidP="00F63846">
      <w:pPr>
        <w:rPr>
          <w:b/>
        </w:rPr>
      </w:pPr>
    </w:p>
    <w:p w14:paraId="5D762AEC" w14:textId="0BC413AC" w:rsidR="004D2ADF" w:rsidRPr="004D2ADF" w:rsidRDefault="004D2ADF" w:rsidP="00F63846">
      <w:pPr>
        <w:rPr>
          <w:b/>
        </w:rPr>
      </w:pPr>
      <w:r>
        <w:rPr>
          <w:b/>
        </w:rPr>
        <w:t>Proposal</w:t>
      </w:r>
      <w:r w:rsidR="00264E84">
        <w:rPr>
          <w:b/>
        </w:rPr>
        <w:t xml:space="preserve"> 5</w:t>
      </w:r>
      <w:r>
        <w:rPr>
          <w:b/>
        </w:rPr>
        <w:t>: RAN1 to define an assumption on the maximum feeder link delay.</w:t>
      </w:r>
    </w:p>
    <w:p w14:paraId="78D109EF" w14:textId="77777777" w:rsidR="00F63846" w:rsidRDefault="00F63846" w:rsidP="00F63846">
      <w:pPr>
        <w:pStyle w:val="Heading2"/>
      </w:pPr>
      <w:r>
        <w:t>Inter-Satellite Link</w:t>
      </w:r>
    </w:p>
    <w:p w14:paraId="06771295" w14:textId="4B5BCA97" w:rsidR="00F63846" w:rsidRPr="008A3A2F" w:rsidRDefault="00F63846" w:rsidP="00F63846">
      <w:r>
        <w:rPr>
          <w:noProof/>
        </w:rPr>
        <mc:AlternateContent>
          <mc:Choice Requires="wps">
            <w:drawing>
              <wp:anchor distT="45720" distB="45720" distL="114300" distR="114300" simplePos="0" relativeHeight="251658241" behindDoc="0" locked="0" layoutInCell="1" allowOverlap="1" wp14:anchorId="1E935837" wp14:editId="15ABF1DA">
                <wp:simplePos x="0" y="0"/>
                <wp:positionH relativeFrom="margin">
                  <wp:align>right</wp:align>
                </wp:positionH>
                <wp:positionV relativeFrom="paragraph">
                  <wp:posOffset>278518</wp:posOffset>
                </wp:positionV>
                <wp:extent cx="6103620" cy="1163320"/>
                <wp:effectExtent l="0" t="0" r="11430" b="1778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620" cy="1163320"/>
                        </a:xfrm>
                        <a:prstGeom prst="rect">
                          <a:avLst/>
                        </a:prstGeom>
                        <a:solidFill>
                          <a:srgbClr val="FFFFFF"/>
                        </a:solidFill>
                        <a:ln w="9525">
                          <a:solidFill>
                            <a:srgbClr val="000000"/>
                          </a:solidFill>
                          <a:miter lim="800000"/>
                          <a:headEnd/>
                          <a:tailEnd/>
                        </a:ln>
                      </wps:spPr>
                      <wps:txbx>
                        <w:txbxContent>
                          <w:p w14:paraId="3AB9FDBD" w14:textId="77777777" w:rsidR="001D6A31" w:rsidRPr="00450CE8" w:rsidRDefault="001D6A31" w:rsidP="008F29D7">
                            <w:pPr>
                              <w:pStyle w:val="Heading3"/>
                              <w:numPr>
                                <w:ilvl w:val="0"/>
                                <w:numId w:val="0"/>
                              </w:numPr>
                              <w:ind w:left="720" w:hanging="720"/>
                            </w:pPr>
                            <w:bookmarkStart w:id="8" w:name="_Toc26620916"/>
                            <w:r w:rsidRPr="00450CE8">
                              <w:t>5.1.3</w:t>
                            </w:r>
                            <w:r w:rsidRPr="00450CE8">
                              <w:tab/>
                              <w:t>NG-RAN impacts</w:t>
                            </w:r>
                            <w:bookmarkEnd w:id="8"/>
                          </w:p>
                          <w:p w14:paraId="0C481953" w14:textId="77777777" w:rsidR="001D6A31" w:rsidRPr="008562E7" w:rsidRDefault="001D6A31" w:rsidP="00F63846">
                            <w:r w:rsidRPr="008562E7">
                              <w:t>There is no need to modify the NG-RAN architecture to support transparent satellite access.</w:t>
                            </w:r>
                          </w:p>
                          <w:p w14:paraId="45003A94" w14:textId="77777777" w:rsidR="001D6A31" w:rsidRPr="008562E7" w:rsidRDefault="001D6A31" w:rsidP="00F63846">
                            <w:r w:rsidRPr="008562E7">
                              <w:t>NR-</w:t>
                            </w:r>
                            <w:proofErr w:type="spellStart"/>
                            <w:r w:rsidRPr="008562E7">
                              <w:t>Uu</w:t>
                            </w:r>
                            <w:proofErr w:type="spellEnd"/>
                            <w:r w:rsidRPr="008562E7">
                              <w:t xml:space="preserve"> timers may have to be extended to cope with the long delay of the feeder link and service link.</w:t>
                            </w:r>
                          </w:p>
                          <w:p w14:paraId="34D406CC" w14:textId="77777777" w:rsidR="001D6A31" w:rsidRPr="008562E7" w:rsidRDefault="001D6A31" w:rsidP="00F63846">
                            <w:r w:rsidRPr="008562E7">
                              <w:t xml:space="preserve">In the context of a LEO scenario with ISL, the delay to be considered shall encompass at least the feeder link (SRI) and one or several ISLs.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935837" id="_x0000_s1027" type="#_x0000_t202" style="position:absolute;margin-left:429.4pt;margin-top:21.95pt;width:480.6pt;height:91.6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7QKmJAIAAEwEAAAOAAAAZHJzL2Uyb0RvYy54bWysVNuO2yAQfa/Uf0C8N7Zz664VZ7XNNlWl&#10;7UXa7QdgjGNUYCiQ2OnXd8DZbHp7qeoHxDDD4cyZGa9uBq3IQTgvwVS0mOSUCMOhkWZX0S+P21dX&#10;lPjATMMUGFHRo/D0Zv3yxaq3pZhCB6oRjiCI8WVvK9qFYMss87wTmvkJWGHQ2YLTLKDpdlnjWI/o&#10;WmXTPF9mPbjGOuDCezy9G510nfDbVvDwqW29CERVFLmFtLq01nHN1itW7hyzneQnGuwfWGgmDT56&#10;hrpjgZG9k79BackdeGjDhIPOoG0lFykHzKbIf8nmoWNWpFxQHG/PMvn/B8s/Hj47IpuKLigxTGOJ&#10;HsUQyBsYyDSq01tfYtCDxbAw4DFWOWXq7T3wr54Y2HTM7MStc9B3gjXIrog3s4urI46PIHX/ARp8&#10;hu0DJKChdTpKh2IQRMcqHc+ViVQ4Hi6LfLacooujryiWsxka8Q1WPl23zod3AjSJm4o6LH2CZ4d7&#10;H8bQp5D4mgclm61UKhluV2+UIweGbbJN3wn9pzBlSF/R68V0MSrwV4g8fX+C0DJgvyupK3p1DmJl&#10;1O2taZAmKwOTatxjdsqchIzajSqGoR5SxZLKUeQamiMq62BsbxxH3HTgvlPSY2tX1H/bMycoUe8N&#10;Vue6mM/jLCRjvngddXWXnvrSwwxHqIoGSsbtJqT5iVQN3GIVW5n0fWZyoowtmyp0Gq84E5d2inr+&#10;Cax/AAAA//8DAFBLAwQUAAYACAAAACEAj7OVx94AAAAHAQAADwAAAGRycy9kb3ducmV2LnhtbEyP&#10;wU7DMBBE70j8g7VIXBB1klZpE7KpEBIIblAQXN14m0TE62C7afh7zAmOoxnNvKm2sxnERM73lhHS&#10;RQKCuLG65xbh7fX+egPCB8VaDZYJ4Zs8bOvzs0qV2p74haZdaEUsYV8qhC6EsZTSNx0Z5Rd2JI7e&#10;wTqjQpSuldqpUyw3g8ySJJdG9RwXOjXSXUfN5+5oEDarx+nDPy2f35v8MBThaj09fDnEy4v59gZE&#10;oDn8heEXP6JDHZn29sjaiwEhHgkIq2UBIrpFnmYg9ghZtk5B1pX8z1//AAAA//8DAFBLAQItABQA&#10;BgAIAAAAIQC2gziS/gAAAOEBAAATAAAAAAAAAAAAAAAAAAAAAABbQ29udGVudF9UeXBlc10ueG1s&#10;UEsBAi0AFAAGAAgAAAAhADj9If/WAAAAlAEAAAsAAAAAAAAAAAAAAAAALwEAAF9yZWxzLy5yZWxz&#10;UEsBAi0AFAAGAAgAAAAhAHXtAqYkAgAATAQAAA4AAAAAAAAAAAAAAAAALgIAAGRycy9lMm9Eb2Mu&#10;eG1sUEsBAi0AFAAGAAgAAAAhAI+zlcfeAAAABwEAAA8AAAAAAAAAAAAAAAAAfgQAAGRycy9kb3du&#10;cmV2LnhtbFBLBQYAAAAABAAEAPMAAACJBQAAAAA=&#10;">
                <v:textbox>
                  <w:txbxContent>
                    <w:p w14:paraId="3AB9FDBD" w14:textId="77777777" w:rsidR="001D6A31" w:rsidRPr="00450CE8" w:rsidRDefault="001D6A31" w:rsidP="008F29D7">
                      <w:pPr>
                        <w:pStyle w:val="Heading3"/>
                        <w:numPr>
                          <w:ilvl w:val="0"/>
                          <w:numId w:val="0"/>
                        </w:numPr>
                        <w:ind w:left="720" w:hanging="720"/>
                      </w:pPr>
                      <w:bookmarkStart w:id="9" w:name="_Toc26620916"/>
                      <w:r w:rsidRPr="00450CE8">
                        <w:t>5.1.3</w:t>
                      </w:r>
                      <w:r w:rsidRPr="00450CE8">
                        <w:tab/>
                        <w:t>NG-RAN impacts</w:t>
                      </w:r>
                      <w:bookmarkEnd w:id="9"/>
                    </w:p>
                    <w:p w14:paraId="0C481953" w14:textId="77777777" w:rsidR="001D6A31" w:rsidRPr="008562E7" w:rsidRDefault="001D6A31" w:rsidP="00F63846">
                      <w:r w:rsidRPr="008562E7">
                        <w:t>There is no need to modify the NG-RAN architecture to support transparent satellite access.</w:t>
                      </w:r>
                    </w:p>
                    <w:p w14:paraId="45003A94" w14:textId="77777777" w:rsidR="001D6A31" w:rsidRPr="008562E7" w:rsidRDefault="001D6A31" w:rsidP="00F63846">
                      <w:r w:rsidRPr="008562E7">
                        <w:t>NR-</w:t>
                      </w:r>
                      <w:proofErr w:type="spellStart"/>
                      <w:r w:rsidRPr="008562E7">
                        <w:t>Uu</w:t>
                      </w:r>
                      <w:proofErr w:type="spellEnd"/>
                      <w:r w:rsidRPr="008562E7">
                        <w:t xml:space="preserve"> timers may have to be extended to cope with the long delay of the feeder link and service link.</w:t>
                      </w:r>
                    </w:p>
                    <w:p w14:paraId="34D406CC" w14:textId="77777777" w:rsidR="001D6A31" w:rsidRPr="008562E7" w:rsidRDefault="001D6A31" w:rsidP="00F63846">
                      <w:r w:rsidRPr="008562E7">
                        <w:t xml:space="preserve">In the context of a LEO scenario with ISL, the delay to be considered shall encompass at least the feeder link (SRI) and one or several ISLs. </w:t>
                      </w:r>
                    </w:p>
                  </w:txbxContent>
                </v:textbox>
                <w10:wrap type="square" anchorx="margin"/>
              </v:shape>
            </w:pict>
          </mc:Fallback>
        </mc:AlternateContent>
      </w:r>
      <w:r w:rsidRPr="008A3A2F">
        <w:t>In the</w:t>
      </w:r>
      <w:r>
        <w:t xml:space="preserve"> TR 38.821 </w:t>
      </w:r>
      <w:r w:rsidR="00CE0DAB">
        <w:fldChar w:fldCharType="begin"/>
      </w:r>
      <w:r w:rsidR="00CE0DAB">
        <w:instrText xml:space="preserve"> REF _Ref31184816 \r \h </w:instrText>
      </w:r>
      <w:r w:rsidR="00CE0DAB">
        <w:fldChar w:fldCharType="separate"/>
      </w:r>
      <w:r w:rsidR="00F35C8F">
        <w:t>[2]</w:t>
      </w:r>
      <w:r w:rsidR="00CE0DAB">
        <w:fldChar w:fldCharType="end"/>
      </w:r>
      <w:r w:rsidR="00CE0DAB">
        <w:t xml:space="preserve"> </w:t>
      </w:r>
      <w:r>
        <w:t>architectural description of transparent satellites, there is a comment on inter-satellite link (ISL):</w:t>
      </w:r>
    </w:p>
    <w:p w14:paraId="2110A23E" w14:textId="538EC985" w:rsidR="00F63846" w:rsidRDefault="00F63846" w:rsidP="00F63846">
      <w:r w:rsidRPr="00A03CC9">
        <w:t>The ISL</w:t>
      </w:r>
      <w:r>
        <w:t>s add complexity to the transparent satellite, but they also have a purpose in the sense of range extension. For example, a transparent satellite located over the Pacific or Atlantic Oceans may not be able to directly communicate with an NTN-GW. Instead, the transparent satellite may utilize ISL to connect through one or more hops of other satellites to an NTN-GW. The one or more ISL hops add to the total delay of the NR-</w:t>
      </w:r>
      <w:proofErr w:type="spellStart"/>
      <w:r>
        <w:t>Uu</w:t>
      </w:r>
      <w:proofErr w:type="spellEnd"/>
      <w:r>
        <w:t xml:space="preserve"> interface, and thus the supported delay range must be extended. The absolute delay number depends on the number of ISL hops, the distance between the satellites, and processing/routing delay of the ISL within each satellite. In order to standardize an NTN system with support for ISL, the 3GPP must define the maximum additional delay.</w:t>
      </w:r>
      <w:r w:rsidR="00DD4CC1">
        <w:t xml:space="preserve"> Furthermore, the ISL may also </w:t>
      </w:r>
      <w:r w:rsidR="00852069">
        <w:t>have an impact on the feeder and service link path gain.</w:t>
      </w:r>
    </w:p>
    <w:p w14:paraId="162CDC46" w14:textId="2429CA6D" w:rsidR="00F63846" w:rsidRPr="00DD0364" w:rsidRDefault="00F63846" w:rsidP="00F63846">
      <w:pPr>
        <w:rPr>
          <w:b/>
        </w:rPr>
      </w:pPr>
      <w:r>
        <w:rPr>
          <w:b/>
        </w:rPr>
        <w:t>Proposal</w:t>
      </w:r>
      <w:r w:rsidR="00264E84">
        <w:rPr>
          <w:b/>
        </w:rPr>
        <w:t xml:space="preserve"> 6</w:t>
      </w:r>
      <w:r>
        <w:rPr>
          <w:b/>
        </w:rPr>
        <w:t>: RAN1 to define the maximum additional NR-</w:t>
      </w:r>
      <w:proofErr w:type="spellStart"/>
      <w:r>
        <w:rPr>
          <w:b/>
        </w:rPr>
        <w:t>Uu</w:t>
      </w:r>
      <w:proofErr w:type="spellEnd"/>
      <w:r>
        <w:rPr>
          <w:b/>
        </w:rPr>
        <w:t xml:space="preserve"> delay due to use of ISL</w:t>
      </w:r>
      <w:r w:rsidR="00852069">
        <w:rPr>
          <w:b/>
        </w:rPr>
        <w:t xml:space="preserve"> and potential path gain impacts.</w:t>
      </w:r>
    </w:p>
    <w:p w14:paraId="520B224D" w14:textId="77777777" w:rsidR="00F63846" w:rsidRDefault="00F63846" w:rsidP="00F63846">
      <w:pPr>
        <w:pStyle w:val="Heading2"/>
      </w:pPr>
      <w:r>
        <w:t>GNSS</w:t>
      </w:r>
    </w:p>
    <w:p w14:paraId="102FB8A5" w14:textId="634008F8" w:rsidR="00F63846" w:rsidRDefault="00F63846" w:rsidP="00F63846">
      <w:r>
        <w:t xml:space="preserve">In the objectives of the work item </w:t>
      </w:r>
      <w:r w:rsidR="00CE0DAB">
        <w:fldChar w:fldCharType="begin"/>
      </w:r>
      <w:r w:rsidR="00CE0DAB">
        <w:instrText xml:space="preserve"> REF _Ref31184830 \r \h </w:instrText>
      </w:r>
      <w:r w:rsidR="00CE0DAB">
        <w:fldChar w:fldCharType="separate"/>
      </w:r>
      <w:r w:rsidR="00F35C8F">
        <w:t>[1]</w:t>
      </w:r>
      <w:r w:rsidR="00CE0DAB">
        <w:fldChar w:fldCharType="end"/>
      </w:r>
      <w:r>
        <w:t xml:space="preserve"> it is defined that </w:t>
      </w:r>
      <w:r w:rsidRPr="0033269B">
        <w:rPr>
          <w:i/>
        </w:rPr>
        <w:t>“UEs with GNSS capabilities are assumed”</w:t>
      </w:r>
      <w:r>
        <w:rPr>
          <w:i/>
        </w:rPr>
        <w:t>.</w:t>
      </w:r>
      <w:r>
        <w:t xml:space="preserve"> However, the exact capabilities of the GNSS are not defined, and thus it is also not clear to what extend the GNSS information can be applied in the NTN. A generic group of applications include</w:t>
      </w:r>
    </w:p>
    <w:p w14:paraId="11CB4F29" w14:textId="77777777" w:rsidR="00F63846" w:rsidRDefault="00F63846" w:rsidP="006F29FF">
      <w:pPr>
        <w:pStyle w:val="ListParagraph"/>
        <w:numPr>
          <w:ilvl w:val="0"/>
          <w:numId w:val="18"/>
        </w:numPr>
        <w:spacing w:after="160" w:line="259" w:lineRule="auto"/>
        <w:rPr>
          <w:sz w:val="20"/>
          <w:szCs w:val="20"/>
        </w:rPr>
      </w:pPr>
      <w:r>
        <w:rPr>
          <w:sz w:val="20"/>
          <w:szCs w:val="20"/>
        </w:rPr>
        <w:t xml:space="preserve">Country </w:t>
      </w:r>
      <w:proofErr w:type="spellStart"/>
      <w:r>
        <w:rPr>
          <w:sz w:val="20"/>
          <w:szCs w:val="20"/>
        </w:rPr>
        <w:t>identification</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required</w:t>
      </w:r>
      <w:proofErr w:type="spellEnd"/>
      <w:r>
        <w:rPr>
          <w:sz w:val="20"/>
          <w:szCs w:val="20"/>
        </w:rPr>
        <w:t xml:space="preserve"> </w:t>
      </w:r>
      <w:proofErr w:type="spellStart"/>
      <w:r>
        <w:rPr>
          <w:sz w:val="20"/>
          <w:szCs w:val="20"/>
        </w:rPr>
        <w:t>location</w:t>
      </w:r>
      <w:proofErr w:type="spellEnd"/>
      <w:r>
        <w:rPr>
          <w:sz w:val="20"/>
          <w:szCs w:val="20"/>
        </w:rPr>
        <w:t xml:space="preserve"> </w:t>
      </w:r>
      <w:proofErr w:type="spellStart"/>
      <w:r>
        <w:rPr>
          <w:sz w:val="20"/>
          <w:szCs w:val="20"/>
        </w:rPr>
        <w:t>accuracy</w:t>
      </w:r>
      <w:proofErr w:type="spellEnd"/>
      <w:r>
        <w:rPr>
          <w:sz w:val="20"/>
          <w:szCs w:val="20"/>
        </w:rPr>
        <w:t xml:space="preserve"> is </w:t>
      </w:r>
      <w:proofErr w:type="spellStart"/>
      <w:r>
        <w:rPr>
          <w:sz w:val="20"/>
          <w:szCs w:val="20"/>
        </w:rPr>
        <w:t>low</w:t>
      </w:r>
      <w:proofErr w:type="spellEnd"/>
      <w:r>
        <w:rPr>
          <w:sz w:val="20"/>
          <w:szCs w:val="20"/>
        </w:rPr>
        <w:t xml:space="preserve"> and </w:t>
      </w:r>
      <w:proofErr w:type="spellStart"/>
      <w:r>
        <w:rPr>
          <w:sz w:val="20"/>
          <w:szCs w:val="20"/>
        </w:rPr>
        <w:t>the</w:t>
      </w:r>
      <w:proofErr w:type="spellEnd"/>
      <w:r>
        <w:rPr>
          <w:sz w:val="20"/>
          <w:szCs w:val="20"/>
        </w:rPr>
        <w:t xml:space="preserve"> </w:t>
      </w:r>
      <w:proofErr w:type="spellStart"/>
      <w:r>
        <w:rPr>
          <w:sz w:val="20"/>
          <w:szCs w:val="20"/>
        </w:rPr>
        <w:t>time</w:t>
      </w:r>
      <w:proofErr w:type="spellEnd"/>
      <w:r>
        <w:rPr>
          <w:sz w:val="20"/>
          <w:szCs w:val="20"/>
        </w:rPr>
        <w:t xml:space="preserve"> periodicity for </w:t>
      </w:r>
      <w:proofErr w:type="spellStart"/>
      <w:r>
        <w:rPr>
          <w:sz w:val="20"/>
          <w:szCs w:val="20"/>
        </w:rPr>
        <w:t>updates</w:t>
      </w:r>
      <w:proofErr w:type="spellEnd"/>
      <w:r>
        <w:rPr>
          <w:sz w:val="20"/>
          <w:szCs w:val="20"/>
        </w:rPr>
        <w:t xml:space="preserve"> is long. </w:t>
      </w:r>
    </w:p>
    <w:p w14:paraId="3FA89ABB" w14:textId="77777777" w:rsidR="00F63846" w:rsidRDefault="00F63846" w:rsidP="006F29FF">
      <w:pPr>
        <w:pStyle w:val="ListParagraph"/>
        <w:numPr>
          <w:ilvl w:val="0"/>
          <w:numId w:val="18"/>
        </w:numPr>
        <w:spacing w:after="160" w:line="259" w:lineRule="auto"/>
        <w:rPr>
          <w:sz w:val="20"/>
          <w:szCs w:val="20"/>
        </w:rPr>
      </w:pPr>
      <w:proofErr w:type="spellStart"/>
      <w:r>
        <w:rPr>
          <w:sz w:val="20"/>
          <w:szCs w:val="20"/>
        </w:rPr>
        <w:t>Mobility</w:t>
      </w:r>
      <w:proofErr w:type="spellEnd"/>
      <w:r>
        <w:rPr>
          <w:sz w:val="20"/>
          <w:szCs w:val="20"/>
        </w:rPr>
        <w:t xml:space="preserve"> </w:t>
      </w:r>
      <w:proofErr w:type="spellStart"/>
      <w:r>
        <w:rPr>
          <w:sz w:val="20"/>
          <w:szCs w:val="20"/>
        </w:rPr>
        <w:t>assistance</w:t>
      </w:r>
      <w:proofErr w:type="spellEnd"/>
      <w:r>
        <w:rPr>
          <w:sz w:val="20"/>
          <w:szCs w:val="20"/>
        </w:rPr>
        <w:t xml:space="preserve">. Medium </w:t>
      </w:r>
      <w:proofErr w:type="spellStart"/>
      <w:r>
        <w:rPr>
          <w:sz w:val="20"/>
          <w:szCs w:val="20"/>
        </w:rPr>
        <w:t>location</w:t>
      </w:r>
      <w:proofErr w:type="spellEnd"/>
      <w:r>
        <w:rPr>
          <w:sz w:val="20"/>
          <w:szCs w:val="20"/>
        </w:rPr>
        <w:t xml:space="preserve"> </w:t>
      </w:r>
      <w:proofErr w:type="spellStart"/>
      <w:r>
        <w:rPr>
          <w:sz w:val="20"/>
          <w:szCs w:val="20"/>
        </w:rPr>
        <w:t>accuracy</w:t>
      </w:r>
      <w:proofErr w:type="spellEnd"/>
      <w:r>
        <w:rPr>
          <w:sz w:val="20"/>
          <w:szCs w:val="20"/>
        </w:rPr>
        <w:t xml:space="preserve"> in </w:t>
      </w:r>
      <w:proofErr w:type="spellStart"/>
      <w:r>
        <w:rPr>
          <w:sz w:val="20"/>
          <w:szCs w:val="20"/>
        </w:rPr>
        <w:t>the</w:t>
      </w:r>
      <w:proofErr w:type="spellEnd"/>
      <w:r>
        <w:rPr>
          <w:sz w:val="20"/>
          <w:szCs w:val="20"/>
        </w:rPr>
        <w:t xml:space="preserve"> </w:t>
      </w:r>
      <w:proofErr w:type="spellStart"/>
      <w:r>
        <w:rPr>
          <w:sz w:val="20"/>
          <w:szCs w:val="20"/>
        </w:rPr>
        <w:t>order</w:t>
      </w:r>
      <w:proofErr w:type="spellEnd"/>
      <w:r>
        <w:rPr>
          <w:sz w:val="20"/>
          <w:szCs w:val="20"/>
        </w:rPr>
        <w:t xml:space="preserve"> of 100-1000 m </w:t>
      </w:r>
      <w:proofErr w:type="spellStart"/>
      <w:r>
        <w:rPr>
          <w:sz w:val="20"/>
          <w:szCs w:val="20"/>
        </w:rPr>
        <w:t>may</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needed</w:t>
      </w:r>
      <w:proofErr w:type="spellEnd"/>
      <w:r>
        <w:rPr>
          <w:sz w:val="20"/>
          <w:szCs w:val="20"/>
        </w:rPr>
        <w:t xml:space="preserve">, </w:t>
      </w:r>
      <w:proofErr w:type="spellStart"/>
      <w:r>
        <w:rPr>
          <w:sz w:val="20"/>
          <w:szCs w:val="20"/>
        </w:rPr>
        <w:t>with</w:t>
      </w:r>
      <w:proofErr w:type="spellEnd"/>
      <w:r>
        <w:rPr>
          <w:sz w:val="20"/>
          <w:szCs w:val="20"/>
        </w:rPr>
        <w:t xml:space="preserve"> </w:t>
      </w:r>
      <w:proofErr w:type="spellStart"/>
      <w:r>
        <w:rPr>
          <w:sz w:val="20"/>
          <w:szCs w:val="20"/>
        </w:rPr>
        <w:t>more</w:t>
      </w:r>
      <w:proofErr w:type="spellEnd"/>
      <w:r>
        <w:rPr>
          <w:sz w:val="20"/>
          <w:szCs w:val="20"/>
        </w:rPr>
        <w:t xml:space="preserve"> </w:t>
      </w:r>
      <w:proofErr w:type="spellStart"/>
      <w:r>
        <w:rPr>
          <w:sz w:val="20"/>
          <w:szCs w:val="20"/>
        </w:rPr>
        <w:t>regular</w:t>
      </w:r>
      <w:proofErr w:type="spellEnd"/>
      <w:r>
        <w:rPr>
          <w:sz w:val="20"/>
          <w:szCs w:val="20"/>
        </w:rPr>
        <w:t xml:space="preserve"> </w:t>
      </w:r>
      <w:proofErr w:type="spellStart"/>
      <w:r>
        <w:rPr>
          <w:sz w:val="20"/>
          <w:szCs w:val="20"/>
        </w:rPr>
        <w:t>updates</w:t>
      </w:r>
      <w:proofErr w:type="spellEnd"/>
      <w:r>
        <w:rPr>
          <w:sz w:val="20"/>
          <w:szCs w:val="20"/>
        </w:rPr>
        <w:t>.</w:t>
      </w:r>
    </w:p>
    <w:p w14:paraId="4244D2AC" w14:textId="77777777" w:rsidR="00F63846" w:rsidRDefault="00F63846" w:rsidP="006F29FF">
      <w:pPr>
        <w:pStyle w:val="ListParagraph"/>
        <w:numPr>
          <w:ilvl w:val="0"/>
          <w:numId w:val="18"/>
        </w:numPr>
        <w:spacing w:after="160" w:line="259" w:lineRule="auto"/>
        <w:rPr>
          <w:sz w:val="20"/>
          <w:szCs w:val="20"/>
        </w:rPr>
      </w:pPr>
      <w:proofErr w:type="spellStart"/>
      <w:r>
        <w:rPr>
          <w:sz w:val="20"/>
          <w:szCs w:val="20"/>
        </w:rPr>
        <w:t>Physical</w:t>
      </w:r>
      <w:proofErr w:type="spellEnd"/>
      <w:r>
        <w:rPr>
          <w:sz w:val="20"/>
          <w:szCs w:val="20"/>
        </w:rPr>
        <w:t xml:space="preserve"> </w:t>
      </w:r>
      <w:proofErr w:type="spellStart"/>
      <w:r>
        <w:rPr>
          <w:sz w:val="20"/>
          <w:szCs w:val="20"/>
        </w:rPr>
        <w:t>layer</w:t>
      </w:r>
      <w:proofErr w:type="spellEnd"/>
      <w:r>
        <w:rPr>
          <w:sz w:val="20"/>
          <w:szCs w:val="20"/>
        </w:rPr>
        <w:t xml:space="preserve"> </w:t>
      </w:r>
      <w:proofErr w:type="spellStart"/>
      <w:r>
        <w:rPr>
          <w:sz w:val="20"/>
          <w:szCs w:val="20"/>
        </w:rPr>
        <w:t>signaling</w:t>
      </w:r>
      <w:proofErr w:type="spellEnd"/>
      <w:r>
        <w:rPr>
          <w:sz w:val="20"/>
          <w:szCs w:val="20"/>
        </w:rPr>
        <w:t xml:space="preserve"> </w:t>
      </w:r>
      <w:proofErr w:type="spellStart"/>
      <w:r>
        <w:rPr>
          <w:sz w:val="20"/>
          <w:szCs w:val="20"/>
        </w:rPr>
        <w:t>adjustment</w:t>
      </w:r>
      <w:proofErr w:type="spellEnd"/>
      <w:r>
        <w:rPr>
          <w:sz w:val="20"/>
          <w:szCs w:val="20"/>
        </w:rPr>
        <w:t xml:space="preserve"> </w:t>
      </w:r>
      <w:proofErr w:type="spellStart"/>
      <w:r>
        <w:rPr>
          <w:sz w:val="20"/>
          <w:szCs w:val="20"/>
        </w:rPr>
        <w:t>including</w:t>
      </w:r>
      <w:proofErr w:type="spellEnd"/>
      <w:r>
        <w:rPr>
          <w:sz w:val="20"/>
          <w:szCs w:val="20"/>
        </w:rPr>
        <w:t xml:space="preserve"> </w:t>
      </w:r>
      <w:proofErr w:type="spellStart"/>
      <w:r>
        <w:rPr>
          <w:sz w:val="20"/>
          <w:szCs w:val="20"/>
        </w:rPr>
        <w:t>timing</w:t>
      </w:r>
      <w:proofErr w:type="spellEnd"/>
      <w:r>
        <w:rPr>
          <w:sz w:val="20"/>
          <w:szCs w:val="20"/>
        </w:rPr>
        <w:t xml:space="preserve"> </w:t>
      </w:r>
      <w:proofErr w:type="spellStart"/>
      <w:r>
        <w:rPr>
          <w:sz w:val="20"/>
          <w:szCs w:val="20"/>
        </w:rPr>
        <w:t>advance</w:t>
      </w:r>
      <w:proofErr w:type="spellEnd"/>
      <w:r>
        <w:rPr>
          <w:sz w:val="20"/>
          <w:szCs w:val="20"/>
        </w:rPr>
        <w:t xml:space="preserve"> and Doppler. </w:t>
      </w:r>
      <w:proofErr w:type="spellStart"/>
      <w:r>
        <w:rPr>
          <w:sz w:val="20"/>
          <w:szCs w:val="20"/>
        </w:rPr>
        <w:t>High</w:t>
      </w:r>
      <w:proofErr w:type="spellEnd"/>
      <w:r>
        <w:rPr>
          <w:sz w:val="20"/>
          <w:szCs w:val="20"/>
        </w:rPr>
        <w:t xml:space="preserve"> </w:t>
      </w:r>
      <w:proofErr w:type="spellStart"/>
      <w:r>
        <w:rPr>
          <w:sz w:val="20"/>
          <w:szCs w:val="20"/>
        </w:rPr>
        <w:t>location</w:t>
      </w:r>
      <w:proofErr w:type="spellEnd"/>
      <w:r>
        <w:rPr>
          <w:sz w:val="20"/>
          <w:szCs w:val="20"/>
        </w:rPr>
        <w:t xml:space="preserve"> </w:t>
      </w:r>
      <w:proofErr w:type="spellStart"/>
      <w:r>
        <w:rPr>
          <w:sz w:val="20"/>
          <w:szCs w:val="20"/>
        </w:rPr>
        <w:t>accuracy</w:t>
      </w:r>
      <w:proofErr w:type="spellEnd"/>
      <w:r>
        <w:rPr>
          <w:sz w:val="20"/>
          <w:szCs w:val="20"/>
        </w:rPr>
        <w:t xml:space="preserve"> and </w:t>
      </w:r>
      <w:proofErr w:type="spellStart"/>
      <w:r>
        <w:rPr>
          <w:sz w:val="20"/>
          <w:szCs w:val="20"/>
        </w:rPr>
        <w:t>continuous</w:t>
      </w:r>
      <w:proofErr w:type="spellEnd"/>
      <w:r>
        <w:rPr>
          <w:sz w:val="20"/>
          <w:szCs w:val="20"/>
        </w:rPr>
        <w:t xml:space="preserve"> </w:t>
      </w:r>
      <w:proofErr w:type="spellStart"/>
      <w:r>
        <w:rPr>
          <w:sz w:val="20"/>
          <w:szCs w:val="20"/>
        </w:rPr>
        <w:t>updates</w:t>
      </w:r>
      <w:proofErr w:type="spellEnd"/>
      <w:r>
        <w:rPr>
          <w:sz w:val="20"/>
          <w:szCs w:val="20"/>
        </w:rPr>
        <w:t xml:space="preserve"> </w:t>
      </w:r>
      <w:proofErr w:type="spellStart"/>
      <w:r>
        <w:rPr>
          <w:sz w:val="20"/>
          <w:szCs w:val="20"/>
        </w:rPr>
        <w:t>are</w:t>
      </w:r>
      <w:proofErr w:type="spellEnd"/>
      <w:r>
        <w:rPr>
          <w:sz w:val="20"/>
          <w:szCs w:val="20"/>
        </w:rPr>
        <w:t xml:space="preserve"> </w:t>
      </w:r>
      <w:proofErr w:type="spellStart"/>
      <w:r>
        <w:rPr>
          <w:sz w:val="20"/>
          <w:szCs w:val="20"/>
        </w:rPr>
        <w:t>required</w:t>
      </w:r>
      <w:proofErr w:type="spellEnd"/>
      <w:r>
        <w:rPr>
          <w:sz w:val="20"/>
          <w:szCs w:val="20"/>
        </w:rPr>
        <w:t xml:space="preserve"> to </w:t>
      </w:r>
      <w:proofErr w:type="spellStart"/>
      <w:r>
        <w:rPr>
          <w:sz w:val="20"/>
          <w:szCs w:val="20"/>
        </w:rPr>
        <w:t>support</w:t>
      </w:r>
      <w:proofErr w:type="spellEnd"/>
      <w:r>
        <w:rPr>
          <w:sz w:val="20"/>
          <w:szCs w:val="20"/>
        </w:rPr>
        <w:t xml:space="preserve"> </w:t>
      </w:r>
      <w:proofErr w:type="spellStart"/>
      <w:r>
        <w:rPr>
          <w:sz w:val="20"/>
          <w:szCs w:val="20"/>
        </w:rPr>
        <w:t>proper</w:t>
      </w:r>
      <w:proofErr w:type="spellEnd"/>
      <w:r>
        <w:rPr>
          <w:sz w:val="20"/>
          <w:szCs w:val="20"/>
        </w:rPr>
        <w:t xml:space="preserve"> </w:t>
      </w:r>
      <w:proofErr w:type="spellStart"/>
      <w:r>
        <w:rPr>
          <w:sz w:val="20"/>
          <w:szCs w:val="20"/>
        </w:rPr>
        <w:t>physical</w:t>
      </w:r>
      <w:proofErr w:type="spellEnd"/>
      <w:r>
        <w:rPr>
          <w:sz w:val="20"/>
          <w:szCs w:val="20"/>
        </w:rPr>
        <w:t xml:space="preserve"> </w:t>
      </w:r>
      <w:proofErr w:type="spellStart"/>
      <w:r>
        <w:rPr>
          <w:sz w:val="20"/>
          <w:szCs w:val="20"/>
        </w:rPr>
        <w:t>layer</w:t>
      </w:r>
      <w:proofErr w:type="spellEnd"/>
      <w:r>
        <w:rPr>
          <w:sz w:val="20"/>
          <w:szCs w:val="20"/>
        </w:rPr>
        <w:t xml:space="preserve"> </w:t>
      </w:r>
      <w:proofErr w:type="spellStart"/>
      <w:r>
        <w:rPr>
          <w:sz w:val="20"/>
          <w:szCs w:val="20"/>
        </w:rPr>
        <w:t>operation</w:t>
      </w:r>
      <w:proofErr w:type="spellEnd"/>
      <w:r>
        <w:rPr>
          <w:sz w:val="20"/>
          <w:szCs w:val="20"/>
        </w:rPr>
        <w:t xml:space="preserve">. </w:t>
      </w:r>
    </w:p>
    <w:p w14:paraId="7A9025C6" w14:textId="3DE03BF1" w:rsidR="006F29FF" w:rsidRDefault="006F29FF" w:rsidP="006F29FF">
      <w:pPr>
        <w:rPr>
          <w:b/>
        </w:rPr>
      </w:pPr>
      <w:r>
        <w:rPr>
          <w:b/>
        </w:rPr>
        <w:t>Observation</w:t>
      </w:r>
      <w:r w:rsidR="00264E84">
        <w:rPr>
          <w:b/>
        </w:rPr>
        <w:t xml:space="preserve"> </w:t>
      </w:r>
      <w:r w:rsidR="00045C0E">
        <w:rPr>
          <w:b/>
        </w:rPr>
        <w:t>6</w:t>
      </w:r>
      <w:r>
        <w:rPr>
          <w:b/>
        </w:rPr>
        <w:t>: GNSS can be applied in NTN for country identification, mobility assistance, and physical layer signalling adjustment, but with increasing device cost and power consumption.</w:t>
      </w:r>
    </w:p>
    <w:p w14:paraId="77EED506" w14:textId="77777777" w:rsidR="0020342B" w:rsidRDefault="0020342B" w:rsidP="0020342B">
      <w:r>
        <w:t>Furthermore, there may be different classes of GNSS capabilities, in the sense that a car/plane/ship may employ a very accurate GNSS, while a handheld device may use something less accurate, because there is a trade-off between device cost, power consumption, and accuracy.</w:t>
      </w:r>
    </w:p>
    <w:p w14:paraId="7EF0D380" w14:textId="39596446" w:rsidR="0020342B" w:rsidRPr="006F29FF" w:rsidRDefault="0020342B" w:rsidP="006F29FF">
      <w:pPr>
        <w:rPr>
          <w:b/>
        </w:rPr>
      </w:pPr>
      <w:r w:rsidRPr="06B5A646">
        <w:rPr>
          <w:b/>
          <w:bCs/>
        </w:rPr>
        <w:t>Proposal</w:t>
      </w:r>
      <w:r w:rsidR="00264E84">
        <w:rPr>
          <w:b/>
          <w:bCs/>
        </w:rPr>
        <w:t xml:space="preserve"> 7</w:t>
      </w:r>
      <w:r w:rsidRPr="06B5A646">
        <w:rPr>
          <w:b/>
          <w:bCs/>
        </w:rPr>
        <w:t>: RAN1 to discuss GNSS usage applications and whether one or more GNSS capabilities classes are needed for NTN.</w:t>
      </w:r>
    </w:p>
    <w:p w14:paraId="21BD26C3" w14:textId="702ACD95" w:rsidR="00220D83" w:rsidRDefault="00220D83" w:rsidP="00220D83">
      <w:r>
        <w:t xml:space="preserve">Moreover, each of these use cases may require significantly different accuracy magnitudes. For example, the country identification, which depends solely on the UE position, may operate with an accuracy of hundreds of meters or just a couple of kilometres. On the other hand, timing synchronization (time advance estimation), for instance, depends not only on the UE position but also on some network-related information (e.g. satellite ephemeris) and may not tolerate more than a few microseconds of </w:t>
      </w:r>
      <w:r w:rsidR="0020342B">
        <w:t xml:space="preserve">inaccuracy. </w:t>
      </w:r>
    </w:p>
    <w:p w14:paraId="309DAE6F" w14:textId="351DC265" w:rsidR="0020342B" w:rsidRDefault="0020342B" w:rsidP="0020342B">
      <w:pPr>
        <w:rPr>
          <w:b/>
        </w:rPr>
      </w:pPr>
      <w:r>
        <w:rPr>
          <w:b/>
        </w:rPr>
        <w:t>Observation</w:t>
      </w:r>
      <w:r w:rsidR="00264E84">
        <w:rPr>
          <w:b/>
        </w:rPr>
        <w:t xml:space="preserve"> </w:t>
      </w:r>
      <w:r w:rsidR="00045C0E">
        <w:rPr>
          <w:b/>
        </w:rPr>
        <w:t>7</w:t>
      </w:r>
      <w:r>
        <w:rPr>
          <w:b/>
        </w:rPr>
        <w:t>: Some GNSS assisted solutions may depend solely on the UE position information (e.g. country identification), whereas others depend on other source of information (e.g. satellite ephemeris for time synchronization).</w:t>
      </w:r>
    </w:p>
    <w:p w14:paraId="0C1F58B7" w14:textId="51B75A82" w:rsidR="0020342B" w:rsidRPr="006F29FF" w:rsidRDefault="0020342B" w:rsidP="0020342B">
      <w:pPr>
        <w:rPr>
          <w:b/>
        </w:rPr>
      </w:pPr>
      <w:r>
        <w:rPr>
          <w:b/>
        </w:rPr>
        <w:t>Observation</w:t>
      </w:r>
      <w:r w:rsidR="00264E84">
        <w:rPr>
          <w:b/>
        </w:rPr>
        <w:t xml:space="preserve"> </w:t>
      </w:r>
      <w:r w:rsidR="00045C0E">
        <w:rPr>
          <w:b/>
        </w:rPr>
        <w:t>8</w:t>
      </w:r>
      <w:r>
        <w:rPr>
          <w:b/>
        </w:rPr>
        <w:t xml:space="preserve">: Different use cases may require different accuracy in the use of GNSS-assisted information. </w:t>
      </w:r>
    </w:p>
    <w:p w14:paraId="1A0C998C" w14:textId="091DE329" w:rsidR="0020342B" w:rsidRDefault="0020342B" w:rsidP="0020342B">
      <w:pPr>
        <w:rPr>
          <w:b/>
        </w:rPr>
      </w:pPr>
      <w:r>
        <w:rPr>
          <w:b/>
        </w:rPr>
        <w:t>Proposal</w:t>
      </w:r>
      <w:r w:rsidR="00264E84">
        <w:rPr>
          <w:b/>
        </w:rPr>
        <w:t xml:space="preserve"> 8</w:t>
      </w:r>
      <w:r>
        <w:rPr>
          <w:b/>
        </w:rPr>
        <w:t xml:space="preserve">: The error model used to estimate the GNSS-assisted information accuracy should consider additional sources of inaccuracy when the solution does not depend solely on UE position. </w:t>
      </w:r>
    </w:p>
    <w:p w14:paraId="42B45784" w14:textId="24A7B9E8" w:rsidR="0020342B" w:rsidRPr="0020342B" w:rsidRDefault="0020342B" w:rsidP="0020342B">
      <w:pPr>
        <w:rPr>
          <w:bCs/>
        </w:rPr>
      </w:pPr>
      <w:r w:rsidRPr="00264E84">
        <w:rPr>
          <w:bCs/>
        </w:rPr>
        <w:t xml:space="preserve">For example, </w:t>
      </w:r>
      <w:r>
        <w:rPr>
          <w:bCs/>
        </w:rPr>
        <w:t xml:space="preserve">in the case </w:t>
      </w:r>
      <w:r w:rsidRPr="0020342B">
        <w:rPr>
          <w:bCs/>
        </w:rPr>
        <w:t>of using GNSS to calculate relative distance/speed for time or frequency synchronization in uplink, there are several sources of inaccuracy to be considered, namely:</w:t>
      </w:r>
    </w:p>
    <w:p w14:paraId="1B8E3800" w14:textId="77777777" w:rsidR="0020342B" w:rsidRPr="00264E84" w:rsidRDefault="0020342B" w:rsidP="0020342B">
      <w:pPr>
        <w:rPr>
          <w:bCs/>
          <w:sz w:val="16"/>
          <w:szCs w:val="16"/>
        </w:rPr>
      </w:pPr>
    </w:p>
    <w:p w14:paraId="1A5D3916" w14:textId="242A2FB2" w:rsidR="0020342B" w:rsidRPr="00264E84" w:rsidRDefault="0020342B" w:rsidP="00264E84">
      <w:pPr>
        <w:pStyle w:val="ListParagraph"/>
        <w:numPr>
          <w:ilvl w:val="0"/>
          <w:numId w:val="20"/>
        </w:numPr>
        <w:rPr>
          <w:bCs/>
          <w:sz w:val="20"/>
          <w:szCs w:val="20"/>
        </w:rPr>
      </w:pPr>
      <w:r w:rsidRPr="00264E84">
        <w:rPr>
          <w:bCs/>
          <w:sz w:val="20"/>
          <w:szCs w:val="20"/>
        </w:rPr>
        <w:t xml:space="preserve">Lag of </w:t>
      </w:r>
      <w:proofErr w:type="spellStart"/>
      <w:r w:rsidRPr="00264E84">
        <w:rPr>
          <w:bCs/>
          <w:sz w:val="20"/>
          <w:szCs w:val="20"/>
        </w:rPr>
        <w:t>the</w:t>
      </w:r>
      <w:proofErr w:type="spellEnd"/>
      <w:r w:rsidRPr="00264E84">
        <w:rPr>
          <w:bCs/>
          <w:sz w:val="20"/>
          <w:szCs w:val="20"/>
        </w:rPr>
        <w:t xml:space="preserve"> </w:t>
      </w:r>
      <w:proofErr w:type="spellStart"/>
      <w:r w:rsidRPr="00264E84">
        <w:rPr>
          <w:bCs/>
          <w:sz w:val="20"/>
          <w:szCs w:val="20"/>
        </w:rPr>
        <w:t>ephemeris</w:t>
      </w:r>
      <w:proofErr w:type="spellEnd"/>
      <w:r w:rsidRPr="00264E84">
        <w:rPr>
          <w:bCs/>
          <w:sz w:val="20"/>
          <w:szCs w:val="20"/>
        </w:rPr>
        <w:t xml:space="preserve"> </w:t>
      </w:r>
      <w:proofErr w:type="spellStart"/>
      <w:r w:rsidRPr="00264E84">
        <w:rPr>
          <w:bCs/>
          <w:sz w:val="20"/>
          <w:szCs w:val="20"/>
        </w:rPr>
        <w:t>information</w:t>
      </w:r>
      <w:proofErr w:type="spellEnd"/>
      <w:r w:rsidRPr="00264E84">
        <w:rPr>
          <w:bCs/>
          <w:sz w:val="20"/>
          <w:szCs w:val="20"/>
        </w:rPr>
        <w:t xml:space="preserve">: It still to be decided how the ephemeris information will be made available for the UEs. But some lag will likely be present between the generation of the updated ephemeris data and the moment the UE access this information. For </w:t>
      </w:r>
      <w:proofErr w:type="spellStart"/>
      <w:r w:rsidRPr="00264E84">
        <w:rPr>
          <w:bCs/>
          <w:sz w:val="20"/>
          <w:szCs w:val="20"/>
        </w:rPr>
        <w:t>example</w:t>
      </w:r>
      <w:proofErr w:type="spellEnd"/>
      <w:r w:rsidRPr="00264E84">
        <w:rPr>
          <w:bCs/>
          <w:sz w:val="20"/>
          <w:szCs w:val="20"/>
        </w:rPr>
        <w:t xml:space="preserve">, </w:t>
      </w:r>
      <w:proofErr w:type="spellStart"/>
      <w:r w:rsidRPr="00264E84">
        <w:rPr>
          <w:bCs/>
          <w:sz w:val="20"/>
          <w:szCs w:val="20"/>
        </w:rPr>
        <w:t>if</w:t>
      </w:r>
      <w:proofErr w:type="spellEnd"/>
      <w:r w:rsidRPr="00264E84">
        <w:rPr>
          <w:bCs/>
          <w:sz w:val="20"/>
          <w:szCs w:val="20"/>
        </w:rPr>
        <w:t xml:space="preserve"> </w:t>
      </w:r>
      <w:proofErr w:type="spellStart"/>
      <w:r w:rsidRPr="00264E84">
        <w:rPr>
          <w:bCs/>
          <w:sz w:val="20"/>
          <w:szCs w:val="20"/>
        </w:rPr>
        <w:t>the</w:t>
      </w:r>
      <w:proofErr w:type="spellEnd"/>
      <w:r w:rsidRPr="00264E84">
        <w:rPr>
          <w:bCs/>
          <w:sz w:val="20"/>
          <w:szCs w:val="20"/>
        </w:rPr>
        <w:t xml:space="preserve"> </w:t>
      </w:r>
      <w:proofErr w:type="spellStart"/>
      <w:r w:rsidRPr="00264E84">
        <w:rPr>
          <w:bCs/>
          <w:sz w:val="20"/>
          <w:szCs w:val="20"/>
        </w:rPr>
        <w:t>ephemeris</w:t>
      </w:r>
      <w:proofErr w:type="spellEnd"/>
      <w:r w:rsidRPr="00264E84">
        <w:rPr>
          <w:bCs/>
          <w:sz w:val="20"/>
          <w:szCs w:val="20"/>
        </w:rPr>
        <w:t xml:space="preserve"> is made </w:t>
      </w:r>
      <w:proofErr w:type="spellStart"/>
      <w:r w:rsidRPr="00264E84">
        <w:rPr>
          <w:bCs/>
          <w:sz w:val="20"/>
          <w:szCs w:val="20"/>
        </w:rPr>
        <w:t>available</w:t>
      </w:r>
      <w:proofErr w:type="spellEnd"/>
      <w:r w:rsidRPr="00264E84">
        <w:rPr>
          <w:bCs/>
          <w:sz w:val="20"/>
          <w:szCs w:val="20"/>
        </w:rPr>
        <w:t xml:space="preserve"> </w:t>
      </w:r>
      <w:proofErr w:type="spellStart"/>
      <w:r w:rsidRPr="00264E84">
        <w:rPr>
          <w:bCs/>
          <w:sz w:val="20"/>
          <w:szCs w:val="20"/>
        </w:rPr>
        <w:t>through</w:t>
      </w:r>
      <w:proofErr w:type="spellEnd"/>
      <w:r w:rsidRPr="00264E84">
        <w:rPr>
          <w:bCs/>
          <w:sz w:val="20"/>
          <w:szCs w:val="20"/>
        </w:rPr>
        <w:t xml:space="preserve"> SIB, </w:t>
      </w:r>
      <w:proofErr w:type="spellStart"/>
      <w:r w:rsidRPr="00264E84">
        <w:rPr>
          <w:bCs/>
          <w:sz w:val="20"/>
          <w:szCs w:val="20"/>
        </w:rPr>
        <w:t>its</w:t>
      </w:r>
      <w:proofErr w:type="spellEnd"/>
      <w:r w:rsidRPr="00264E84">
        <w:rPr>
          <w:bCs/>
          <w:sz w:val="20"/>
          <w:szCs w:val="20"/>
        </w:rPr>
        <w:t xml:space="preserve"> </w:t>
      </w:r>
      <w:proofErr w:type="spellStart"/>
      <w:r w:rsidRPr="00264E84">
        <w:rPr>
          <w:bCs/>
          <w:sz w:val="20"/>
          <w:szCs w:val="20"/>
        </w:rPr>
        <w:t>minimum</w:t>
      </w:r>
      <w:proofErr w:type="spellEnd"/>
      <w:r w:rsidRPr="00264E84">
        <w:rPr>
          <w:bCs/>
          <w:sz w:val="20"/>
          <w:szCs w:val="20"/>
        </w:rPr>
        <w:t xml:space="preserve"> periodicity </w:t>
      </w:r>
      <w:proofErr w:type="spellStart"/>
      <w:r w:rsidRPr="00264E84">
        <w:rPr>
          <w:bCs/>
          <w:sz w:val="20"/>
          <w:szCs w:val="20"/>
        </w:rPr>
        <w:t>will</w:t>
      </w:r>
      <w:proofErr w:type="spellEnd"/>
      <w:r w:rsidRPr="00264E84">
        <w:rPr>
          <w:bCs/>
          <w:sz w:val="20"/>
          <w:szCs w:val="20"/>
        </w:rPr>
        <w:t xml:space="preserve"> </w:t>
      </w:r>
      <w:proofErr w:type="spellStart"/>
      <w:r w:rsidRPr="00264E84">
        <w:rPr>
          <w:bCs/>
          <w:sz w:val="20"/>
          <w:szCs w:val="20"/>
        </w:rPr>
        <w:t>be</w:t>
      </w:r>
      <w:proofErr w:type="spellEnd"/>
      <w:r w:rsidRPr="00264E84">
        <w:rPr>
          <w:bCs/>
          <w:sz w:val="20"/>
          <w:szCs w:val="20"/>
        </w:rPr>
        <w:t xml:space="preserve"> on </w:t>
      </w:r>
      <w:proofErr w:type="spellStart"/>
      <w:r w:rsidRPr="00264E84">
        <w:rPr>
          <w:bCs/>
          <w:sz w:val="20"/>
          <w:szCs w:val="20"/>
        </w:rPr>
        <w:t>the</w:t>
      </w:r>
      <w:proofErr w:type="spellEnd"/>
      <w:r w:rsidRPr="00264E84">
        <w:rPr>
          <w:bCs/>
          <w:sz w:val="20"/>
          <w:szCs w:val="20"/>
        </w:rPr>
        <w:t xml:space="preserve"> </w:t>
      </w:r>
      <w:proofErr w:type="spellStart"/>
      <w:r w:rsidRPr="00264E84">
        <w:rPr>
          <w:bCs/>
          <w:sz w:val="20"/>
          <w:szCs w:val="20"/>
        </w:rPr>
        <w:t>order</w:t>
      </w:r>
      <w:proofErr w:type="spellEnd"/>
      <w:r w:rsidRPr="00264E84">
        <w:rPr>
          <w:bCs/>
          <w:sz w:val="20"/>
          <w:szCs w:val="20"/>
        </w:rPr>
        <w:t xml:space="preserve"> of </w:t>
      </w:r>
      <w:proofErr w:type="spellStart"/>
      <w:r w:rsidRPr="00264E84">
        <w:rPr>
          <w:bCs/>
          <w:sz w:val="20"/>
          <w:szCs w:val="20"/>
        </w:rPr>
        <w:t>dozens</w:t>
      </w:r>
      <w:proofErr w:type="spellEnd"/>
      <w:r w:rsidRPr="00264E84">
        <w:rPr>
          <w:bCs/>
          <w:sz w:val="20"/>
          <w:szCs w:val="20"/>
        </w:rPr>
        <w:t xml:space="preserve"> of ms. Therefore due to the satellite's high relative speed up to 7000 m/s, </w:t>
      </w:r>
      <w:proofErr w:type="spellStart"/>
      <w:r w:rsidRPr="00264E84">
        <w:rPr>
          <w:bCs/>
          <w:sz w:val="20"/>
          <w:szCs w:val="20"/>
        </w:rPr>
        <w:t>this</w:t>
      </w:r>
      <w:proofErr w:type="spellEnd"/>
      <w:r w:rsidRPr="00264E84">
        <w:rPr>
          <w:bCs/>
          <w:sz w:val="20"/>
          <w:szCs w:val="20"/>
        </w:rPr>
        <w:t xml:space="preserve"> lag </w:t>
      </w:r>
      <w:proofErr w:type="spellStart"/>
      <w:r w:rsidRPr="00264E84">
        <w:rPr>
          <w:bCs/>
          <w:sz w:val="20"/>
          <w:szCs w:val="20"/>
        </w:rPr>
        <w:t>may</w:t>
      </w:r>
      <w:proofErr w:type="spellEnd"/>
      <w:r w:rsidRPr="00264E84">
        <w:rPr>
          <w:bCs/>
          <w:sz w:val="20"/>
          <w:szCs w:val="20"/>
        </w:rPr>
        <w:t xml:space="preserve"> </w:t>
      </w:r>
      <w:proofErr w:type="spellStart"/>
      <w:r w:rsidRPr="00264E84">
        <w:rPr>
          <w:bCs/>
          <w:sz w:val="20"/>
          <w:szCs w:val="20"/>
        </w:rPr>
        <w:t>introduce</w:t>
      </w:r>
      <w:proofErr w:type="spellEnd"/>
      <w:r w:rsidRPr="00264E84">
        <w:rPr>
          <w:bCs/>
          <w:sz w:val="20"/>
          <w:szCs w:val="20"/>
        </w:rPr>
        <w:t xml:space="preserve"> </w:t>
      </w:r>
      <w:proofErr w:type="spellStart"/>
      <w:r w:rsidRPr="00264E84">
        <w:rPr>
          <w:bCs/>
          <w:sz w:val="20"/>
          <w:szCs w:val="20"/>
        </w:rPr>
        <w:t>inaccuracy</w:t>
      </w:r>
      <w:proofErr w:type="spellEnd"/>
      <w:r w:rsidRPr="00264E84">
        <w:rPr>
          <w:bCs/>
          <w:sz w:val="20"/>
          <w:szCs w:val="20"/>
        </w:rPr>
        <w:t xml:space="preserve"> to </w:t>
      </w:r>
      <w:proofErr w:type="spellStart"/>
      <w:r w:rsidRPr="00264E84">
        <w:rPr>
          <w:bCs/>
          <w:sz w:val="20"/>
          <w:szCs w:val="20"/>
        </w:rPr>
        <w:t>the</w:t>
      </w:r>
      <w:proofErr w:type="spellEnd"/>
      <w:r w:rsidRPr="00264E84">
        <w:rPr>
          <w:bCs/>
          <w:sz w:val="20"/>
          <w:szCs w:val="20"/>
        </w:rPr>
        <w:t xml:space="preserve"> </w:t>
      </w:r>
      <w:proofErr w:type="spellStart"/>
      <w:r w:rsidRPr="00264E84">
        <w:rPr>
          <w:bCs/>
          <w:sz w:val="20"/>
          <w:szCs w:val="20"/>
        </w:rPr>
        <w:t>satellite</w:t>
      </w:r>
      <w:proofErr w:type="spellEnd"/>
      <w:r w:rsidRPr="00264E84">
        <w:rPr>
          <w:bCs/>
          <w:sz w:val="20"/>
          <w:szCs w:val="20"/>
        </w:rPr>
        <w:t xml:space="preserve"> </w:t>
      </w:r>
      <w:proofErr w:type="spellStart"/>
      <w:r w:rsidRPr="00264E84">
        <w:rPr>
          <w:bCs/>
          <w:sz w:val="20"/>
          <w:szCs w:val="20"/>
        </w:rPr>
        <w:t>location</w:t>
      </w:r>
      <w:proofErr w:type="spellEnd"/>
      <w:r w:rsidRPr="00264E84">
        <w:rPr>
          <w:bCs/>
          <w:sz w:val="20"/>
          <w:szCs w:val="20"/>
        </w:rPr>
        <w:t xml:space="preserve"> </w:t>
      </w:r>
      <w:proofErr w:type="spellStart"/>
      <w:r w:rsidRPr="00264E84">
        <w:rPr>
          <w:bCs/>
          <w:sz w:val="20"/>
          <w:szCs w:val="20"/>
        </w:rPr>
        <w:t>information</w:t>
      </w:r>
      <w:proofErr w:type="spellEnd"/>
      <w:r w:rsidRPr="00264E84">
        <w:rPr>
          <w:bCs/>
          <w:sz w:val="20"/>
          <w:szCs w:val="20"/>
        </w:rPr>
        <w:t>.</w:t>
      </w:r>
    </w:p>
    <w:p w14:paraId="5D31AFB6" w14:textId="763A7392" w:rsidR="0020342B" w:rsidRPr="00264E84" w:rsidRDefault="0020342B" w:rsidP="00264E84">
      <w:pPr>
        <w:pStyle w:val="ListParagraph"/>
        <w:numPr>
          <w:ilvl w:val="0"/>
          <w:numId w:val="20"/>
        </w:numPr>
        <w:rPr>
          <w:bCs/>
          <w:sz w:val="20"/>
          <w:szCs w:val="20"/>
        </w:rPr>
      </w:pPr>
      <w:r w:rsidRPr="00264E84">
        <w:rPr>
          <w:bCs/>
          <w:sz w:val="20"/>
          <w:szCs w:val="20"/>
        </w:rPr>
        <w:t xml:space="preserve">Precision on </w:t>
      </w:r>
      <w:proofErr w:type="spellStart"/>
      <w:r w:rsidRPr="00264E84">
        <w:rPr>
          <w:bCs/>
          <w:sz w:val="20"/>
          <w:szCs w:val="20"/>
        </w:rPr>
        <w:t>the</w:t>
      </w:r>
      <w:proofErr w:type="spellEnd"/>
      <w:r w:rsidRPr="00264E84">
        <w:rPr>
          <w:bCs/>
          <w:sz w:val="20"/>
          <w:szCs w:val="20"/>
        </w:rPr>
        <w:t xml:space="preserve"> </w:t>
      </w:r>
      <w:proofErr w:type="spellStart"/>
      <w:r w:rsidRPr="00264E84">
        <w:rPr>
          <w:bCs/>
          <w:sz w:val="20"/>
          <w:szCs w:val="20"/>
        </w:rPr>
        <w:t>ephemeris</w:t>
      </w:r>
      <w:proofErr w:type="spellEnd"/>
      <w:r w:rsidRPr="00264E84">
        <w:rPr>
          <w:bCs/>
          <w:sz w:val="20"/>
          <w:szCs w:val="20"/>
        </w:rPr>
        <w:t xml:space="preserve"> data: it is still to be decided by 3GPP the format of the ephemeris information data. The precision of the ephemeris data (which is linked to the number of bits reserved for this information) is also another potential source of inaccuracy. </w:t>
      </w:r>
    </w:p>
    <w:p w14:paraId="0B02E962" w14:textId="3405C9A2" w:rsidR="0020342B" w:rsidRPr="00264E84" w:rsidRDefault="0020342B" w:rsidP="00264E84">
      <w:pPr>
        <w:pStyle w:val="ListParagraph"/>
        <w:numPr>
          <w:ilvl w:val="0"/>
          <w:numId w:val="20"/>
        </w:numPr>
        <w:rPr>
          <w:bCs/>
          <w:sz w:val="20"/>
          <w:szCs w:val="20"/>
        </w:rPr>
      </w:pPr>
      <w:r w:rsidRPr="00264E84">
        <w:rPr>
          <w:bCs/>
          <w:sz w:val="20"/>
          <w:szCs w:val="20"/>
        </w:rPr>
        <w:t xml:space="preserve">GNSS </w:t>
      </w:r>
      <w:proofErr w:type="spellStart"/>
      <w:r w:rsidRPr="00264E84">
        <w:rPr>
          <w:bCs/>
          <w:sz w:val="20"/>
          <w:szCs w:val="20"/>
        </w:rPr>
        <w:t>inaccuracy</w:t>
      </w:r>
      <w:proofErr w:type="spellEnd"/>
      <w:r w:rsidRPr="00264E84">
        <w:rPr>
          <w:bCs/>
          <w:sz w:val="20"/>
          <w:szCs w:val="20"/>
        </w:rPr>
        <w:t xml:space="preserve">: </w:t>
      </w:r>
      <w:proofErr w:type="spellStart"/>
      <w:r w:rsidRPr="00264E84">
        <w:rPr>
          <w:bCs/>
          <w:sz w:val="20"/>
          <w:szCs w:val="20"/>
        </w:rPr>
        <w:t>The</w:t>
      </w:r>
      <w:proofErr w:type="spellEnd"/>
      <w:r w:rsidRPr="00264E84">
        <w:rPr>
          <w:bCs/>
          <w:sz w:val="20"/>
          <w:szCs w:val="20"/>
        </w:rPr>
        <w:t xml:space="preserve"> </w:t>
      </w:r>
      <w:proofErr w:type="spellStart"/>
      <w:r w:rsidRPr="00264E84">
        <w:rPr>
          <w:bCs/>
          <w:sz w:val="20"/>
          <w:szCs w:val="20"/>
        </w:rPr>
        <w:t>official</w:t>
      </w:r>
      <w:proofErr w:type="spellEnd"/>
      <w:r w:rsidRPr="00264E84">
        <w:rPr>
          <w:bCs/>
          <w:sz w:val="20"/>
          <w:szCs w:val="20"/>
        </w:rPr>
        <w:t xml:space="preserve"> </w:t>
      </w:r>
      <w:proofErr w:type="spellStart"/>
      <w:r w:rsidRPr="00264E84">
        <w:rPr>
          <w:bCs/>
          <w:sz w:val="20"/>
          <w:szCs w:val="20"/>
        </w:rPr>
        <w:t>page</w:t>
      </w:r>
      <w:proofErr w:type="spellEnd"/>
      <w:r w:rsidRPr="00264E84">
        <w:rPr>
          <w:bCs/>
          <w:sz w:val="20"/>
          <w:szCs w:val="20"/>
        </w:rPr>
        <w:t xml:space="preserve"> of GPS </w:t>
      </w:r>
      <w:proofErr w:type="spellStart"/>
      <w:r w:rsidRPr="00264E84">
        <w:rPr>
          <w:bCs/>
          <w:sz w:val="20"/>
          <w:szCs w:val="20"/>
        </w:rPr>
        <w:t>describes</w:t>
      </w:r>
      <w:proofErr w:type="spellEnd"/>
      <w:r w:rsidRPr="00264E84">
        <w:rPr>
          <w:bCs/>
          <w:sz w:val="20"/>
          <w:szCs w:val="20"/>
        </w:rPr>
        <w:t xml:space="preserve"> </w:t>
      </w:r>
      <w:proofErr w:type="spellStart"/>
      <w:r w:rsidRPr="00264E84">
        <w:rPr>
          <w:bCs/>
          <w:sz w:val="20"/>
          <w:szCs w:val="20"/>
        </w:rPr>
        <w:t>several</w:t>
      </w:r>
      <w:proofErr w:type="spellEnd"/>
      <w:r w:rsidRPr="00264E84">
        <w:rPr>
          <w:bCs/>
          <w:sz w:val="20"/>
          <w:szCs w:val="20"/>
        </w:rPr>
        <w:t xml:space="preserve"> </w:t>
      </w:r>
      <w:proofErr w:type="spellStart"/>
      <w:r w:rsidRPr="00264E84">
        <w:rPr>
          <w:bCs/>
          <w:sz w:val="20"/>
          <w:szCs w:val="20"/>
        </w:rPr>
        <w:t>factors</w:t>
      </w:r>
      <w:proofErr w:type="spellEnd"/>
      <w:r w:rsidRPr="00264E84">
        <w:rPr>
          <w:bCs/>
          <w:sz w:val="20"/>
          <w:szCs w:val="20"/>
        </w:rPr>
        <w:t xml:space="preserve"> </w:t>
      </w:r>
      <w:proofErr w:type="spellStart"/>
      <w:r w:rsidRPr="00264E84">
        <w:rPr>
          <w:bCs/>
          <w:sz w:val="20"/>
          <w:szCs w:val="20"/>
        </w:rPr>
        <w:t>that</w:t>
      </w:r>
      <w:proofErr w:type="spellEnd"/>
      <w:r w:rsidRPr="00264E84">
        <w:rPr>
          <w:bCs/>
          <w:sz w:val="20"/>
          <w:szCs w:val="20"/>
        </w:rPr>
        <w:t xml:space="preserve"> </w:t>
      </w:r>
      <w:proofErr w:type="spellStart"/>
      <w:r w:rsidRPr="00264E84">
        <w:rPr>
          <w:bCs/>
          <w:sz w:val="20"/>
          <w:szCs w:val="20"/>
        </w:rPr>
        <w:t>may</w:t>
      </w:r>
      <w:proofErr w:type="spellEnd"/>
      <w:r w:rsidRPr="00264E84">
        <w:rPr>
          <w:bCs/>
          <w:sz w:val="20"/>
          <w:szCs w:val="20"/>
        </w:rPr>
        <w:t xml:space="preserve"> </w:t>
      </w:r>
      <w:proofErr w:type="spellStart"/>
      <w:r w:rsidRPr="00264E84">
        <w:rPr>
          <w:bCs/>
          <w:sz w:val="20"/>
          <w:szCs w:val="20"/>
        </w:rPr>
        <w:t>degrade</w:t>
      </w:r>
      <w:proofErr w:type="spellEnd"/>
      <w:r w:rsidRPr="00264E84">
        <w:rPr>
          <w:bCs/>
          <w:sz w:val="20"/>
          <w:szCs w:val="20"/>
        </w:rPr>
        <w:t xml:space="preserve"> </w:t>
      </w:r>
      <w:proofErr w:type="spellStart"/>
      <w:r w:rsidRPr="00264E84">
        <w:rPr>
          <w:bCs/>
          <w:sz w:val="20"/>
          <w:szCs w:val="20"/>
        </w:rPr>
        <w:t>the</w:t>
      </w:r>
      <w:proofErr w:type="spellEnd"/>
      <w:r w:rsidRPr="00264E84">
        <w:rPr>
          <w:bCs/>
          <w:sz w:val="20"/>
          <w:szCs w:val="20"/>
        </w:rPr>
        <w:t xml:space="preserve"> GPS </w:t>
      </w:r>
      <w:proofErr w:type="spellStart"/>
      <w:r w:rsidRPr="00264E84">
        <w:rPr>
          <w:bCs/>
          <w:sz w:val="20"/>
          <w:szCs w:val="20"/>
        </w:rPr>
        <w:t>positioning</w:t>
      </w:r>
      <w:proofErr w:type="spellEnd"/>
      <w:r w:rsidRPr="00264E84">
        <w:rPr>
          <w:bCs/>
          <w:sz w:val="20"/>
          <w:szCs w:val="20"/>
        </w:rPr>
        <w:t xml:space="preserve"> </w:t>
      </w:r>
      <w:proofErr w:type="spellStart"/>
      <w:r w:rsidRPr="00264E84">
        <w:rPr>
          <w:bCs/>
          <w:sz w:val="20"/>
          <w:szCs w:val="20"/>
        </w:rPr>
        <w:t>accuracy</w:t>
      </w:r>
      <w:proofErr w:type="spellEnd"/>
      <w:r w:rsidRPr="00264E84">
        <w:rPr>
          <w:bCs/>
          <w:sz w:val="20"/>
          <w:szCs w:val="20"/>
        </w:rPr>
        <w:t xml:space="preserve"> of </w:t>
      </w:r>
      <w:proofErr w:type="spellStart"/>
      <w:r w:rsidRPr="00264E84">
        <w:rPr>
          <w:bCs/>
          <w:sz w:val="20"/>
          <w:szCs w:val="20"/>
        </w:rPr>
        <w:t>the</w:t>
      </w:r>
      <w:proofErr w:type="spellEnd"/>
      <w:r w:rsidRPr="00264E84">
        <w:rPr>
          <w:bCs/>
          <w:sz w:val="20"/>
          <w:szCs w:val="20"/>
        </w:rPr>
        <w:t xml:space="preserve"> UE</w:t>
      </w:r>
      <w:r w:rsidR="00F35C8F">
        <w:rPr>
          <w:bCs/>
          <w:sz w:val="20"/>
          <w:szCs w:val="20"/>
        </w:rPr>
        <w:t xml:space="preserve"> </w:t>
      </w:r>
      <w:r w:rsidR="00F35C8F">
        <w:rPr>
          <w:bCs/>
          <w:sz w:val="20"/>
          <w:szCs w:val="20"/>
        </w:rPr>
        <w:fldChar w:fldCharType="begin"/>
      </w:r>
      <w:r w:rsidR="00F35C8F">
        <w:rPr>
          <w:bCs/>
          <w:sz w:val="20"/>
          <w:szCs w:val="20"/>
        </w:rPr>
        <w:instrText xml:space="preserve"> REF _Ref47687764 \n \h </w:instrText>
      </w:r>
      <w:r w:rsidR="00F35C8F">
        <w:rPr>
          <w:bCs/>
          <w:sz w:val="20"/>
          <w:szCs w:val="20"/>
        </w:rPr>
      </w:r>
      <w:r w:rsidR="00F35C8F">
        <w:rPr>
          <w:bCs/>
          <w:sz w:val="20"/>
          <w:szCs w:val="20"/>
        </w:rPr>
        <w:fldChar w:fldCharType="separate"/>
      </w:r>
      <w:r w:rsidR="00F35C8F">
        <w:rPr>
          <w:bCs/>
          <w:sz w:val="20"/>
          <w:szCs w:val="20"/>
        </w:rPr>
        <w:t>[5]</w:t>
      </w:r>
      <w:r w:rsidR="00F35C8F">
        <w:rPr>
          <w:bCs/>
          <w:sz w:val="20"/>
          <w:szCs w:val="20"/>
        </w:rPr>
        <w:fldChar w:fldCharType="end"/>
      </w:r>
      <w:r w:rsidRPr="00264E84">
        <w:rPr>
          <w:bCs/>
          <w:sz w:val="20"/>
          <w:szCs w:val="20"/>
        </w:rPr>
        <w:t xml:space="preserve">. For </w:t>
      </w:r>
      <w:proofErr w:type="spellStart"/>
      <w:r w:rsidRPr="00264E84">
        <w:rPr>
          <w:bCs/>
          <w:sz w:val="20"/>
          <w:szCs w:val="20"/>
        </w:rPr>
        <w:t>example</w:t>
      </w:r>
      <w:proofErr w:type="spellEnd"/>
      <w:r w:rsidRPr="00264E84">
        <w:rPr>
          <w:bCs/>
          <w:sz w:val="20"/>
          <w:szCs w:val="20"/>
        </w:rPr>
        <w:t xml:space="preserve">: </w:t>
      </w:r>
      <w:proofErr w:type="spellStart"/>
      <w:r w:rsidRPr="00264E84">
        <w:rPr>
          <w:bCs/>
          <w:sz w:val="20"/>
          <w:szCs w:val="20"/>
        </w:rPr>
        <w:t>signal</w:t>
      </w:r>
      <w:proofErr w:type="spellEnd"/>
      <w:r w:rsidRPr="00264E84">
        <w:rPr>
          <w:bCs/>
          <w:sz w:val="20"/>
          <w:szCs w:val="20"/>
        </w:rPr>
        <w:t xml:space="preserve"> </w:t>
      </w:r>
      <w:proofErr w:type="spellStart"/>
      <w:r w:rsidRPr="00264E84">
        <w:rPr>
          <w:bCs/>
          <w:sz w:val="20"/>
          <w:szCs w:val="20"/>
        </w:rPr>
        <w:t>blockage</w:t>
      </w:r>
      <w:proofErr w:type="spellEnd"/>
      <w:r w:rsidRPr="00264E84">
        <w:rPr>
          <w:bCs/>
          <w:sz w:val="20"/>
          <w:szCs w:val="20"/>
        </w:rPr>
        <w:t xml:space="preserve"> </w:t>
      </w:r>
      <w:proofErr w:type="spellStart"/>
      <w:r w:rsidRPr="00264E84">
        <w:rPr>
          <w:bCs/>
          <w:sz w:val="20"/>
          <w:szCs w:val="20"/>
        </w:rPr>
        <w:t>from</w:t>
      </w:r>
      <w:proofErr w:type="spellEnd"/>
      <w:r w:rsidRPr="00264E84">
        <w:rPr>
          <w:bCs/>
          <w:sz w:val="20"/>
          <w:szCs w:val="20"/>
        </w:rPr>
        <w:t xml:space="preserve"> </w:t>
      </w:r>
      <w:proofErr w:type="spellStart"/>
      <w:r w:rsidRPr="00264E84">
        <w:rPr>
          <w:bCs/>
          <w:sz w:val="20"/>
          <w:szCs w:val="20"/>
        </w:rPr>
        <w:t>buildings</w:t>
      </w:r>
      <w:proofErr w:type="spellEnd"/>
      <w:r w:rsidRPr="00264E84">
        <w:rPr>
          <w:bCs/>
          <w:sz w:val="20"/>
          <w:szCs w:val="20"/>
        </w:rPr>
        <w:t xml:space="preserve">, </w:t>
      </w:r>
      <w:proofErr w:type="spellStart"/>
      <w:r w:rsidRPr="00264E84">
        <w:rPr>
          <w:bCs/>
          <w:sz w:val="20"/>
          <w:szCs w:val="20"/>
        </w:rPr>
        <w:t>signal</w:t>
      </w:r>
      <w:proofErr w:type="spellEnd"/>
      <w:r w:rsidRPr="00264E84">
        <w:rPr>
          <w:bCs/>
          <w:sz w:val="20"/>
          <w:szCs w:val="20"/>
        </w:rPr>
        <w:t xml:space="preserve"> </w:t>
      </w:r>
      <w:proofErr w:type="spellStart"/>
      <w:r w:rsidRPr="00264E84">
        <w:rPr>
          <w:bCs/>
          <w:sz w:val="20"/>
          <w:szCs w:val="20"/>
        </w:rPr>
        <w:t>reflection</w:t>
      </w:r>
      <w:proofErr w:type="spellEnd"/>
      <w:r w:rsidRPr="00264E84">
        <w:rPr>
          <w:bCs/>
          <w:sz w:val="20"/>
          <w:szCs w:val="20"/>
        </w:rPr>
        <w:t xml:space="preserve"> (</w:t>
      </w:r>
      <w:proofErr w:type="spellStart"/>
      <w:r w:rsidRPr="00264E84">
        <w:rPr>
          <w:bCs/>
          <w:sz w:val="20"/>
          <w:szCs w:val="20"/>
        </w:rPr>
        <w:t>multipath</w:t>
      </w:r>
      <w:proofErr w:type="spellEnd"/>
      <w:r w:rsidRPr="00264E84">
        <w:rPr>
          <w:bCs/>
          <w:sz w:val="20"/>
          <w:szCs w:val="20"/>
        </w:rPr>
        <w:t xml:space="preserve">), radio </w:t>
      </w:r>
      <w:proofErr w:type="spellStart"/>
      <w:r w:rsidRPr="00264E84">
        <w:rPr>
          <w:bCs/>
          <w:sz w:val="20"/>
          <w:szCs w:val="20"/>
        </w:rPr>
        <w:t>interference</w:t>
      </w:r>
      <w:proofErr w:type="spellEnd"/>
      <w:r w:rsidRPr="00264E84">
        <w:rPr>
          <w:bCs/>
          <w:sz w:val="20"/>
          <w:szCs w:val="20"/>
        </w:rPr>
        <w:t xml:space="preserve"> </w:t>
      </w:r>
      <w:proofErr w:type="spellStart"/>
      <w:r w:rsidRPr="00264E84">
        <w:rPr>
          <w:bCs/>
          <w:sz w:val="20"/>
          <w:szCs w:val="20"/>
        </w:rPr>
        <w:t>or</w:t>
      </w:r>
      <w:proofErr w:type="spellEnd"/>
      <w:r w:rsidRPr="00264E84">
        <w:rPr>
          <w:bCs/>
          <w:sz w:val="20"/>
          <w:szCs w:val="20"/>
        </w:rPr>
        <w:t xml:space="preserve"> </w:t>
      </w:r>
      <w:proofErr w:type="spellStart"/>
      <w:r w:rsidRPr="00264E84">
        <w:rPr>
          <w:bCs/>
          <w:sz w:val="20"/>
          <w:szCs w:val="20"/>
        </w:rPr>
        <w:t>jamming</w:t>
      </w:r>
      <w:proofErr w:type="spellEnd"/>
      <w:r w:rsidRPr="00264E84">
        <w:rPr>
          <w:bCs/>
          <w:sz w:val="20"/>
          <w:szCs w:val="20"/>
        </w:rPr>
        <w:t xml:space="preserve">, </w:t>
      </w:r>
      <w:proofErr w:type="spellStart"/>
      <w:r w:rsidRPr="00264E84">
        <w:rPr>
          <w:bCs/>
          <w:sz w:val="20"/>
          <w:szCs w:val="20"/>
        </w:rPr>
        <w:t>solar</w:t>
      </w:r>
      <w:proofErr w:type="spellEnd"/>
      <w:r w:rsidRPr="00264E84">
        <w:rPr>
          <w:bCs/>
          <w:sz w:val="20"/>
          <w:szCs w:val="20"/>
        </w:rPr>
        <w:t xml:space="preserve"> </w:t>
      </w:r>
      <w:proofErr w:type="spellStart"/>
      <w:r w:rsidRPr="00264E84">
        <w:rPr>
          <w:bCs/>
          <w:sz w:val="20"/>
          <w:szCs w:val="20"/>
        </w:rPr>
        <w:t>storms</w:t>
      </w:r>
      <w:proofErr w:type="spellEnd"/>
      <w:r w:rsidRPr="00264E84">
        <w:rPr>
          <w:bCs/>
          <w:sz w:val="20"/>
          <w:szCs w:val="20"/>
        </w:rPr>
        <w:t xml:space="preserve">, </w:t>
      </w:r>
      <w:proofErr w:type="spellStart"/>
      <w:r w:rsidRPr="00264E84">
        <w:rPr>
          <w:bCs/>
          <w:sz w:val="20"/>
          <w:szCs w:val="20"/>
        </w:rPr>
        <w:t>satellite</w:t>
      </w:r>
      <w:proofErr w:type="spellEnd"/>
      <w:r w:rsidRPr="00264E84">
        <w:rPr>
          <w:bCs/>
          <w:sz w:val="20"/>
          <w:szCs w:val="20"/>
        </w:rPr>
        <w:t xml:space="preserve"> </w:t>
      </w:r>
      <w:proofErr w:type="spellStart"/>
      <w:r w:rsidRPr="00264E84">
        <w:rPr>
          <w:bCs/>
          <w:sz w:val="20"/>
          <w:szCs w:val="20"/>
        </w:rPr>
        <w:t>maintenance</w:t>
      </w:r>
      <w:proofErr w:type="spellEnd"/>
      <w:r w:rsidRPr="00264E84">
        <w:rPr>
          <w:bCs/>
          <w:sz w:val="20"/>
          <w:szCs w:val="20"/>
        </w:rPr>
        <w:t>/</w:t>
      </w:r>
      <w:proofErr w:type="spellStart"/>
      <w:r w:rsidRPr="00264E84">
        <w:rPr>
          <w:bCs/>
          <w:sz w:val="20"/>
          <w:szCs w:val="20"/>
        </w:rPr>
        <w:t>maneuvers</w:t>
      </w:r>
      <w:proofErr w:type="spellEnd"/>
      <w:r w:rsidRPr="00264E84">
        <w:rPr>
          <w:bCs/>
          <w:sz w:val="20"/>
          <w:szCs w:val="20"/>
        </w:rPr>
        <w:t xml:space="preserve">, </w:t>
      </w:r>
      <w:proofErr w:type="spellStart"/>
      <w:r w:rsidRPr="00264E84">
        <w:rPr>
          <w:bCs/>
          <w:sz w:val="20"/>
          <w:szCs w:val="20"/>
        </w:rPr>
        <w:t>quality</w:t>
      </w:r>
      <w:proofErr w:type="spellEnd"/>
      <w:r w:rsidRPr="00264E84">
        <w:rPr>
          <w:bCs/>
          <w:sz w:val="20"/>
          <w:szCs w:val="20"/>
        </w:rPr>
        <w:t xml:space="preserve"> of </w:t>
      </w:r>
      <w:proofErr w:type="spellStart"/>
      <w:r w:rsidRPr="00264E84">
        <w:rPr>
          <w:bCs/>
          <w:sz w:val="20"/>
          <w:szCs w:val="20"/>
        </w:rPr>
        <w:t>the</w:t>
      </w:r>
      <w:proofErr w:type="spellEnd"/>
      <w:r w:rsidRPr="00264E84">
        <w:rPr>
          <w:bCs/>
          <w:sz w:val="20"/>
          <w:szCs w:val="20"/>
        </w:rPr>
        <w:t xml:space="preserve"> GPS </w:t>
      </w:r>
      <w:proofErr w:type="spellStart"/>
      <w:r w:rsidRPr="00264E84">
        <w:rPr>
          <w:bCs/>
          <w:sz w:val="20"/>
          <w:szCs w:val="20"/>
        </w:rPr>
        <w:t>device</w:t>
      </w:r>
      <w:proofErr w:type="spellEnd"/>
      <w:r w:rsidRPr="00264E84">
        <w:rPr>
          <w:bCs/>
          <w:sz w:val="20"/>
          <w:szCs w:val="20"/>
        </w:rPr>
        <w:t xml:space="preserve">. </w:t>
      </w:r>
    </w:p>
    <w:p w14:paraId="28A0A651" w14:textId="6DFC528B" w:rsidR="0020342B" w:rsidRPr="00264E84" w:rsidRDefault="0020342B" w:rsidP="00264E84">
      <w:pPr>
        <w:pStyle w:val="ListParagraph"/>
        <w:numPr>
          <w:ilvl w:val="0"/>
          <w:numId w:val="20"/>
        </w:numPr>
        <w:rPr>
          <w:bCs/>
          <w:sz w:val="20"/>
          <w:szCs w:val="20"/>
        </w:rPr>
      </w:pPr>
      <w:proofErr w:type="spellStart"/>
      <w:r w:rsidRPr="00264E84">
        <w:rPr>
          <w:bCs/>
          <w:sz w:val="20"/>
          <w:szCs w:val="20"/>
        </w:rPr>
        <w:t>Orbit</w:t>
      </w:r>
      <w:proofErr w:type="spellEnd"/>
      <w:r w:rsidRPr="00264E84">
        <w:rPr>
          <w:bCs/>
          <w:sz w:val="20"/>
          <w:szCs w:val="20"/>
        </w:rPr>
        <w:t xml:space="preserve"> </w:t>
      </w:r>
      <w:proofErr w:type="spellStart"/>
      <w:r w:rsidRPr="00264E84">
        <w:rPr>
          <w:bCs/>
          <w:sz w:val="20"/>
          <w:szCs w:val="20"/>
        </w:rPr>
        <w:t>Perturbation</w:t>
      </w:r>
      <w:proofErr w:type="spellEnd"/>
      <w:r w:rsidRPr="00264E84">
        <w:rPr>
          <w:bCs/>
          <w:sz w:val="20"/>
          <w:szCs w:val="20"/>
        </w:rPr>
        <w:t xml:space="preserve">: As </w:t>
      </w:r>
      <w:proofErr w:type="spellStart"/>
      <w:r w:rsidRPr="00264E84">
        <w:rPr>
          <w:bCs/>
          <w:sz w:val="20"/>
          <w:szCs w:val="20"/>
        </w:rPr>
        <w:t>described</w:t>
      </w:r>
      <w:proofErr w:type="spellEnd"/>
      <w:r w:rsidRPr="00264E84">
        <w:rPr>
          <w:bCs/>
          <w:sz w:val="20"/>
          <w:szCs w:val="20"/>
        </w:rPr>
        <w:t xml:space="preserve"> in </w:t>
      </w:r>
      <w:r w:rsidR="008B5A68" w:rsidRPr="00264E84">
        <w:rPr>
          <w:bCs/>
          <w:sz w:val="20"/>
          <w:szCs w:val="20"/>
        </w:rPr>
        <w:fldChar w:fldCharType="begin"/>
      </w:r>
      <w:r w:rsidR="008B5A68" w:rsidRPr="00264E84">
        <w:rPr>
          <w:bCs/>
          <w:sz w:val="20"/>
          <w:szCs w:val="20"/>
        </w:rPr>
        <w:instrText xml:space="preserve"> REF _Ref47620311 \n \h </w:instrText>
      </w:r>
      <w:r w:rsidR="00264E84">
        <w:rPr>
          <w:bCs/>
          <w:sz w:val="20"/>
          <w:szCs w:val="20"/>
        </w:rPr>
        <w:instrText xml:space="preserve"> \* MERGEFORMAT </w:instrText>
      </w:r>
      <w:r w:rsidR="008B5A68" w:rsidRPr="00264E84">
        <w:rPr>
          <w:bCs/>
          <w:sz w:val="20"/>
          <w:szCs w:val="20"/>
        </w:rPr>
      </w:r>
      <w:r w:rsidR="008B5A68" w:rsidRPr="00264E84">
        <w:rPr>
          <w:bCs/>
          <w:sz w:val="20"/>
          <w:szCs w:val="20"/>
        </w:rPr>
        <w:fldChar w:fldCharType="separate"/>
      </w:r>
      <w:r w:rsidR="00F35C8F">
        <w:rPr>
          <w:bCs/>
          <w:sz w:val="20"/>
          <w:szCs w:val="20"/>
        </w:rPr>
        <w:t>[6]</w:t>
      </w:r>
      <w:r w:rsidR="008B5A68" w:rsidRPr="00264E84">
        <w:rPr>
          <w:bCs/>
          <w:sz w:val="20"/>
          <w:szCs w:val="20"/>
        </w:rPr>
        <w:fldChar w:fldCharType="end"/>
      </w:r>
      <w:r w:rsidR="008B5A68" w:rsidRPr="00264E84">
        <w:rPr>
          <w:bCs/>
          <w:sz w:val="20"/>
          <w:szCs w:val="20"/>
        </w:rPr>
        <w:t xml:space="preserve"> </w:t>
      </w:r>
      <w:proofErr w:type="spellStart"/>
      <w:r w:rsidRPr="00264E84">
        <w:rPr>
          <w:bCs/>
          <w:sz w:val="20"/>
          <w:szCs w:val="20"/>
        </w:rPr>
        <w:t>there</w:t>
      </w:r>
      <w:proofErr w:type="spellEnd"/>
      <w:r w:rsidRPr="00264E84">
        <w:rPr>
          <w:bCs/>
          <w:sz w:val="20"/>
          <w:szCs w:val="20"/>
        </w:rPr>
        <w:t xml:space="preserve"> </w:t>
      </w:r>
      <w:proofErr w:type="spellStart"/>
      <w:r w:rsidRPr="00264E84">
        <w:rPr>
          <w:bCs/>
          <w:sz w:val="20"/>
          <w:szCs w:val="20"/>
        </w:rPr>
        <w:t>are</w:t>
      </w:r>
      <w:proofErr w:type="spellEnd"/>
      <w:r w:rsidRPr="00264E84">
        <w:rPr>
          <w:bCs/>
          <w:sz w:val="20"/>
          <w:szCs w:val="20"/>
        </w:rPr>
        <w:t xml:space="preserve"> </w:t>
      </w:r>
      <w:proofErr w:type="spellStart"/>
      <w:r w:rsidRPr="00264E84">
        <w:rPr>
          <w:bCs/>
          <w:sz w:val="20"/>
          <w:szCs w:val="20"/>
        </w:rPr>
        <w:t>several</w:t>
      </w:r>
      <w:proofErr w:type="spellEnd"/>
      <w:r w:rsidRPr="00264E84">
        <w:rPr>
          <w:bCs/>
          <w:sz w:val="20"/>
          <w:szCs w:val="20"/>
        </w:rPr>
        <w:t xml:space="preserve"> </w:t>
      </w:r>
      <w:proofErr w:type="spellStart"/>
      <w:r w:rsidRPr="00264E84">
        <w:rPr>
          <w:bCs/>
          <w:sz w:val="20"/>
          <w:szCs w:val="20"/>
        </w:rPr>
        <w:t>factors</w:t>
      </w:r>
      <w:proofErr w:type="spellEnd"/>
      <w:r w:rsidRPr="00264E84">
        <w:rPr>
          <w:bCs/>
          <w:sz w:val="20"/>
          <w:szCs w:val="20"/>
        </w:rPr>
        <w:t xml:space="preserve"> </w:t>
      </w:r>
      <w:proofErr w:type="spellStart"/>
      <w:r w:rsidRPr="00264E84">
        <w:rPr>
          <w:bCs/>
          <w:sz w:val="20"/>
          <w:szCs w:val="20"/>
        </w:rPr>
        <w:t>that</w:t>
      </w:r>
      <w:proofErr w:type="spellEnd"/>
      <w:r w:rsidRPr="00264E84">
        <w:rPr>
          <w:bCs/>
          <w:sz w:val="20"/>
          <w:szCs w:val="20"/>
        </w:rPr>
        <w:t xml:space="preserve"> </w:t>
      </w:r>
      <w:proofErr w:type="spellStart"/>
      <w:r w:rsidRPr="00264E84">
        <w:rPr>
          <w:bCs/>
          <w:sz w:val="20"/>
          <w:szCs w:val="20"/>
        </w:rPr>
        <w:t>may</w:t>
      </w:r>
      <w:proofErr w:type="spellEnd"/>
      <w:r w:rsidRPr="00264E84">
        <w:rPr>
          <w:bCs/>
          <w:sz w:val="20"/>
          <w:szCs w:val="20"/>
        </w:rPr>
        <w:t xml:space="preserve"> </w:t>
      </w:r>
      <w:proofErr w:type="spellStart"/>
      <w:r w:rsidRPr="00264E84">
        <w:rPr>
          <w:bCs/>
          <w:sz w:val="20"/>
          <w:szCs w:val="20"/>
        </w:rPr>
        <w:t>interfere</w:t>
      </w:r>
      <w:proofErr w:type="spellEnd"/>
      <w:r w:rsidRPr="00264E84">
        <w:rPr>
          <w:bCs/>
          <w:sz w:val="20"/>
          <w:szCs w:val="20"/>
        </w:rPr>
        <w:t xml:space="preserve"> to the satellite, causing deviation from the pre-designed orbit. Example: atmospheric drag, solar radiation pressure, Earth oblateness and gravity of other celestial bodies. For LEO </w:t>
      </w:r>
      <w:proofErr w:type="spellStart"/>
      <w:r w:rsidRPr="00264E84">
        <w:rPr>
          <w:bCs/>
          <w:sz w:val="20"/>
          <w:szCs w:val="20"/>
        </w:rPr>
        <w:t>satellites</w:t>
      </w:r>
      <w:proofErr w:type="spellEnd"/>
      <w:r w:rsidRPr="00264E84">
        <w:rPr>
          <w:bCs/>
          <w:sz w:val="20"/>
          <w:szCs w:val="20"/>
        </w:rPr>
        <w:t xml:space="preserve">, </w:t>
      </w:r>
      <w:proofErr w:type="spellStart"/>
      <w:r w:rsidRPr="00264E84">
        <w:rPr>
          <w:bCs/>
          <w:sz w:val="20"/>
          <w:szCs w:val="20"/>
        </w:rPr>
        <w:t>over</w:t>
      </w:r>
      <w:proofErr w:type="spellEnd"/>
      <w:r w:rsidRPr="00264E84">
        <w:rPr>
          <w:bCs/>
          <w:sz w:val="20"/>
          <w:szCs w:val="20"/>
        </w:rPr>
        <w:t xml:space="preserve"> long </w:t>
      </w:r>
      <w:proofErr w:type="spellStart"/>
      <w:r w:rsidRPr="00264E84">
        <w:rPr>
          <w:bCs/>
          <w:sz w:val="20"/>
          <w:szCs w:val="20"/>
        </w:rPr>
        <w:t>periods</w:t>
      </w:r>
      <w:proofErr w:type="spellEnd"/>
      <w:r w:rsidRPr="00264E84">
        <w:rPr>
          <w:bCs/>
          <w:sz w:val="20"/>
          <w:szCs w:val="20"/>
        </w:rPr>
        <w:t xml:space="preserve"> of </w:t>
      </w:r>
      <w:proofErr w:type="spellStart"/>
      <w:r w:rsidRPr="00264E84">
        <w:rPr>
          <w:bCs/>
          <w:sz w:val="20"/>
          <w:szCs w:val="20"/>
        </w:rPr>
        <w:t>time</w:t>
      </w:r>
      <w:proofErr w:type="spellEnd"/>
      <w:r w:rsidRPr="00264E84">
        <w:rPr>
          <w:bCs/>
          <w:sz w:val="20"/>
          <w:szCs w:val="20"/>
        </w:rPr>
        <w:t xml:space="preserve">, </w:t>
      </w:r>
      <w:proofErr w:type="spellStart"/>
      <w:r w:rsidRPr="00264E84">
        <w:rPr>
          <w:bCs/>
          <w:sz w:val="20"/>
          <w:szCs w:val="20"/>
        </w:rPr>
        <w:t>this</w:t>
      </w:r>
      <w:proofErr w:type="spellEnd"/>
      <w:r w:rsidRPr="00264E84">
        <w:rPr>
          <w:bCs/>
          <w:sz w:val="20"/>
          <w:szCs w:val="20"/>
        </w:rPr>
        <w:t xml:space="preserve"> </w:t>
      </w:r>
      <w:proofErr w:type="spellStart"/>
      <w:r w:rsidRPr="00264E84">
        <w:rPr>
          <w:bCs/>
          <w:sz w:val="20"/>
          <w:szCs w:val="20"/>
        </w:rPr>
        <w:t>may</w:t>
      </w:r>
      <w:proofErr w:type="spellEnd"/>
      <w:r w:rsidRPr="00264E84">
        <w:rPr>
          <w:bCs/>
          <w:sz w:val="20"/>
          <w:szCs w:val="20"/>
        </w:rPr>
        <w:t xml:space="preserve"> </w:t>
      </w:r>
      <w:proofErr w:type="spellStart"/>
      <w:r w:rsidRPr="00264E84">
        <w:rPr>
          <w:bCs/>
          <w:sz w:val="20"/>
          <w:szCs w:val="20"/>
        </w:rPr>
        <w:t>lead</w:t>
      </w:r>
      <w:proofErr w:type="spellEnd"/>
      <w:r w:rsidRPr="00264E84">
        <w:rPr>
          <w:bCs/>
          <w:sz w:val="20"/>
          <w:szCs w:val="20"/>
        </w:rPr>
        <w:t xml:space="preserve"> to </w:t>
      </w:r>
      <w:proofErr w:type="spellStart"/>
      <w:r w:rsidRPr="00264E84">
        <w:rPr>
          <w:bCs/>
          <w:sz w:val="20"/>
          <w:szCs w:val="20"/>
        </w:rPr>
        <w:t>significant</w:t>
      </w:r>
      <w:proofErr w:type="spellEnd"/>
      <w:r w:rsidRPr="00264E84">
        <w:rPr>
          <w:bCs/>
          <w:sz w:val="20"/>
          <w:szCs w:val="20"/>
        </w:rPr>
        <w:t xml:space="preserve"> </w:t>
      </w:r>
      <w:proofErr w:type="spellStart"/>
      <w:r w:rsidRPr="00264E84">
        <w:rPr>
          <w:bCs/>
          <w:sz w:val="20"/>
          <w:szCs w:val="20"/>
        </w:rPr>
        <w:t>displacement</w:t>
      </w:r>
      <w:proofErr w:type="spellEnd"/>
      <w:r w:rsidRPr="00264E84">
        <w:rPr>
          <w:bCs/>
          <w:sz w:val="20"/>
          <w:szCs w:val="20"/>
        </w:rPr>
        <w:t xml:space="preserve"> of </w:t>
      </w:r>
      <w:proofErr w:type="spellStart"/>
      <w:r w:rsidRPr="00264E84">
        <w:rPr>
          <w:bCs/>
          <w:sz w:val="20"/>
          <w:szCs w:val="20"/>
        </w:rPr>
        <w:t>the</w:t>
      </w:r>
      <w:proofErr w:type="spellEnd"/>
      <w:r w:rsidRPr="00264E84">
        <w:rPr>
          <w:bCs/>
          <w:sz w:val="20"/>
          <w:szCs w:val="20"/>
        </w:rPr>
        <w:t xml:space="preserve"> </w:t>
      </w:r>
      <w:proofErr w:type="spellStart"/>
      <w:r w:rsidRPr="00264E84">
        <w:rPr>
          <w:bCs/>
          <w:sz w:val="20"/>
          <w:szCs w:val="20"/>
        </w:rPr>
        <w:t>satellite</w:t>
      </w:r>
      <w:proofErr w:type="spellEnd"/>
      <w:r w:rsidRPr="00264E84">
        <w:rPr>
          <w:bCs/>
          <w:sz w:val="20"/>
          <w:szCs w:val="20"/>
        </w:rPr>
        <w:t xml:space="preserve"> </w:t>
      </w:r>
      <w:proofErr w:type="spellStart"/>
      <w:r w:rsidRPr="00264E84">
        <w:rPr>
          <w:bCs/>
          <w:sz w:val="20"/>
          <w:szCs w:val="20"/>
        </w:rPr>
        <w:t>from</w:t>
      </w:r>
      <w:proofErr w:type="spellEnd"/>
      <w:r w:rsidRPr="00264E84">
        <w:rPr>
          <w:bCs/>
          <w:sz w:val="20"/>
          <w:szCs w:val="20"/>
        </w:rPr>
        <w:t xml:space="preserve"> </w:t>
      </w:r>
      <w:proofErr w:type="spellStart"/>
      <w:r w:rsidRPr="00264E84">
        <w:rPr>
          <w:bCs/>
          <w:sz w:val="20"/>
          <w:szCs w:val="20"/>
        </w:rPr>
        <w:t>the</w:t>
      </w:r>
      <w:proofErr w:type="spellEnd"/>
      <w:r w:rsidRPr="00264E84">
        <w:rPr>
          <w:bCs/>
          <w:sz w:val="20"/>
          <w:szCs w:val="20"/>
        </w:rPr>
        <w:t xml:space="preserve"> </w:t>
      </w:r>
      <w:proofErr w:type="spellStart"/>
      <w:r w:rsidRPr="00264E84">
        <w:rPr>
          <w:bCs/>
          <w:sz w:val="20"/>
          <w:szCs w:val="20"/>
        </w:rPr>
        <w:t>original</w:t>
      </w:r>
      <w:proofErr w:type="spellEnd"/>
      <w:r w:rsidRPr="00264E84">
        <w:rPr>
          <w:bCs/>
          <w:sz w:val="20"/>
          <w:szCs w:val="20"/>
        </w:rPr>
        <w:t xml:space="preserve"> </w:t>
      </w:r>
      <w:proofErr w:type="spellStart"/>
      <w:r w:rsidRPr="00264E84">
        <w:rPr>
          <w:bCs/>
          <w:sz w:val="20"/>
          <w:szCs w:val="20"/>
        </w:rPr>
        <w:t>orbit</w:t>
      </w:r>
      <w:proofErr w:type="spellEnd"/>
      <w:r w:rsidRPr="00264E84">
        <w:rPr>
          <w:bCs/>
          <w:sz w:val="20"/>
          <w:szCs w:val="20"/>
        </w:rPr>
        <w:t xml:space="preserve"> </w:t>
      </w:r>
      <w:r w:rsidR="008B5A68" w:rsidRPr="00264E84">
        <w:rPr>
          <w:bCs/>
          <w:sz w:val="20"/>
          <w:szCs w:val="20"/>
        </w:rPr>
        <w:fldChar w:fldCharType="begin"/>
      </w:r>
      <w:r w:rsidR="008B5A68" w:rsidRPr="00264E84">
        <w:rPr>
          <w:bCs/>
          <w:sz w:val="20"/>
          <w:szCs w:val="20"/>
        </w:rPr>
        <w:instrText xml:space="preserve"> REF _Ref47620285 \n \h </w:instrText>
      </w:r>
      <w:r w:rsidR="00264E84">
        <w:rPr>
          <w:bCs/>
          <w:sz w:val="20"/>
          <w:szCs w:val="20"/>
        </w:rPr>
        <w:instrText xml:space="preserve"> \* MERGEFORMAT </w:instrText>
      </w:r>
      <w:r w:rsidR="008B5A68" w:rsidRPr="00264E84">
        <w:rPr>
          <w:bCs/>
          <w:sz w:val="20"/>
          <w:szCs w:val="20"/>
        </w:rPr>
      </w:r>
      <w:r w:rsidR="008B5A68" w:rsidRPr="00264E84">
        <w:rPr>
          <w:bCs/>
          <w:sz w:val="20"/>
          <w:szCs w:val="20"/>
        </w:rPr>
        <w:fldChar w:fldCharType="separate"/>
      </w:r>
      <w:r w:rsidR="00F35C8F">
        <w:rPr>
          <w:bCs/>
          <w:sz w:val="20"/>
          <w:szCs w:val="20"/>
        </w:rPr>
        <w:t>[7]</w:t>
      </w:r>
      <w:r w:rsidR="008B5A68" w:rsidRPr="00264E84">
        <w:rPr>
          <w:bCs/>
          <w:sz w:val="20"/>
          <w:szCs w:val="20"/>
        </w:rPr>
        <w:fldChar w:fldCharType="end"/>
      </w:r>
    </w:p>
    <w:p w14:paraId="07B08461" w14:textId="1998BF12" w:rsidR="0020342B" w:rsidRPr="00264E84" w:rsidRDefault="0020342B" w:rsidP="00264E84">
      <w:pPr>
        <w:pStyle w:val="ListParagraph"/>
        <w:numPr>
          <w:ilvl w:val="0"/>
          <w:numId w:val="20"/>
        </w:numPr>
        <w:rPr>
          <w:bCs/>
        </w:rPr>
      </w:pPr>
      <w:proofErr w:type="spellStart"/>
      <w:r w:rsidRPr="00264E84">
        <w:rPr>
          <w:bCs/>
          <w:sz w:val="20"/>
          <w:szCs w:val="20"/>
        </w:rPr>
        <w:t>Altitude</w:t>
      </w:r>
      <w:proofErr w:type="spellEnd"/>
      <w:r w:rsidRPr="00264E84">
        <w:rPr>
          <w:bCs/>
          <w:sz w:val="20"/>
          <w:szCs w:val="20"/>
        </w:rPr>
        <w:t xml:space="preserve"> </w:t>
      </w:r>
      <w:proofErr w:type="spellStart"/>
      <w:r w:rsidRPr="00264E84">
        <w:rPr>
          <w:bCs/>
          <w:sz w:val="20"/>
          <w:szCs w:val="20"/>
        </w:rPr>
        <w:t>Modelling</w:t>
      </w:r>
      <w:proofErr w:type="spellEnd"/>
      <w:r w:rsidRPr="00264E84">
        <w:rPr>
          <w:bCs/>
          <w:sz w:val="20"/>
          <w:szCs w:val="20"/>
        </w:rPr>
        <w:t xml:space="preserve">: </w:t>
      </w:r>
      <w:proofErr w:type="spellStart"/>
      <w:r w:rsidRPr="00264E84">
        <w:rPr>
          <w:bCs/>
          <w:sz w:val="20"/>
          <w:szCs w:val="20"/>
        </w:rPr>
        <w:t>Some</w:t>
      </w:r>
      <w:proofErr w:type="spellEnd"/>
      <w:r w:rsidRPr="00264E84">
        <w:rPr>
          <w:bCs/>
          <w:sz w:val="20"/>
          <w:szCs w:val="20"/>
        </w:rPr>
        <w:t xml:space="preserve"> GNSS </w:t>
      </w:r>
      <w:proofErr w:type="spellStart"/>
      <w:r w:rsidRPr="00264E84">
        <w:rPr>
          <w:bCs/>
          <w:sz w:val="20"/>
          <w:szCs w:val="20"/>
        </w:rPr>
        <w:t>devices</w:t>
      </w:r>
      <w:proofErr w:type="spellEnd"/>
      <w:r w:rsidRPr="00264E84">
        <w:rPr>
          <w:bCs/>
          <w:sz w:val="20"/>
          <w:szCs w:val="20"/>
        </w:rPr>
        <w:t xml:space="preserve"> </w:t>
      </w:r>
      <w:proofErr w:type="spellStart"/>
      <w:r w:rsidRPr="00264E84">
        <w:rPr>
          <w:bCs/>
          <w:sz w:val="20"/>
          <w:szCs w:val="20"/>
        </w:rPr>
        <w:t>utilize</w:t>
      </w:r>
      <w:proofErr w:type="spellEnd"/>
      <w:r w:rsidRPr="00264E84">
        <w:rPr>
          <w:bCs/>
          <w:sz w:val="20"/>
          <w:szCs w:val="20"/>
        </w:rPr>
        <w:t xml:space="preserve"> </w:t>
      </w:r>
      <w:proofErr w:type="spellStart"/>
      <w:r w:rsidRPr="00264E84">
        <w:rPr>
          <w:bCs/>
          <w:sz w:val="20"/>
          <w:szCs w:val="20"/>
        </w:rPr>
        <w:t>the</w:t>
      </w:r>
      <w:proofErr w:type="spellEnd"/>
      <w:r w:rsidRPr="00264E84">
        <w:rPr>
          <w:bCs/>
          <w:sz w:val="20"/>
          <w:szCs w:val="20"/>
        </w:rPr>
        <w:t xml:space="preserve"> </w:t>
      </w:r>
      <w:proofErr w:type="spellStart"/>
      <w:r w:rsidRPr="00264E84">
        <w:rPr>
          <w:bCs/>
          <w:sz w:val="20"/>
          <w:szCs w:val="20"/>
        </w:rPr>
        <w:t>ellipsoid</w:t>
      </w:r>
      <w:proofErr w:type="spellEnd"/>
      <w:r w:rsidRPr="00264E84">
        <w:rPr>
          <w:bCs/>
          <w:sz w:val="20"/>
          <w:szCs w:val="20"/>
        </w:rPr>
        <w:t xml:space="preserve"> model provided by the WGS 84 model to provide altitude information, which may differ from the actual Earth geoid in several hundreds of m and therefore introduce inaccuracy in the position estimation. </w:t>
      </w:r>
    </w:p>
    <w:p w14:paraId="19D32301" w14:textId="77777777" w:rsidR="0020342B" w:rsidRPr="00264E84" w:rsidRDefault="0020342B" w:rsidP="0020342B">
      <w:pPr>
        <w:rPr>
          <w:bCs/>
          <w:sz w:val="18"/>
          <w:szCs w:val="18"/>
        </w:rPr>
      </w:pPr>
    </w:p>
    <w:p w14:paraId="1ED03592" w14:textId="03F7A06E" w:rsidR="0020342B" w:rsidRPr="00264E84" w:rsidRDefault="0020342B" w:rsidP="0020342B">
      <w:pPr>
        <w:rPr>
          <w:b/>
        </w:rPr>
      </w:pPr>
      <w:r w:rsidRPr="00264E84">
        <w:rPr>
          <w:b/>
        </w:rPr>
        <w:t>Observation</w:t>
      </w:r>
      <w:r w:rsidR="00264E84">
        <w:rPr>
          <w:b/>
        </w:rPr>
        <w:t xml:space="preserve"> </w:t>
      </w:r>
      <w:r w:rsidR="00045C0E">
        <w:rPr>
          <w:b/>
        </w:rPr>
        <w:t>9</w:t>
      </w:r>
      <w:r w:rsidRPr="00264E84">
        <w:rPr>
          <w:b/>
        </w:rPr>
        <w:t xml:space="preserve">: There are several sources of inaccuracy for estimating the time/frequency synchronization between UE and </w:t>
      </w:r>
      <w:proofErr w:type="spellStart"/>
      <w:r w:rsidRPr="00264E84">
        <w:rPr>
          <w:b/>
        </w:rPr>
        <w:t>gNb</w:t>
      </w:r>
      <w:proofErr w:type="spellEnd"/>
      <w:r w:rsidRPr="00264E84">
        <w:rPr>
          <w:b/>
        </w:rPr>
        <w:t xml:space="preserve"> by using GNSS location: lag of the ephemeris information, precision of the ephemeris data, GNSS inaccuracy, orbit perturbations and altitude modelling. </w:t>
      </w:r>
    </w:p>
    <w:p w14:paraId="0BBEC094" w14:textId="735F1572" w:rsidR="0020342B" w:rsidRPr="0020342B" w:rsidRDefault="0020342B" w:rsidP="0020342B">
      <w:pPr>
        <w:rPr>
          <w:bCs/>
        </w:rPr>
      </w:pPr>
      <w:r w:rsidRPr="0020342B">
        <w:rPr>
          <w:bCs/>
        </w:rPr>
        <w:t xml:space="preserve">The items 1,2 and 4 are sources of inaccuracy on the estimation of the satellite location. In case of transparent scenarios, they may account twice for the total distance estimation, as it will impact the estimation of </w:t>
      </w:r>
      <w:proofErr w:type="spellStart"/>
      <w:r w:rsidRPr="0020342B">
        <w:rPr>
          <w:bCs/>
        </w:rPr>
        <w:t>gNb</w:t>
      </w:r>
      <w:proofErr w:type="spellEnd"/>
      <w:r w:rsidRPr="0020342B">
        <w:rPr>
          <w:bCs/>
        </w:rPr>
        <w:t xml:space="preserve">-satellite distance and UE-satellite distance. </w:t>
      </w:r>
    </w:p>
    <w:p w14:paraId="70451DD9" w14:textId="4DD23ECD" w:rsidR="0020342B" w:rsidRPr="00264E84" w:rsidRDefault="0020342B" w:rsidP="0020342B">
      <w:pPr>
        <w:rPr>
          <w:b/>
        </w:rPr>
      </w:pPr>
      <w:r w:rsidRPr="00264E84">
        <w:rPr>
          <w:b/>
        </w:rPr>
        <w:t>Observation</w:t>
      </w:r>
      <w:r w:rsidR="00264E84">
        <w:rPr>
          <w:b/>
        </w:rPr>
        <w:t xml:space="preserve"> 1</w:t>
      </w:r>
      <w:r w:rsidR="00045C0E">
        <w:rPr>
          <w:b/>
        </w:rPr>
        <w:t>0</w:t>
      </w:r>
      <w:r w:rsidRPr="00264E84">
        <w:rPr>
          <w:b/>
        </w:rPr>
        <w:t>: The precision and lag of the ephemeris data and orbits perturbation may have double effect in transparent scenarios.</w:t>
      </w:r>
    </w:p>
    <w:p w14:paraId="0B2D8A97" w14:textId="1F213500" w:rsidR="0020342B" w:rsidRPr="0020342B" w:rsidRDefault="0020342B" w:rsidP="0020342B">
      <w:pPr>
        <w:rPr>
          <w:bCs/>
        </w:rPr>
      </w:pPr>
      <w:r w:rsidRPr="0020342B">
        <w:rPr>
          <w:bCs/>
        </w:rPr>
        <w:t xml:space="preserve">In the case of DL timing synchronization, for example, if the delay estimation is required to be on the same magnitude order as the cyclic prefix (a few microseconds) the total positioning inaccuracy may not be allowed to surpass this limit.  </w:t>
      </w:r>
    </w:p>
    <w:p w14:paraId="46DEA193" w14:textId="77DDB13C" w:rsidR="06B5A646" w:rsidRPr="00264E84" w:rsidRDefault="0020342B" w:rsidP="06B5A646">
      <w:pPr>
        <w:rPr>
          <w:b/>
        </w:rPr>
      </w:pPr>
      <w:r w:rsidRPr="00264E84">
        <w:rPr>
          <w:b/>
        </w:rPr>
        <w:t>Proposal</w:t>
      </w:r>
      <w:r w:rsidR="00264E84">
        <w:rPr>
          <w:b/>
        </w:rPr>
        <w:t xml:space="preserve"> 9</w:t>
      </w:r>
      <w:r w:rsidRPr="00264E84">
        <w:rPr>
          <w:b/>
        </w:rPr>
        <w:t xml:space="preserve">: RAN1 to discuss the total allowed GNSS inaccuracy for different GNSS assisted use cases. And </w:t>
      </w:r>
      <w:proofErr w:type="spellStart"/>
      <w:r w:rsidRPr="00264E84">
        <w:rPr>
          <w:b/>
        </w:rPr>
        <w:t>wether</w:t>
      </w:r>
      <w:proofErr w:type="spellEnd"/>
      <w:r w:rsidRPr="00264E84">
        <w:rPr>
          <w:b/>
        </w:rPr>
        <w:t xml:space="preserve"> the use of GNSS is feasible for certain use cases.</w:t>
      </w:r>
    </w:p>
    <w:p w14:paraId="38C36606" w14:textId="15C02A13" w:rsidR="00F63846" w:rsidRDefault="00F63846" w:rsidP="00F63846">
      <w:r>
        <w:t xml:space="preserve">In addition to the basic GNSS functionality as provided by GPS, </w:t>
      </w:r>
      <w:proofErr w:type="spellStart"/>
      <w:r>
        <w:t>Glonass</w:t>
      </w:r>
      <w:proofErr w:type="spellEnd"/>
      <w:r>
        <w:t>, Galileo etc, it is possible to provide assistance information including satellite almanac</w:t>
      </w:r>
      <w:r w:rsidR="00F4365B">
        <w:t>,</w:t>
      </w:r>
      <w:r>
        <w:t xml:space="preserve"> terrestrial signals</w:t>
      </w:r>
      <w:r w:rsidR="00F4365B">
        <w:t xml:space="preserve">, or other Information Elements such as </w:t>
      </w:r>
      <w:r w:rsidR="00F4365B">
        <w:rPr>
          <w:i/>
          <w:iCs/>
          <w:snapToGrid w:val="0"/>
        </w:rPr>
        <w:t>GNSS-</w:t>
      </w:r>
      <w:proofErr w:type="spellStart"/>
      <w:r w:rsidR="00F4365B">
        <w:rPr>
          <w:i/>
          <w:iCs/>
          <w:snapToGrid w:val="0"/>
        </w:rPr>
        <w:t>IonosphericModel</w:t>
      </w:r>
      <w:proofErr w:type="spellEnd"/>
      <w:r w:rsidR="00F4365B">
        <w:rPr>
          <w:snapToGrid w:val="0"/>
        </w:rPr>
        <w:t xml:space="preserve"> , </w:t>
      </w:r>
      <w:r w:rsidR="00F4365B">
        <w:rPr>
          <w:i/>
          <w:iCs/>
          <w:snapToGrid w:val="0"/>
        </w:rPr>
        <w:t>GNSS-</w:t>
      </w:r>
      <w:proofErr w:type="spellStart"/>
      <w:r w:rsidR="00F4365B">
        <w:rPr>
          <w:i/>
          <w:iCs/>
          <w:snapToGrid w:val="0"/>
        </w:rPr>
        <w:t>DifferentialCorrection</w:t>
      </w:r>
      <w:proofErr w:type="spellEnd"/>
      <w:r w:rsidR="00F4365B">
        <w:rPr>
          <w:i/>
          <w:iCs/>
          <w:snapToGrid w:val="0"/>
        </w:rPr>
        <w:t xml:space="preserve">, </w:t>
      </w:r>
      <w:r w:rsidR="00F4365B">
        <w:rPr>
          <w:snapToGrid w:val="0"/>
        </w:rPr>
        <w:t xml:space="preserve">or </w:t>
      </w:r>
      <w:r w:rsidR="00F4365B">
        <w:rPr>
          <w:i/>
          <w:iCs/>
          <w:snapToGrid w:val="0"/>
        </w:rPr>
        <w:t>GNSS-</w:t>
      </w:r>
      <w:proofErr w:type="spellStart"/>
      <w:r w:rsidR="00F4365B">
        <w:rPr>
          <w:i/>
          <w:iCs/>
          <w:snapToGrid w:val="0"/>
        </w:rPr>
        <w:t>ReferenceTime</w:t>
      </w:r>
      <w:proofErr w:type="spellEnd"/>
      <w:r w:rsidR="005F5340">
        <w:rPr>
          <w:iCs/>
          <w:snapToGrid w:val="0"/>
        </w:rPr>
        <w:t xml:space="preserve"> </w:t>
      </w:r>
      <w:r w:rsidR="00031944">
        <w:rPr>
          <w:iCs/>
          <w:snapToGrid w:val="0"/>
        </w:rPr>
        <w:fldChar w:fldCharType="begin"/>
      </w:r>
      <w:r w:rsidR="00031944">
        <w:rPr>
          <w:iCs/>
          <w:snapToGrid w:val="0"/>
        </w:rPr>
        <w:instrText xml:space="preserve"> REF _Ref31358092 \r \h </w:instrText>
      </w:r>
      <w:r w:rsidR="00031944">
        <w:rPr>
          <w:iCs/>
          <w:snapToGrid w:val="0"/>
        </w:rPr>
      </w:r>
      <w:r w:rsidR="00031944">
        <w:rPr>
          <w:iCs/>
          <w:snapToGrid w:val="0"/>
        </w:rPr>
        <w:fldChar w:fldCharType="separate"/>
      </w:r>
      <w:r w:rsidR="00F35C8F">
        <w:rPr>
          <w:iCs/>
          <w:snapToGrid w:val="0"/>
        </w:rPr>
        <w:t>[8]</w:t>
      </w:r>
      <w:r w:rsidR="00031944">
        <w:rPr>
          <w:iCs/>
          <w:snapToGrid w:val="0"/>
        </w:rPr>
        <w:fldChar w:fldCharType="end"/>
      </w:r>
      <w:r w:rsidR="005F5340">
        <w:rPr>
          <w:iCs/>
          <w:snapToGrid w:val="0"/>
        </w:rPr>
        <w:fldChar w:fldCharType="begin"/>
      </w:r>
      <w:r w:rsidR="005F5340">
        <w:rPr>
          <w:iCs/>
          <w:snapToGrid w:val="0"/>
        </w:rPr>
        <w:instrText xml:space="preserve"> REF _Ref31358092 \r \h </w:instrText>
      </w:r>
      <w:r w:rsidR="005F5340">
        <w:rPr>
          <w:iCs/>
          <w:snapToGrid w:val="0"/>
        </w:rPr>
      </w:r>
      <w:r w:rsidR="005F5340">
        <w:rPr>
          <w:iCs/>
          <w:snapToGrid w:val="0"/>
        </w:rPr>
        <w:fldChar w:fldCharType="end"/>
      </w:r>
      <w:r>
        <w:t>. It must be considered which of these assistance information options are available and when/where they are available. For example, reference R</w:t>
      </w:r>
      <w:r w:rsidR="00A64149">
        <w:t xml:space="preserve">eal </w:t>
      </w:r>
      <w:r>
        <w:t>T</w:t>
      </w:r>
      <w:r w:rsidR="00A64149">
        <w:t xml:space="preserve">ime </w:t>
      </w:r>
      <w:r>
        <w:t>K</w:t>
      </w:r>
      <w:r w:rsidR="00A64149">
        <w:t>inematic assistance</w:t>
      </w:r>
      <w:r>
        <w:t xml:space="preserve"> signals may not be valid more than some 10s of </w:t>
      </w:r>
      <w:proofErr w:type="spellStart"/>
      <w:r>
        <w:t>kilometer</w:t>
      </w:r>
      <w:proofErr w:type="spellEnd"/>
      <w:r>
        <w:t xml:space="preserve"> from the reference station.</w:t>
      </w:r>
      <w:r w:rsidR="00A64149">
        <w:t xml:space="preserve"> Therefore, such terrestrial-based assistance information is not applicable in many of the remote areas, where the NTN is targeted to be used.</w:t>
      </w:r>
    </w:p>
    <w:p w14:paraId="5626CB15" w14:textId="0EAA9B0E" w:rsidR="00F64271" w:rsidRPr="00F64271" w:rsidRDefault="00F64271" w:rsidP="00F63846">
      <w:pPr>
        <w:rPr>
          <w:b/>
        </w:rPr>
      </w:pPr>
      <w:r>
        <w:rPr>
          <w:b/>
        </w:rPr>
        <w:t>Proposal</w:t>
      </w:r>
      <w:r w:rsidR="00264E84">
        <w:rPr>
          <w:b/>
        </w:rPr>
        <w:t xml:space="preserve"> 10</w:t>
      </w:r>
      <w:r>
        <w:rPr>
          <w:b/>
        </w:rPr>
        <w:t>: RAN1 to discuss which GNSS assistance information is available to the NTN UE</w:t>
      </w:r>
      <w:r w:rsidR="001B129E">
        <w:rPr>
          <w:b/>
        </w:rPr>
        <w:t>.</w:t>
      </w:r>
    </w:p>
    <w:p w14:paraId="3B2DC6E7" w14:textId="0A2D5957" w:rsidR="00F63846" w:rsidRDefault="00F63846" w:rsidP="00F63846">
      <w:r>
        <w:t>Most GNSS are focused on providing accurate location in the X-Y domain, while the Z/altitude is less optimized. It must be considered whether this is also the case for NTN devices and what the impact is.</w:t>
      </w:r>
      <w:r w:rsidR="006F29FF">
        <w:t xml:space="preserve"> Furthermore, the UE may be mobile and thus impact the accuracy of the GNSS position.</w:t>
      </w:r>
    </w:p>
    <w:p w14:paraId="45FE7228" w14:textId="72BB71E8" w:rsidR="006F29FF" w:rsidRDefault="00F63846" w:rsidP="00F63846">
      <w:r>
        <w:t>Combining the above observations, it is concluded that it will be beneficial for 3GPP to define the GNSS usage applications and achievable accuracy for one or more NTN device classes. To evaluate the impact of those definitions a GNSS model is needed. Such a model could be a simple Gaussian variable defining mean error and variance in 3D</w:t>
      </w:r>
      <w:r w:rsidR="006F29FF">
        <w:t xml:space="preserve">, but it would need to be complemented with a definition of validity time / update </w:t>
      </w:r>
      <w:proofErr w:type="gramStart"/>
      <w:r w:rsidR="006F29FF">
        <w:t>rate, and</w:t>
      </w:r>
      <w:proofErr w:type="gramEnd"/>
      <w:r w:rsidR="006F29FF">
        <w:t xml:space="preserve"> be defined for each of the potential applications</w:t>
      </w:r>
      <w:r>
        <w:t>.</w:t>
      </w:r>
      <w:r w:rsidR="006F29FF">
        <w:t xml:space="preserve"> </w:t>
      </w:r>
      <w:r w:rsidR="00636608">
        <w:t>The validity time is critical since changing signalling conditions can impact the accuracy</w:t>
      </w:r>
      <w:r w:rsidR="00F951E5">
        <w:t xml:space="preserve"> of the reported location</w:t>
      </w:r>
      <w:r w:rsidR="00636608">
        <w:t>.</w:t>
      </w:r>
    </w:p>
    <w:p w14:paraId="1C0BB022" w14:textId="6D5F3C3D" w:rsidR="006F29FF" w:rsidRPr="006F29FF" w:rsidRDefault="006F29FF" w:rsidP="00F63846">
      <w:pPr>
        <w:rPr>
          <w:b/>
        </w:rPr>
      </w:pPr>
      <w:r>
        <w:rPr>
          <w:b/>
        </w:rPr>
        <w:t>Proposal</w:t>
      </w:r>
      <w:r w:rsidR="00264E84">
        <w:rPr>
          <w:b/>
        </w:rPr>
        <w:t xml:space="preserve"> 11</w:t>
      </w:r>
      <w:r>
        <w:rPr>
          <w:b/>
        </w:rPr>
        <w:t>: RAN1 to define at least one GNSS accuracy model in 3D</w:t>
      </w:r>
      <w:r w:rsidR="00DC64F5">
        <w:rPr>
          <w:b/>
        </w:rPr>
        <w:t xml:space="preserve"> space</w:t>
      </w:r>
      <w:r w:rsidR="00636608">
        <w:rPr>
          <w:b/>
        </w:rPr>
        <w:t xml:space="preserve"> and with time </w:t>
      </w:r>
      <w:proofErr w:type="spellStart"/>
      <w:r w:rsidR="00636608">
        <w:rPr>
          <w:b/>
        </w:rPr>
        <w:t>varing</w:t>
      </w:r>
      <w:proofErr w:type="spellEnd"/>
      <w:r w:rsidR="00636608">
        <w:rPr>
          <w:b/>
        </w:rPr>
        <w:t xml:space="preserve"> behaviour</w:t>
      </w:r>
      <w:r>
        <w:rPr>
          <w:b/>
        </w:rPr>
        <w:t>.</w:t>
      </w:r>
    </w:p>
    <w:p w14:paraId="2AAB814E" w14:textId="77777777" w:rsidR="00D4490E" w:rsidRDefault="00D4490E" w:rsidP="00D4490E">
      <w:r>
        <w:t>Due to the additional cost and power consumption of the GNSS used for applications B and C, and the impact of limited GNSS accuracy it is proposed that companies demonstrate the benefit of using GNSS for mobility assistance (application B) and physical layer signalling adjustment (application C), when considering a GNSS accuracy model while also considering the associated costs (device price and power consumption).</w:t>
      </w:r>
    </w:p>
    <w:p w14:paraId="108C5618" w14:textId="5213CA43" w:rsidR="00D4490E" w:rsidRPr="006F29FF" w:rsidRDefault="00D4490E" w:rsidP="00D4490E">
      <w:pPr>
        <w:rPr>
          <w:b/>
        </w:rPr>
      </w:pPr>
      <w:r w:rsidRPr="006F29FF">
        <w:rPr>
          <w:b/>
        </w:rPr>
        <w:t>Proposal</w:t>
      </w:r>
      <w:r w:rsidR="00264E84">
        <w:rPr>
          <w:b/>
        </w:rPr>
        <w:t xml:space="preserve"> 12</w:t>
      </w:r>
      <w:r w:rsidRPr="006F29FF">
        <w:rPr>
          <w:b/>
        </w:rPr>
        <w:t>:</w:t>
      </w:r>
      <w:r>
        <w:rPr>
          <w:b/>
        </w:rPr>
        <w:t xml:space="preserve"> Companies need to demonstrate the benefit of GNSS for mobility assistance and physical layer signalling adjustment, when considering achievable GNSS accuracy and update rate.</w:t>
      </w:r>
    </w:p>
    <w:p w14:paraId="14B855D8" w14:textId="49F9F483" w:rsidR="00A64149" w:rsidRDefault="00A64149" w:rsidP="00F63846">
      <w:r>
        <w:t>Furthermore, in case the physical layer signalling adjustment (e.g. timing advance and Doppler) is targeted, it must be clarified how the UE determines which satellite it is compensating towards.</w:t>
      </w:r>
      <w:r w:rsidR="0033453D">
        <w:t xml:space="preserve"> Currently, the satellite ephemeris does not include the Physical Cell Identity (PCI) while the UE attempting initial access to a cell is only aware of the PCI</w:t>
      </w:r>
      <w:r w:rsidR="006B1054">
        <w:t xml:space="preserve"> (obtained through the PSS and SSS of the SSB)</w:t>
      </w:r>
      <w:r w:rsidR="0033453D">
        <w:t>. This means the UE is unable to map the PCI to the satellite location and thus the UE cannot determine the required compensation based on its (GNSS) location and satellite ephemeris. The problem is even more challenging for Earth-fixed cells, where the mapping between satellite and PCI is only valid for a short duration of time, until the next satellite “inherits” the PCI and initiates service in the area of the UE.</w:t>
      </w:r>
    </w:p>
    <w:p w14:paraId="2553C791" w14:textId="081AC816" w:rsidR="0033453D" w:rsidRPr="0033453D" w:rsidRDefault="0033453D" w:rsidP="00F63846">
      <w:pPr>
        <w:rPr>
          <w:b/>
        </w:rPr>
      </w:pPr>
      <w:r>
        <w:rPr>
          <w:b/>
        </w:rPr>
        <w:t>Observation</w:t>
      </w:r>
      <w:r w:rsidR="00264E84">
        <w:rPr>
          <w:b/>
        </w:rPr>
        <w:t xml:space="preserve"> 1</w:t>
      </w:r>
      <w:r w:rsidR="00045C0E">
        <w:rPr>
          <w:b/>
        </w:rPr>
        <w:t>1</w:t>
      </w:r>
      <w:r>
        <w:rPr>
          <w:b/>
        </w:rPr>
        <w:t>: the UE is unable to autonomously perform TA and Doppler adjustment using its GNSS-based location, because it cannot map the observed PCI to a satellite location.</w:t>
      </w:r>
    </w:p>
    <w:bookmarkEnd w:id="1"/>
    <w:p w14:paraId="10445A01" w14:textId="480CC7E1" w:rsidR="00885580" w:rsidRDefault="007820D0" w:rsidP="00885580">
      <w:pPr>
        <w:pStyle w:val="Heading1"/>
      </w:pPr>
      <w:r>
        <w:t>Conclusion</w:t>
      </w:r>
    </w:p>
    <w:p w14:paraId="2567C0E4" w14:textId="77777777" w:rsidR="00143BED" w:rsidRDefault="00825D04" w:rsidP="00264E84">
      <w:pPr>
        <w:rPr>
          <w:b/>
        </w:rPr>
      </w:pPr>
      <w:r w:rsidRPr="00143BED">
        <w:t>In this document we have made the following observations and proposals:</w:t>
      </w:r>
    </w:p>
    <w:p w14:paraId="5AE9C197" w14:textId="35D41CF5" w:rsidR="00264E84" w:rsidRPr="004416C6" w:rsidRDefault="00264E84" w:rsidP="00264E84">
      <w:pPr>
        <w:rPr>
          <w:b/>
        </w:rPr>
      </w:pPr>
      <w:r>
        <w:rPr>
          <w:b/>
        </w:rPr>
        <w:t>Observation 1: It is beneficial for the 5G system / gNB to be aware of the transparent satellite’s (time-varying) gain factors.</w:t>
      </w:r>
    </w:p>
    <w:p w14:paraId="54B4A3AF" w14:textId="77777777" w:rsidR="00264E84" w:rsidRDefault="00264E84" w:rsidP="00264E84">
      <w:pPr>
        <w:rPr>
          <w:b/>
        </w:rPr>
      </w:pPr>
      <w:r>
        <w:rPr>
          <w:b/>
        </w:rPr>
        <w:t>Observation 2: The gNB location relative to the NTN-GW may impact the NTN user experience.</w:t>
      </w:r>
    </w:p>
    <w:p w14:paraId="62A6ABFA" w14:textId="5FB5FE48" w:rsidR="00264E84" w:rsidRDefault="00264E84" w:rsidP="00264E84">
      <w:pPr>
        <w:rPr>
          <w:b/>
        </w:rPr>
      </w:pPr>
      <w:r>
        <w:rPr>
          <w:b/>
        </w:rPr>
        <w:t xml:space="preserve">Observation </w:t>
      </w:r>
      <w:r w:rsidR="00045C0E">
        <w:rPr>
          <w:b/>
        </w:rPr>
        <w:t>3</w:t>
      </w:r>
      <w:r>
        <w:rPr>
          <w:b/>
        </w:rPr>
        <w:t>: A feeder link switch for a transparent satellite may result in a cell switch.</w:t>
      </w:r>
    </w:p>
    <w:p w14:paraId="2F208AEF" w14:textId="63E8F8E7" w:rsidR="00264E84" w:rsidRDefault="00264E84" w:rsidP="00264E84">
      <w:pPr>
        <w:rPr>
          <w:b/>
        </w:rPr>
      </w:pPr>
      <w:r w:rsidRPr="005220A0">
        <w:rPr>
          <w:b/>
        </w:rPr>
        <w:t>Observation</w:t>
      </w:r>
      <w:r>
        <w:rPr>
          <w:b/>
        </w:rPr>
        <w:t xml:space="preserve"> </w:t>
      </w:r>
      <w:r w:rsidR="00045C0E">
        <w:rPr>
          <w:b/>
        </w:rPr>
        <w:t>4</w:t>
      </w:r>
      <w:r>
        <w:rPr>
          <w:b/>
        </w:rPr>
        <w:t xml:space="preserve">: A </w:t>
      </w:r>
      <w:proofErr w:type="spellStart"/>
      <w:r>
        <w:rPr>
          <w:b/>
        </w:rPr>
        <w:t>gNB</w:t>
      </w:r>
      <w:proofErr w:type="spellEnd"/>
      <w:r>
        <w:rPr>
          <w:b/>
        </w:rPr>
        <w:t xml:space="preserve"> may switch links of the </w:t>
      </w:r>
      <w:proofErr w:type="spellStart"/>
      <w:r>
        <w:rPr>
          <w:b/>
        </w:rPr>
        <w:t>Uu</w:t>
      </w:r>
      <w:proofErr w:type="spellEnd"/>
      <w:r>
        <w:rPr>
          <w:b/>
        </w:rPr>
        <w:t xml:space="preserve"> interface from one satellite and feeder link to another satellite and feeder link, originating from the same NTN-GW.</w:t>
      </w:r>
    </w:p>
    <w:p w14:paraId="0E7EC8FF" w14:textId="7BA1B392" w:rsidR="00264E84" w:rsidRDefault="00264E84" w:rsidP="00264E84">
      <w:pPr>
        <w:rPr>
          <w:b/>
        </w:rPr>
      </w:pPr>
      <w:r>
        <w:rPr>
          <w:b/>
        </w:rPr>
        <w:t xml:space="preserve">Observation </w:t>
      </w:r>
      <w:r w:rsidR="00045C0E">
        <w:rPr>
          <w:b/>
        </w:rPr>
        <w:t>5</w:t>
      </w:r>
      <w:r>
        <w:rPr>
          <w:b/>
        </w:rPr>
        <w:t>: An NTN UE may be informed about imminent switch events including the resulting transmission gap.</w:t>
      </w:r>
    </w:p>
    <w:p w14:paraId="510577F9" w14:textId="0572D956" w:rsidR="00264E84" w:rsidRDefault="00264E84" w:rsidP="00264E84">
      <w:pPr>
        <w:rPr>
          <w:b/>
        </w:rPr>
      </w:pPr>
      <w:r>
        <w:rPr>
          <w:b/>
        </w:rPr>
        <w:t xml:space="preserve">Observation </w:t>
      </w:r>
      <w:r w:rsidR="00045C0E">
        <w:rPr>
          <w:b/>
        </w:rPr>
        <w:t>6</w:t>
      </w:r>
      <w:r>
        <w:rPr>
          <w:b/>
        </w:rPr>
        <w:t>: GNSS can be applied in NTN for country identification, mobility assistance, and physical layer signalling adjustment, but with increasing device cost and power consumption.</w:t>
      </w:r>
    </w:p>
    <w:p w14:paraId="1B6E2F16" w14:textId="22085DEF" w:rsidR="00264E84" w:rsidRDefault="00264E84" w:rsidP="00264E84">
      <w:pPr>
        <w:rPr>
          <w:b/>
        </w:rPr>
      </w:pPr>
      <w:r>
        <w:rPr>
          <w:b/>
        </w:rPr>
        <w:t xml:space="preserve">Observation </w:t>
      </w:r>
      <w:r w:rsidR="00045C0E">
        <w:rPr>
          <w:b/>
        </w:rPr>
        <w:t>7</w:t>
      </w:r>
      <w:r>
        <w:rPr>
          <w:b/>
        </w:rPr>
        <w:t>: Some GNSS assisted solutions may depend solely on the UE position information (e.g. country identification), whereas others depend on other source of information (e.g. satellite ephemeris for time synchronization).</w:t>
      </w:r>
    </w:p>
    <w:p w14:paraId="6D1111DE" w14:textId="36085B50" w:rsidR="00264E84" w:rsidRPr="006F29FF" w:rsidRDefault="00264E84" w:rsidP="00264E84">
      <w:pPr>
        <w:rPr>
          <w:b/>
        </w:rPr>
      </w:pPr>
      <w:r>
        <w:rPr>
          <w:b/>
        </w:rPr>
        <w:t xml:space="preserve">Observation </w:t>
      </w:r>
      <w:r w:rsidR="00045C0E">
        <w:rPr>
          <w:b/>
        </w:rPr>
        <w:t>8</w:t>
      </w:r>
      <w:r>
        <w:rPr>
          <w:b/>
        </w:rPr>
        <w:t xml:space="preserve">: Different use cases may require different accuracy in the use of GNSS-assisted information. </w:t>
      </w:r>
    </w:p>
    <w:p w14:paraId="42E7584D" w14:textId="79A3DC75" w:rsidR="00264E84" w:rsidRPr="00264E84" w:rsidRDefault="00264E84" w:rsidP="00264E84">
      <w:pPr>
        <w:rPr>
          <w:b/>
        </w:rPr>
      </w:pPr>
      <w:r w:rsidRPr="00264E84">
        <w:rPr>
          <w:b/>
        </w:rPr>
        <w:t>Observation</w:t>
      </w:r>
      <w:r>
        <w:rPr>
          <w:b/>
        </w:rPr>
        <w:t xml:space="preserve"> </w:t>
      </w:r>
      <w:r w:rsidR="00045C0E">
        <w:rPr>
          <w:b/>
        </w:rPr>
        <w:t>9</w:t>
      </w:r>
      <w:r w:rsidRPr="00264E84">
        <w:rPr>
          <w:b/>
        </w:rPr>
        <w:t xml:space="preserve">: There are several sources of inaccuracy for estimating the time/frequency synchronization between UE and </w:t>
      </w:r>
      <w:proofErr w:type="spellStart"/>
      <w:r w:rsidRPr="00264E84">
        <w:rPr>
          <w:b/>
        </w:rPr>
        <w:t>gNb</w:t>
      </w:r>
      <w:proofErr w:type="spellEnd"/>
      <w:r w:rsidRPr="00264E84">
        <w:rPr>
          <w:b/>
        </w:rPr>
        <w:t xml:space="preserve"> by using GNSS location: lag of the ephemeris information, precision of the ephemeris data, GNSS inaccuracy, orbit perturbations and altitude modelling. </w:t>
      </w:r>
    </w:p>
    <w:p w14:paraId="4033561E" w14:textId="1E4D70E3" w:rsidR="00264E84" w:rsidRPr="00264E84" w:rsidRDefault="00264E84" w:rsidP="00264E84">
      <w:pPr>
        <w:rPr>
          <w:b/>
        </w:rPr>
      </w:pPr>
      <w:r w:rsidRPr="00264E84">
        <w:rPr>
          <w:b/>
        </w:rPr>
        <w:t>Observation</w:t>
      </w:r>
      <w:r>
        <w:rPr>
          <w:b/>
        </w:rPr>
        <w:t xml:space="preserve"> 1</w:t>
      </w:r>
      <w:r w:rsidR="00045C0E">
        <w:rPr>
          <w:b/>
        </w:rPr>
        <w:t>0</w:t>
      </w:r>
      <w:r w:rsidRPr="00264E84">
        <w:rPr>
          <w:b/>
        </w:rPr>
        <w:t>: The precision and lag of the ephemeris data and orbits perturbation may have double effect in transparent scenarios.</w:t>
      </w:r>
    </w:p>
    <w:p w14:paraId="1E730378" w14:textId="1BF07C06" w:rsidR="00264E84" w:rsidRPr="0033453D" w:rsidRDefault="00264E84" w:rsidP="00264E84">
      <w:pPr>
        <w:rPr>
          <w:b/>
        </w:rPr>
      </w:pPr>
      <w:r>
        <w:rPr>
          <w:b/>
        </w:rPr>
        <w:t>Observation 1</w:t>
      </w:r>
      <w:r w:rsidR="00045C0E">
        <w:rPr>
          <w:b/>
        </w:rPr>
        <w:t>1</w:t>
      </w:r>
      <w:r>
        <w:rPr>
          <w:b/>
        </w:rPr>
        <w:t>: the UE is unable to autonomously perform TA and Doppler adjustment using its GNSS-based location, because it cannot map the observed PCI to a satellite location.</w:t>
      </w:r>
    </w:p>
    <w:p w14:paraId="5E8F5AF6" w14:textId="77777777" w:rsidR="00264E84" w:rsidRDefault="00264E84" w:rsidP="00264E84">
      <w:pPr>
        <w:rPr>
          <w:b/>
        </w:rPr>
      </w:pPr>
    </w:p>
    <w:p w14:paraId="49384066" w14:textId="25919F0C" w:rsidR="00264E84" w:rsidRDefault="00264E84" w:rsidP="00264E84">
      <w:pPr>
        <w:rPr>
          <w:b/>
        </w:rPr>
      </w:pPr>
      <w:r>
        <w:rPr>
          <w:b/>
        </w:rPr>
        <w:t>Proposal 1: RAN1 to define the feeder and service link type of amplification of a transparent satellite and potential limitations.</w:t>
      </w:r>
    </w:p>
    <w:p w14:paraId="712624FE" w14:textId="77777777" w:rsidR="00264E84" w:rsidRPr="00311335" w:rsidRDefault="00264E84" w:rsidP="00264E84">
      <w:pPr>
        <w:rPr>
          <w:b/>
        </w:rPr>
      </w:pPr>
      <w:r w:rsidRPr="00311335">
        <w:rPr>
          <w:b/>
        </w:rPr>
        <w:t>Proposal</w:t>
      </w:r>
      <w:r>
        <w:rPr>
          <w:b/>
        </w:rPr>
        <w:t xml:space="preserve"> 2</w:t>
      </w:r>
      <w:r w:rsidRPr="00311335">
        <w:rPr>
          <w:b/>
        </w:rPr>
        <w:t xml:space="preserve">: RAN1 to </w:t>
      </w:r>
      <w:r>
        <w:rPr>
          <w:b/>
        </w:rPr>
        <w:t xml:space="preserve">clarify that the satellite does not terminate the </w:t>
      </w:r>
      <w:proofErr w:type="spellStart"/>
      <w:r>
        <w:rPr>
          <w:b/>
        </w:rPr>
        <w:t>Uu</w:t>
      </w:r>
      <w:proofErr w:type="spellEnd"/>
      <w:r>
        <w:rPr>
          <w:b/>
        </w:rPr>
        <w:t xml:space="preserve"> interface, which implies no manipulation of information context is performed.</w:t>
      </w:r>
    </w:p>
    <w:p w14:paraId="7E7E310B" w14:textId="77777777" w:rsidR="00264E84" w:rsidRPr="001446FC" w:rsidRDefault="00264E84" w:rsidP="00264E84">
      <w:pPr>
        <w:rPr>
          <w:b/>
        </w:rPr>
      </w:pPr>
      <w:r>
        <w:rPr>
          <w:b/>
        </w:rPr>
        <w:t>Proposal 3: RAN1 to define an assumption of the maximum tolerable gNB – NTN-GW delay.</w:t>
      </w:r>
    </w:p>
    <w:p w14:paraId="2493B2FA" w14:textId="77777777" w:rsidR="00264E84" w:rsidRDefault="00264E84" w:rsidP="00264E84">
      <w:pPr>
        <w:rPr>
          <w:b/>
        </w:rPr>
      </w:pPr>
      <w:r>
        <w:rPr>
          <w:b/>
        </w:rPr>
        <w:t>Proposal 4: RAN1 to clarify impact of feeder link switch and benefit of signalling assistance information for imminent switch events.</w:t>
      </w:r>
    </w:p>
    <w:p w14:paraId="024C927D" w14:textId="77777777" w:rsidR="00264E84" w:rsidRPr="004D2ADF" w:rsidRDefault="00264E84" w:rsidP="00264E84">
      <w:pPr>
        <w:rPr>
          <w:b/>
        </w:rPr>
      </w:pPr>
      <w:r>
        <w:rPr>
          <w:b/>
        </w:rPr>
        <w:t>Proposal 5: RAN1 to define an assumption on the maximum feeder link delay.</w:t>
      </w:r>
    </w:p>
    <w:p w14:paraId="6277BDEA" w14:textId="77777777" w:rsidR="00264E84" w:rsidRPr="00DD0364" w:rsidRDefault="00264E84" w:rsidP="00264E84">
      <w:pPr>
        <w:rPr>
          <w:b/>
        </w:rPr>
      </w:pPr>
      <w:r>
        <w:rPr>
          <w:b/>
        </w:rPr>
        <w:t>Proposal 6: RAN1 to define the maximum additional NR-</w:t>
      </w:r>
      <w:proofErr w:type="spellStart"/>
      <w:r>
        <w:rPr>
          <w:b/>
        </w:rPr>
        <w:t>Uu</w:t>
      </w:r>
      <w:proofErr w:type="spellEnd"/>
      <w:r>
        <w:rPr>
          <w:b/>
        </w:rPr>
        <w:t xml:space="preserve"> delay due to use of ISL and potential path gain impacts.</w:t>
      </w:r>
    </w:p>
    <w:p w14:paraId="4E10DED2" w14:textId="77777777" w:rsidR="00264E84" w:rsidRPr="006F29FF" w:rsidRDefault="00264E84" w:rsidP="00264E84">
      <w:pPr>
        <w:rPr>
          <w:b/>
        </w:rPr>
      </w:pPr>
      <w:r w:rsidRPr="06B5A646">
        <w:rPr>
          <w:b/>
          <w:bCs/>
        </w:rPr>
        <w:t>Proposal</w:t>
      </w:r>
      <w:r>
        <w:rPr>
          <w:b/>
          <w:bCs/>
        </w:rPr>
        <w:t xml:space="preserve"> 7</w:t>
      </w:r>
      <w:r w:rsidRPr="06B5A646">
        <w:rPr>
          <w:b/>
          <w:bCs/>
        </w:rPr>
        <w:t>: RAN1 to discuss GNSS usage applications and whether one or more GNSS capabilities classes are needed for NTN.</w:t>
      </w:r>
    </w:p>
    <w:p w14:paraId="53491063" w14:textId="77777777" w:rsidR="00264E84" w:rsidRDefault="00264E84" w:rsidP="00264E84">
      <w:pPr>
        <w:rPr>
          <w:b/>
        </w:rPr>
      </w:pPr>
      <w:r>
        <w:rPr>
          <w:b/>
        </w:rPr>
        <w:t xml:space="preserve">Proposal 8: The error model used to estimate the GNSS-assisted information accuracy should consider additional sources of inaccuracy when the solution does not depend solely on UE position. </w:t>
      </w:r>
    </w:p>
    <w:p w14:paraId="234AD020" w14:textId="77777777" w:rsidR="00264E84" w:rsidRPr="00264E84" w:rsidRDefault="00264E84" w:rsidP="00264E84">
      <w:pPr>
        <w:rPr>
          <w:b/>
        </w:rPr>
      </w:pPr>
      <w:r w:rsidRPr="00264E84">
        <w:rPr>
          <w:b/>
        </w:rPr>
        <w:t>Proposal</w:t>
      </w:r>
      <w:r>
        <w:rPr>
          <w:b/>
        </w:rPr>
        <w:t xml:space="preserve"> 9</w:t>
      </w:r>
      <w:r w:rsidRPr="00264E84">
        <w:rPr>
          <w:b/>
        </w:rPr>
        <w:t xml:space="preserve">: RAN1 to discuss the total allowed GNSS inaccuracy for different GNSS assisted use cases. And </w:t>
      </w:r>
      <w:proofErr w:type="spellStart"/>
      <w:r w:rsidRPr="00264E84">
        <w:rPr>
          <w:b/>
        </w:rPr>
        <w:t>wether</w:t>
      </w:r>
      <w:proofErr w:type="spellEnd"/>
      <w:r w:rsidRPr="00264E84">
        <w:rPr>
          <w:b/>
        </w:rPr>
        <w:t xml:space="preserve"> the use of GNSS is feasible for certain use cases.</w:t>
      </w:r>
    </w:p>
    <w:p w14:paraId="2F27F55B" w14:textId="77777777" w:rsidR="00264E84" w:rsidRPr="00F64271" w:rsidRDefault="00264E84" w:rsidP="00264E84">
      <w:pPr>
        <w:rPr>
          <w:b/>
        </w:rPr>
      </w:pPr>
      <w:r>
        <w:rPr>
          <w:b/>
        </w:rPr>
        <w:t>Proposal 10: RAN1 to discuss which GNSS assistance information is available to the NTN UE.</w:t>
      </w:r>
    </w:p>
    <w:p w14:paraId="2EA2A9D7" w14:textId="77777777" w:rsidR="00264E84" w:rsidRPr="006F29FF" w:rsidRDefault="00264E84" w:rsidP="00264E84">
      <w:pPr>
        <w:rPr>
          <w:b/>
        </w:rPr>
      </w:pPr>
      <w:r>
        <w:rPr>
          <w:b/>
        </w:rPr>
        <w:t xml:space="preserve">Proposal 11: RAN1 to define at least one GNSS accuracy model in 3D space and with time </w:t>
      </w:r>
      <w:proofErr w:type="spellStart"/>
      <w:r>
        <w:rPr>
          <w:b/>
        </w:rPr>
        <w:t>varing</w:t>
      </w:r>
      <w:proofErr w:type="spellEnd"/>
      <w:r>
        <w:rPr>
          <w:b/>
        </w:rPr>
        <w:t xml:space="preserve"> behaviour.</w:t>
      </w:r>
    </w:p>
    <w:p w14:paraId="71DAA9E6" w14:textId="77777777" w:rsidR="00264E84" w:rsidRPr="006F29FF" w:rsidRDefault="00264E84" w:rsidP="00264E84">
      <w:pPr>
        <w:rPr>
          <w:b/>
        </w:rPr>
      </w:pPr>
      <w:r w:rsidRPr="006F29FF">
        <w:rPr>
          <w:b/>
        </w:rPr>
        <w:t>Proposal</w:t>
      </w:r>
      <w:r>
        <w:rPr>
          <w:b/>
        </w:rPr>
        <w:t xml:space="preserve"> 12</w:t>
      </w:r>
      <w:r w:rsidRPr="006F29FF">
        <w:rPr>
          <w:b/>
        </w:rPr>
        <w:t>:</w:t>
      </w:r>
      <w:r>
        <w:rPr>
          <w:b/>
        </w:rPr>
        <w:t xml:space="preserve"> Companies need to demonstrate the benefit of GNSS for mobility assistance and physical layer signalling adjustment, when considering achievable GNSS accuracy and update rate.</w:t>
      </w:r>
    </w:p>
    <w:p w14:paraId="7BABD2A6" w14:textId="77777777" w:rsidR="00740F44" w:rsidRPr="00885580" w:rsidRDefault="00740F44" w:rsidP="00885580"/>
    <w:p w14:paraId="53CD9119" w14:textId="77777777" w:rsidR="00885580" w:rsidRPr="00ED1327" w:rsidRDefault="00885580" w:rsidP="00885580">
      <w:pPr>
        <w:pStyle w:val="Heading1"/>
        <w:numPr>
          <w:ilvl w:val="0"/>
          <w:numId w:val="0"/>
        </w:numPr>
      </w:pPr>
      <w:r>
        <w:t>References</w:t>
      </w:r>
    </w:p>
    <w:p w14:paraId="45176E43" w14:textId="77777777" w:rsidR="00F63846" w:rsidRPr="00F63846" w:rsidRDefault="00F63846" w:rsidP="00F63846">
      <w:pPr>
        <w:pStyle w:val="ListParagraph"/>
        <w:numPr>
          <w:ilvl w:val="0"/>
          <w:numId w:val="12"/>
        </w:numPr>
        <w:rPr>
          <w:sz w:val="20"/>
          <w:lang w:val="en-US"/>
        </w:rPr>
      </w:pPr>
      <w:bookmarkStart w:id="10" w:name="_Ref31184830"/>
      <w:r w:rsidRPr="00F63846">
        <w:rPr>
          <w:sz w:val="20"/>
          <w:lang w:val="en-US"/>
        </w:rPr>
        <w:t>RP-193234, Thales, “Solutions for NR to support non-terrestrial networks”, RAN #86, 2019</w:t>
      </w:r>
      <w:bookmarkEnd w:id="10"/>
    </w:p>
    <w:p w14:paraId="2EEDDBAE" w14:textId="7C171803" w:rsidR="00F63846" w:rsidRPr="00F63846" w:rsidRDefault="00F63846" w:rsidP="00F63846">
      <w:pPr>
        <w:pStyle w:val="ListParagraph"/>
        <w:numPr>
          <w:ilvl w:val="0"/>
          <w:numId w:val="12"/>
        </w:numPr>
        <w:rPr>
          <w:sz w:val="20"/>
          <w:lang w:val="en-US"/>
        </w:rPr>
      </w:pPr>
      <w:bookmarkStart w:id="11" w:name="_Ref31184816"/>
      <w:r w:rsidRPr="00F63846">
        <w:rPr>
          <w:sz w:val="20"/>
          <w:lang w:val="en-US"/>
        </w:rPr>
        <w:t>TR 38.821 v.1</w:t>
      </w:r>
      <w:r w:rsidR="00760D23">
        <w:rPr>
          <w:sz w:val="20"/>
          <w:lang w:val="en-US"/>
        </w:rPr>
        <w:t>6</w:t>
      </w:r>
      <w:r w:rsidRPr="00F63846">
        <w:rPr>
          <w:sz w:val="20"/>
          <w:lang w:val="en-US"/>
        </w:rPr>
        <w:t>.</w:t>
      </w:r>
      <w:r w:rsidR="00760D23">
        <w:rPr>
          <w:sz w:val="20"/>
          <w:lang w:val="en-US"/>
        </w:rPr>
        <w:t>0</w:t>
      </w:r>
      <w:r w:rsidRPr="00F63846">
        <w:rPr>
          <w:sz w:val="20"/>
          <w:lang w:val="en-US"/>
        </w:rPr>
        <w:t>.0, 3GPP, “Solutions for NR to support non-terrestrial networks”, 20</w:t>
      </w:r>
      <w:r w:rsidR="00760D23">
        <w:rPr>
          <w:sz w:val="20"/>
          <w:lang w:val="en-US"/>
        </w:rPr>
        <w:t>20</w:t>
      </w:r>
      <w:bookmarkEnd w:id="11"/>
    </w:p>
    <w:p w14:paraId="0430EA58" w14:textId="10A10AE4" w:rsidR="00F63846" w:rsidRDefault="00F63846" w:rsidP="001D6A31">
      <w:pPr>
        <w:pStyle w:val="ListParagraph"/>
        <w:numPr>
          <w:ilvl w:val="0"/>
          <w:numId w:val="12"/>
        </w:numPr>
        <w:rPr>
          <w:sz w:val="20"/>
          <w:lang w:val="en-US"/>
        </w:rPr>
      </w:pPr>
      <w:bookmarkStart w:id="12" w:name="_Ref31184866"/>
      <w:r w:rsidRPr="00F63846">
        <w:rPr>
          <w:sz w:val="20"/>
          <w:lang w:val="en-US"/>
        </w:rPr>
        <w:t>R1-1908251, Nokia, “Considerations on UL Power Control, AMC and CSI in NTN”, RAN1 #98, 2019</w:t>
      </w:r>
      <w:bookmarkEnd w:id="12"/>
    </w:p>
    <w:p w14:paraId="0D2B8F5E" w14:textId="70D1AE52" w:rsidR="00220D83" w:rsidRPr="00F313E4" w:rsidRDefault="00220D83" w:rsidP="001D6A31">
      <w:pPr>
        <w:pStyle w:val="ListParagraph"/>
        <w:numPr>
          <w:ilvl w:val="0"/>
          <w:numId w:val="12"/>
        </w:numPr>
        <w:rPr>
          <w:sz w:val="20"/>
          <w:lang w:val="en-US"/>
        </w:rPr>
      </w:pPr>
      <w:bookmarkStart w:id="13" w:name="_Ref47619830"/>
      <w:r w:rsidRPr="00264E84">
        <w:rPr>
          <w:sz w:val="20"/>
        </w:rPr>
        <w:t>R1- 2006422</w:t>
      </w:r>
      <w:r>
        <w:rPr>
          <w:sz w:val="20"/>
        </w:rPr>
        <w:t>, Nokia</w:t>
      </w:r>
      <w:r w:rsidRPr="00264E84">
        <w:rPr>
          <w:sz w:val="20"/>
          <w:lang w:val="en-US"/>
        </w:rPr>
        <w:t>, ” Discussion on UL time and frequency synchronization for NTN”, RAN1, #102, 2020.</w:t>
      </w:r>
      <w:bookmarkEnd w:id="13"/>
      <w:r>
        <w:rPr>
          <w:sz w:val="20"/>
        </w:rPr>
        <w:t xml:space="preserve"> </w:t>
      </w:r>
    </w:p>
    <w:p w14:paraId="371971E8" w14:textId="2C273815" w:rsidR="00F35C8F" w:rsidRPr="00F313E4" w:rsidRDefault="00F35C8F" w:rsidP="001D6A31">
      <w:pPr>
        <w:pStyle w:val="ListParagraph"/>
        <w:numPr>
          <w:ilvl w:val="0"/>
          <w:numId w:val="12"/>
        </w:numPr>
        <w:rPr>
          <w:sz w:val="18"/>
          <w:szCs w:val="22"/>
          <w:lang w:val="en-US"/>
        </w:rPr>
      </w:pPr>
      <w:bookmarkStart w:id="14" w:name="_Ref47687764"/>
      <w:r w:rsidRPr="00F313E4">
        <w:rPr>
          <w:sz w:val="22"/>
          <w:szCs w:val="22"/>
        </w:rPr>
        <w:t xml:space="preserve">GPS </w:t>
      </w:r>
      <w:proofErr w:type="spellStart"/>
      <w:r w:rsidRPr="00F313E4">
        <w:rPr>
          <w:sz w:val="22"/>
          <w:szCs w:val="22"/>
        </w:rPr>
        <w:t>Accuracy</w:t>
      </w:r>
      <w:proofErr w:type="spellEnd"/>
      <w:r w:rsidRPr="00F313E4">
        <w:rPr>
          <w:sz w:val="22"/>
          <w:szCs w:val="22"/>
        </w:rPr>
        <w:t xml:space="preserve">, GPS, </w:t>
      </w:r>
      <w:proofErr w:type="spellStart"/>
      <w:r w:rsidRPr="00F313E4">
        <w:rPr>
          <w:sz w:val="22"/>
          <w:szCs w:val="22"/>
        </w:rPr>
        <w:t>available</w:t>
      </w:r>
      <w:proofErr w:type="spellEnd"/>
      <w:r w:rsidRPr="00F313E4">
        <w:rPr>
          <w:sz w:val="22"/>
          <w:szCs w:val="22"/>
        </w:rPr>
        <w:t xml:space="preserve"> in </w:t>
      </w:r>
      <w:hyperlink r:id="rId10" w:history="1">
        <w:r w:rsidRPr="00F313E4">
          <w:rPr>
            <w:rStyle w:val="Hyperlink"/>
            <w:sz w:val="22"/>
            <w:szCs w:val="22"/>
          </w:rPr>
          <w:t>https://www.gps.gov/systems/gps/performance/accuracy/</w:t>
        </w:r>
      </w:hyperlink>
      <w:r w:rsidRPr="00F313E4">
        <w:rPr>
          <w:sz w:val="22"/>
          <w:szCs w:val="22"/>
        </w:rPr>
        <w:t xml:space="preserve"> (</w:t>
      </w:r>
      <w:proofErr w:type="spellStart"/>
      <w:r w:rsidRPr="00F313E4">
        <w:rPr>
          <w:sz w:val="22"/>
          <w:szCs w:val="22"/>
        </w:rPr>
        <w:t>accessed</w:t>
      </w:r>
      <w:proofErr w:type="spellEnd"/>
      <w:r w:rsidRPr="00F313E4">
        <w:rPr>
          <w:sz w:val="22"/>
          <w:szCs w:val="22"/>
        </w:rPr>
        <w:t xml:space="preserve"> 7-Aug-2020)</w:t>
      </w:r>
      <w:bookmarkEnd w:id="14"/>
    </w:p>
    <w:p w14:paraId="6F19DE65" w14:textId="4BE5B77B" w:rsidR="00760D23" w:rsidRPr="00264E84" w:rsidRDefault="00760D23" w:rsidP="001D6A31">
      <w:pPr>
        <w:pStyle w:val="ListParagraph"/>
        <w:numPr>
          <w:ilvl w:val="0"/>
          <w:numId w:val="12"/>
        </w:numPr>
        <w:rPr>
          <w:sz w:val="20"/>
          <w:lang w:val="en-US"/>
        </w:rPr>
      </w:pPr>
      <w:bookmarkStart w:id="15" w:name="_Ref47620311"/>
      <w:r>
        <w:rPr>
          <w:rFonts w:ascii="Arial" w:hAnsi="Arial" w:cs="Arial"/>
          <w:color w:val="000000"/>
          <w:sz w:val="18"/>
          <w:szCs w:val="18"/>
        </w:rPr>
        <w:t>TR 38.811 v15.3.0, 3GPP, ”</w:t>
      </w:r>
      <w:proofErr w:type="spellStart"/>
      <w:r>
        <w:rPr>
          <w:rFonts w:ascii="Arial" w:hAnsi="Arial" w:cs="Arial"/>
          <w:color w:val="000000"/>
          <w:sz w:val="18"/>
          <w:szCs w:val="18"/>
        </w:rPr>
        <w:t>Study</w:t>
      </w:r>
      <w:proofErr w:type="spellEnd"/>
      <w:r>
        <w:rPr>
          <w:rFonts w:ascii="Arial" w:hAnsi="Arial" w:cs="Arial"/>
          <w:color w:val="000000"/>
          <w:sz w:val="18"/>
          <w:szCs w:val="18"/>
        </w:rPr>
        <w:t xml:space="preserve"> on New Radio (NR) to </w:t>
      </w:r>
      <w:proofErr w:type="spellStart"/>
      <w:r>
        <w:rPr>
          <w:rFonts w:ascii="Arial" w:hAnsi="Arial" w:cs="Arial"/>
          <w:color w:val="000000"/>
          <w:sz w:val="18"/>
          <w:szCs w:val="18"/>
        </w:rPr>
        <w:t>support</w:t>
      </w:r>
      <w:proofErr w:type="spellEnd"/>
      <w:r>
        <w:rPr>
          <w:rFonts w:ascii="Arial" w:hAnsi="Arial" w:cs="Arial"/>
          <w:color w:val="000000"/>
          <w:sz w:val="18"/>
          <w:szCs w:val="18"/>
        </w:rPr>
        <w:t xml:space="preserve"> </w:t>
      </w:r>
      <w:proofErr w:type="spellStart"/>
      <w:r>
        <w:rPr>
          <w:rFonts w:ascii="Arial" w:hAnsi="Arial" w:cs="Arial"/>
          <w:color w:val="000000"/>
          <w:sz w:val="18"/>
          <w:szCs w:val="18"/>
        </w:rPr>
        <w:t>non-terrestrial</w:t>
      </w:r>
      <w:proofErr w:type="spellEnd"/>
      <w:r>
        <w:rPr>
          <w:rFonts w:ascii="Arial" w:hAnsi="Arial" w:cs="Arial"/>
          <w:color w:val="000000"/>
          <w:sz w:val="18"/>
          <w:szCs w:val="18"/>
        </w:rPr>
        <w:t xml:space="preserve"> networks2, 2020.</w:t>
      </w:r>
      <w:bookmarkEnd w:id="15"/>
    </w:p>
    <w:p w14:paraId="46BCD907" w14:textId="4B436BEA" w:rsidR="00D954E6" w:rsidRDefault="00D954E6" w:rsidP="001D6A31">
      <w:pPr>
        <w:pStyle w:val="ListParagraph"/>
        <w:numPr>
          <w:ilvl w:val="0"/>
          <w:numId w:val="12"/>
        </w:numPr>
        <w:rPr>
          <w:sz w:val="20"/>
          <w:lang w:val="en-US"/>
        </w:rPr>
      </w:pPr>
      <w:bookmarkStart w:id="16" w:name="_Ref47620285"/>
      <w:r>
        <w:rPr>
          <w:sz w:val="20"/>
          <w:lang w:val="en-US"/>
        </w:rPr>
        <w:t xml:space="preserve">K. </w:t>
      </w:r>
      <w:proofErr w:type="spellStart"/>
      <w:r>
        <w:rPr>
          <w:sz w:val="20"/>
          <w:lang w:val="en-US"/>
        </w:rPr>
        <w:t>Daneshou</w:t>
      </w:r>
      <w:proofErr w:type="spellEnd"/>
      <w:r>
        <w:rPr>
          <w:sz w:val="20"/>
          <w:lang w:val="en-US"/>
        </w:rPr>
        <w:t xml:space="preserve">, A. </w:t>
      </w:r>
      <w:proofErr w:type="spellStart"/>
      <w:r>
        <w:rPr>
          <w:sz w:val="20"/>
          <w:lang w:val="en-US"/>
        </w:rPr>
        <w:t>Alasty</w:t>
      </w:r>
      <w:proofErr w:type="spellEnd"/>
      <w:r>
        <w:rPr>
          <w:sz w:val="20"/>
          <w:lang w:val="en-US"/>
        </w:rPr>
        <w:t xml:space="preserve"> and S. Rezaei, “Orbital Perturbation Effect on LEO Satellite Trajectory”, Journal of Aerospace Science and Technology, Vol.1, No. 1, pp. 23-29</w:t>
      </w:r>
      <w:bookmarkEnd w:id="16"/>
      <w:r>
        <w:rPr>
          <w:sz w:val="20"/>
          <w:lang w:val="en-US"/>
        </w:rPr>
        <w:t xml:space="preserve"> </w:t>
      </w:r>
    </w:p>
    <w:p w14:paraId="3451ECD1" w14:textId="20D70A32" w:rsidR="00F4365B" w:rsidRDefault="00896472" w:rsidP="001D6A31">
      <w:pPr>
        <w:pStyle w:val="ListParagraph"/>
        <w:numPr>
          <w:ilvl w:val="0"/>
          <w:numId w:val="12"/>
        </w:numPr>
        <w:rPr>
          <w:sz w:val="20"/>
          <w:lang w:val="en-US"/>
        </w:rPr>
      </w:pPr>
      <w:bookmarkStart w:id="17" w:name="_Ref31358092"/>
      <w:r>
        <w:rPr>
          <w:sz w:val="20"/>
          <w:lang w:val="en-US"/>
        </w:rPr>
        <w:t>TS 37.355 v.15.0.0, 3GPP, “LTE Positioning Protocol (LPP), 2020</w:t>
      </w:r>
      <w:bookmarkEnd w:id="17"/>
    </w:p>
    <w:p w14:paraId="74AEF342" w14:textId="03F05B04" w:rsidR="00144D42" w:rsidRPr="00F63846" w:rsidRDefault="00144D42" w:rsidP="001D6A31">
      <w:pPr>
        <w:pStyle w:val="ListParagraph"/>
        <w:numPr>
          <w:ilvl w:val="0"/>
          <w:numId w:val="12"/>
        </w:numPr>
        <w:rPr>
          <w:sz w:val="20"/>
          <w:lang w:val="en-US"/>
        </w:rPr>
      </w:pPr>
      <w:bookmarkStart w:id="18" w:name="_Ref47687096"/>
      <w:r>
        <w:rPr>
          <w:sz w:val="20"/>
          <w:lang w:val="en-US"/>
        </w:rPr>
        <w:t>R2-</w:t>
      </w:r>
      <w:r w:rsidRPr="00144D42">
        <w:rPr>
          <w:sz w:val="20"/>
          <w:lang w:val="en-US"/>
        </w:rPr>
        <w:t>2007363</w:t>
      </w:r>
      <w:r>
        <w:rPr>
          <w:sz w:val="20"/>
          <w:lang w:val="en-US"/>
        </w:rPr>
        <w:t>, Nokia, “</w:t>
      </w:r>
      <w:r w:rsidRPr="00144D42">
        <w:rPr>
          <w:sz w:val="20"/>
          <w:lang w:val="en-US"/>
        </w:rPr>
        <w:t>On the scenarios and simulation assumptions for evaluating NTN mobility</w:t>
      </w:r>
      <w:r>
        <w:rPr>
          <w:sz w:val="20"/>
          <w:lang w:val="en-US"/>
        </w:rPr>
        <w:t>”, RAN2 #111e, 2020</w:t>
      </w:r>
      <w:bookmarkEnd w:id="18"/>
    </w:p>
    <w:p w14:paraId="7FF5F37B" w14:textId="77777777" w:rsidR="00961EE9" w:rsidRDefault="00961EE9" w:rsidP="00D37A1A"/>
    <w:sectPr w:rsidR="00961EE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70C382" w14:textId="77777777" w:rsidR="001D6A31" w:rsidRDefault="001D6A31">
      <w:r>
        <w:separator/>
      </w:r>
    </w:p>
  </w:endnote>
  <w:endnote w:type="continuationSeparator" w:id="0">
    <w:p w14:paraId="3BD7B839" w14:textId="77777777" w:rsidR="001D6A31" w:rsidRDefault="001D6A31">
      <w:r>
        <w:continuationSeparator/>
      </w:r>
    </w:p>
  </w:endnote>
  <w:endnote w:type="continuationNotice" w:id="1">
    <w:p w14:paraId="405D2A4A" w14:textId="77777777" w:rsidR="00860CA0" w:rsidRDefault="00860C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363CB0" w14:textId="77777777" w:rsidR="001D6A31" w:rsidRDefault="001D6A31">
      <w:r>
        <w:separator/>
      </w:r>
    </w:p>
  </w:footnote>
  <w:footnote w:type="continuationSeparator" w:id="0">
    <w:p w14:paraId="3B097D3E" w14:textId="77777777" w:rsidR="001D6A31" w:rsidRDefault="001D6A31">
      <w:r>
        <w:continuationSeparator/>
      </w:r>
    </w:p>
  </w:footnote>
  <w:footnote w:type="continuationNotice" w:id="1">
    <w:p w14:paraId="3CBA7392" w14:textId="77777777" w:rsidR="00860CA0" w:rsidRDefault="00860C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23BE78EC"/>
    <w:multiLevelType w:val="hybridMultilevel"/>
    <w:tmpl w:val="8C38A12A"/>
    <w:lvl w:ilvl="0" w:tplc="9FE81596">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D618FE"/>
    <w:multiLevelType w:val="hybridMultilevel"/>
    <w:tmpl w:val="FB022F1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3E80C33"/>
    <w:multiLevelType w:val="hybridMultilevel"/>
    <w:tmpl w:val="70FE6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5D04EF"/>
    <w:multiLevelType w:val="hybridMultilevel"/>
    <w:tmpl w:val="FA42449A"/>
    <w:lvl w:ilvl="0" w:tplc="5FA8434A">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2"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65116B"/>
    <w:multiLevelType w:val="hybridMultilevel"/>
    <w:tmpl w:val="B016C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B8769C"/>
    <w:multiLevelType w:val="hybridMultilevel"/>
    <w:tmpl w:val="0DC80422"/>
    <w:lvl w:ilvl="0" w:tplc="0406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9" w15:restartNumberingAfterBreak="0">
    <w:nsid w:val="6F270182"/>
    <w:multiLevelType w:val="hybridMultilevel"/>
    <w:tmpl w:val="C838B8D4"/>
    <w:lvl w:ilvl="0" w:tplc="5CC216D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7"/>
  </w:num>
  <w:num w:numId="3">
    <w:abstractNumId w:val="0"/>
  </w:num>
  <w:num w:numId="4">
    <w:abstractNumId w:val="1"/>
  </w:num>
  <w:num w:numId="5">
    <w:abstractNumId w:val="10"/>
  </w:num>
  <w:num w:numId="6">
    <w:abstractNumId w:val="18"/>
  </w:num>
  <w:num w:numId="7">
    <w:abstractNumId w:val="12"/>
  </w:num>
  <w:num w:numId="8">
    <w:abstractNumId w:val="9"/>
  </w:num>
  <w:num w:numId="9">
    <w:abstractNumId w:val="20"/>
  </w:num>
  <w:num w:numId="10">
    <w:abstractNumId w:val="3"/>
  </w:num>
  <w:num w:numId="11">
    <w:abstractNumId w:val="14"/>
  </w:num>
  <w:num w:numId="12">
    <w:abstractNumId w:val="2"/>
  </w:num>
  <w:num w:numId="13">
    <w:abstractNumId w:val="7"/>
  </w:num>
  <w:num w:numId="14">
    <w:abstractNumId w:val="16"/>
  </w:num>
  <w:num w:numId="15">
    <w:abstractNumId w:val="8"/>
  </w:num>
  <w:num w:numId="16">
    <w:abstractNumId w:val="13"/>
  </w:num>
  <w:num w:numId="17">
    <w:abstractNumId w:val="5"/>
  </w:num>
  <w:num w:numId="18">
    <w:abstractNumId w:val="15"/>
  </w:num>
  <w:num w:numId="19">
    <w:abstractNumId w:val="6"/>
  </w:num>
  <w:num w:numId="20">
    <w:abstractNumId w:val="11"/>
  </w:num>
  <w:num w:numId="21">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916"/>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1944"/>
    <w:rsid w:val="0003332B"/>
    <w:rsid w:val="00033544"/>
    <w:rsid w:val="0003479E"/>
    <w:rsid w:val="00035691"/>
    <w:rsid w:val="0003767C"/>
    <w:rsid w:val="00040F4F"/>
    <w:rsid w:val="0004132D"/>
    <w:rsid w:val="00041C9D"/>
    <w:rsid w:val="00044CFA"/>
    <w:rsid w:val="000459C7"/>
    <w:rsid w:val="00045C0E"/>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3BED"/>
    <w:rsid w:val="00144C87"/>
    <w:rsid w:val="00144D42"/>
    <w:rsid w:val="001467B1"/>
    <w:rsid w:val="00150175"/>
    <w:rsid w:val="001502C8"/>
    <w:rsid w:val="00151011"/>
    <w:rsid w:val="00151224"/>
    <w:rsid w:val="0015130F"/>
    <w:rsid w:val="001532BA"/>
    <w:rsid w:val="00153FED"/>
    <w:rsid w:val="00154DF2"/>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29E"/>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6540"/>
    <w:rsid w:val="001D6A31"/>
    <w:rsid w:val="001D753C"/>
    <w:rsid w:val="001D7CA4"/>
    <w:rsid w:val="001D7E58"/>
    <w:rsid w:val="001E13B3"/>
    <w:rsid w:val="001E30A0"/>
    <w:rsid w:val="001E3DE1"/>
    <w:rsid w:val="001E4D4F"/>
    <w:rsid w:val="001E54F9"/>
    <w:rsid w:val="001E57CF"/>
    <w:rsid w:val="001E5981"/>
    <w:rsid w:val="001E6025"/>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342B"/>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0D83"/>
    <w:rsid w:val="0022172F"/>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1B0"/>
    <w:rsid w:val="00252C17"/>
    <w:rsid w:val="0025307F"/>
    <w:rsid w:val="002551BD"/>
    <w:rsid w:val="002568D0"/>
    <w:rsid w:val="00260AEE"/>
    <w:rsid w:val="002621A6"/>
    <w:rsid w:val="00262661"/>
    <w:rsid w:val="00262D9D"/>
    <w:rsid w:val="002632DF"/>
    <w:rsid w:val="00263946"/>
    <w:rsid w:val="002640BA"/>
    <w:rsid w:val="00264CF2"/>
    <w:rsid w:val="00264E84"/>
    <w:rsid w:val="002667A8"/>
    <w:rsid w:val="00267587"/>
    <w:rsid w:val="002675C8"/>
    <w:rsid w:val="00267760"/>
    <w:rsid w:val="00270784"/>
    <w:rsid w:val="00271589"/>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94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335"/>
    <w:rsid w:val="00311C08"/>
    <w:rsid w:val="003125E0"/>
    <w:rsid w:val="00312ECE"/>
    <w:rsid w:val="0031393C"/>
    <w:rsid w:val="00313CB0"/>
    <w:rsid w:val="00313F96"/>
    <w:rsid w:val="00314B0A"/>
    <w:rsid w:val="00314D88"/>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53D"/>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40BE"/>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658"/>
    <w:rsid w:val="0044474B"/>
    <w:rsid w:val="00445FF7"/>
    <w:rsid w:val="004508A8"/>
    <w:rsid w:val="00451587"/>
    <w:rsid w:val="00452CA7"/>
    <w:rsid w:val="00453341"/>
    <w:rsid w:val="004545C6"/>
    <w:rsid w:val="00454DCA"/>
    <w:rsid w:val="00454E26"/>
    <w:rsid w:val="00456544"/>
    <w:rsid w:val="00456649"/>
    <w:rsid w:val="004567B7"/>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3A14"/>
    <w:rsid w:val="00484377"/>
    <w:rsid w:val="00485B23"/>
    <w:rsid w:val="00485B50"/>
    <w:rsid w:val="004874E4"/>
    <w:rsid w:val="0049070D"/>
    <w:rsid w:val="00490A39"/>
    <w:rsid w:val="00490E82"/>
    <w:rsid w:val="00491BE4"/>
    <w:rsid w:val="00491DB2"/>
    <w:rsid w:val="00492877"/>
    <w:rsid w:val="00495471"/>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2629"/>
    <w:rsid w:val="004D26B8"/>
    <w:rsid w:val="004D2ADF"/>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BD2"/>
    <w:rsid w:val="00513DEF"/>
    <w:rsid w:val="0051423C"/>
    <w:rsid w:val="005148D4"/>
    <w:rsid w:val="00514C91"/>
    <w:rsid w:val="005153CE"/>
    <w:rsid w:val="00516241"/>
    <w:rsid w:val="00516FD9"/>
    <w:rsid w:val="0051701F"/>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4AE6"/>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67CFE"/>
    <w:rsid w:val="00570D9F"/>
    <w:rsid w:val="0057185C"/>
    <w:rsid w:val="00571CA8"/>
    <w:rsid w:val="00572947"/>
    <w:rsid w:val="00573138"/>
    <w:rsid w:val="005734A7"/>
    <w:rsid w:val="005746C4"/>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340"/>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608"/>
    <w:rsid w:val="006369A9"/>
    <w:rsid w:val="006373CD"/>
    <w:rsid w:val="006408E9"/>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0DD3"/>
    <w:rsid w:val="006A146E"/>
    <w:rsid w:val="006A1BEB"/>
    <w:rsid w:val="006A3022"/>
    <w:rsid w:val="006A41AE"/>
    <w:rsid w:val="006A4856"/>
    <w:rsid w:val="006A5474"/>
    <w:rsid w:val="006A564B"/>
    <w:rsid w:val="006B05B5"/>
    <w:rsid w:val="006B1054"/>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29FF"/>
    <w:rsid w:val="006F3196"/>
    <w:rsid w:val="006F3C54"/>
    <w:rsid w:val="006F418C"/>
    <w:rsid w:val="006F5E64"/>
    <w:rsid w:val="006F60DE"/>
    <w:rsid w:val="006F65FB"/>
    <w:rsid w:val="006F6E57"/>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0F44"/>
    <w:rsid w:val="00742A6A"/>
    <w:rsid w:val="00742B44"/>
    <w:rsid w:val="0074656E"/>
    <w:rsid w:val="007472D5"/>
    <w:rsid w:val="00752B03"/>
    <w:rsid w:val="00753454"/>
    <w:rsid w:val="00753BB5"/>
    <w:rsid w:val="007544F1"/>
    <w:rsid w:val="00755E4A"/>
    <w:rsid w:val="00756832"/>
    <w:rsid w:val="00757F0B"/>
    <w:rsid w:val="00760D23"/>
    <w:rsid w:val="007626D0"/>
    <w:rsid w:val="007651CA"/>
    <w:rsid w:val="00767519"/>
    <w:rsid w:val="007704E1"/>
    <w:rsid w:val="00770E5C"/>
    <w:rsid w:val="00771A06"/>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4B49"/>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D04"/>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069"/>
    <w:rsid w:val="008528D3"/>
    <w:rsid w:val="00854553"/>
    <w:rsid w:val="00855B86"/>
    <w:rsid w:val="00856D47"/>
    <w:rsid w:val="00860874"/>
    <w:rsid w:val="008609A3"/>
    <w:rsid w:val="00860CA0"/>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6472"/>
    <w:rsid w:val="0089716F"/>
    <w:rsid w:val="00897C71"/>
    <w:rsid w:val="008A0F54"/>
    <w:rsid w:val="008A16F9"/>
    <w:rsid w:val="008A1D3E"/>
    <w:rsid w:val="008A3038"/>
    <w:rsid w:val="008A3532"/>
    <w:rsid w:val="008A4B16"/>
    <w:rsid w:val="008A4D63"/>
    <w:rsid w:val="008A4E11"/>
    <w:rsid w:val="008A6D62"/>
    <w:rsid w:val="008B13E9"/>
    <w:rsid w:val="008B2257"/>
    <w:rsid w:val="008B2436"/>
    <w:rsid w:val="008B3B51"/>
    <w:rsid w:val="008B4057"/>
    <w:rsid w:val="008B4145"/>
    <w:rsid w:val="008B5071"/>
    <w:rsid w:val="008B5290"/>
    <w:rsid w:val="008B5A68"/>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E68ED"/>
    <w:rsid w:val="008F00DB"/>
    <w:rsid w:val="008F1264"/>
    <w:rsid w:val="008F2908"/>
    <w:rsid w:val="008F29D7"/>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181"/>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37FE1"/>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468"/>
    <w:rsid w:val="009B176D"/>
    <w:rsid w:val="009B1E47"/>
    <w:rsid w:val="009B2CED"/>
    <w:rsid w:val="009B3054"/>
    <w:rsid w:val="009B335D"/>
    <w:rsid w:val="009B3C90"/>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66F1"/>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14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3168"/>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872"/>
    <w:rsid w:val="00BA1913"/>
    <w:rsid w:val="00BA2BC9"/>
    <w:rsid w:val="00BA4641"/>
    <w:rsid w:val="00BA4A54"/>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603E"/>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0D09"/>
    <w:rsid w:val="00C22B28"/>
    <w:rsid w:val="00C257B7"/>
    <w:rsid w:val="00C272E8"/>
    <w:rsid w:val="00C30ABC"/>
    <w:rsid w:val="00C30B60"/>
    <w:rsid w:val="00C319CA"/>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68DC"/>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0DAB"/>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0E"/>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4E6"/>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4F5"/>
    <w:rsid w:val="00DC6C1E"/>
    <w:rsid w:val="00DC7255"/>
    <w:rsid w:val="00DC72CE"/>
    <w:rsid w:val="00DC7951"/>
    <w:rsid w:val="00DD1C4B"/>
    <w:rsid w:val="00DD1F7B"/>
    <w:rsid w:val="00DD229E"/>
    <w:rsid w:val="00DD3029"/>
    <w:rsid w:val="00DD4CC1"/>
    <w:rsid w:val="00DD55E0"/>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0258"/>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6A6"/>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65F7"/>
    <w:rsid w:val="00F27FA6"/>
    <w:rsid w:val="00F313E4"/>
    <w:rsid w:val="00F33DC8"/>
    <w:rsid w:val="00F34444"/>
    <w:rsid w:val="00F35C8F"/>
    <w:rsid w:val="00F378F1"/>
    <w:rsid w:val="00F403A1"/>
    <w:rsid w:val="00F403DB"/>
    <w:rsid w:val="00F4065A"/>
    <w:rsid w:val="00F4275C"/>
    <w:rsid w:val="00F434B2"/>
    <w:rsid w:val="00F4365B"/>
    <w:rsid w:val="00F45693"/>
    <w:rsid w:val="00F474B8"/>
    <w:rsid w:val="00F52339"/>
    <w:rsid w:val="00F5277A"/>
    <w:rsid w:val="00F532E8"/>
    <w:rsid w:val="00F537FF"/>
    <w:rsid w:val="00F54E36"/>
    <w:rsid w:val="00F560FE"/>
    <w:rsid w:val="00F60CD6"/>
    <w:rsid w:val="00F6111C"/>
    <w:rsid w:val="00F614C0"/>
    <w:rsid w:val="00F61647"/>
    <w:rsid w:val="00F63846"/>
    <w:rsid w:val="00F64271"/>
    <w:rsid w:val="00F657CF"/>
    <w:rsid w:val="00F65808"/>
    <w:rsid w:val="00F6587D"/>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2FC"/>
    <w:rsid w:val="00F9431F"/>
    <w:rsid w:val="00F944D9"/>
    <w:rsid w:val="00F94DB3"/>
    <w:rsid w:val="00F951E5"/>
    <w:rsid w:val="00F96500"/>
    <w:rsid w:val="00FA31E7"/>
    <w:rsid w:val="00FA413A"/>
    <w:rsid w:val="00FA4144"/>
    <w:rsid w:val="00FA4DDF"/>
    <w:rsid w:val="00FA645E"/>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06B5A646"/>
    <w:rsid w:val="10E807B4"/>
    <w:rsid w:val="141204DA"/>
    <w:rsid w:val="16512788"/>
    <w:rsid w:val="1A219784"/>
    <w:rsid w:val="32975CEE"/>
    <w:rsid w:val="3E61DC49"/>
    <w:rsid w:val="77FF1E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tabs>
        <w:tab w:val="num" w:pos="360"/>
      </w:tabs>
      <w:ind w:left="720" w:hanging="720"/>
      <w:outlineLvl w:val="3"/>
    </w:pPr>
    <w:rPr>
      <w:sz w:val="24"/>
    </w:rPr>
  </w:style>
  <w:style w:type="paragraph" w:styleId="Heading5">
    <w:name w:val="heading 5"/>
    <w:basedOn w:val="Heading4"/>
    <w:next w:val="Normal"/>
    <w:qFormat/>
    <w:rsid w:val="005831DD"/>
    <w:pPr>
      <w:numPr>
        <w:ilvl w:val="4"/>
      </w:numPr>
      <w:tabs>
        <w:tab w:val="num" w:pos="360"/>
      </w:tabs>
      <w:ind w:left="720" w:hanging="72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semiHidden/>
    <w:rsid w:val="005831DD"/>
    <w:rPr>
      <w:sz w:val="16"/>
    </w:rPr>
  </w:style>
  <w:style w:type="paragraph" w:styleId="CommentText">
    <w:name w:val="annotation text"/>
    <w:basedOn w:val="Normal"/>
    <w:link w:val="CommentTextChar"/>
    <w:uiPriority w:val="99"/>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1st level - Bullet List Paragraph,List Paragraph1,Lettre d'introduction,Paragrafo elenco,Normal bullet 2,Bullet list,Numbered List,Task Body,Viñetas (Inicio Parrafo),3 Txt tabla,목록 단"/>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1st level - Bullet List Paragraph Char,List Paragraph1 Char,Lettre d'introduction Char,Paragrafo elenco Char,Normal bullet 2 Char,목록 단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normaltextrun">
    <w:name w:val="normaltextrun"/>
    <w:basedOn w:val="DefaultParagraphFont"/>
    <w:rsid w:val="00220D83"/>
  </w:style>
  <w:style w:type="character" w:styleId="UnresolvedMention">
    <w:name w:val="Unresolved Mention"/>
    <w:basedOn w:val="DefaultParagraphFont"/>
    <w:uiPriority w:val="99"/>
    <w:semiHidden/>
    <w:unhideWhenUsed/>
    <w:rsid w:val="00F35C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844168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4737412">
      <w:bodyDiv w:val="1"/>
      <w:marLeft w:val="0"/>
      <w:marRight w:val="0"/>
      <w:marTop w:val="0"/>
      <w:marBottom w:val="0"/>
      <w:divBdr>
        <w:top w:val="none" w:sz="0" w:space="0" w:color="auto"/>
        <w:left w:val="none" w:sz="0" w:space="0" w:color="auto"/>
        <w:bottom w:val="none" w:sz="0" w:space="0" w:color="auto"/>
        <w:right w:val="none" w:sz="0" w:space="0" w:color="auto"/>
      </w:divBdr>
      <w:divsChild>
        <w:div w:id="87774220">
          <w:marLeft w:val="0"/>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gps.gov/systems/gps/performance/accuracy/"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408CD-123C-4087-B990-B9A2391B1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3516</Words>
  <Characters>20046</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2020-08-07T12:52:00Z</dcterms:created>
  <dcterms:modified xsi:type="dcterms:W3CDTF">2020-08-07T12:52:00Z</dcterms:modified>
</cp:coreProperties>
</file>