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2A7AC" w14:textId="7B875609"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72011D">
        <w:rPr>
          <w:rFonts w:ascii="Arial" w:hAnsi="Arial" w:cs="Arial"/>
          <w:b/>
          <w:bCs/>
          <w:sz w:val="24"/>
          <w:lang w:val="en-US"/>
        </w:rPr>
        <w:t>102-e</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6F3AFF" w:rsidRPr="006F3AFF">
        <w:rPr>
          <w:rFonts w:ascii="Arial" w:hAnsi="Arial" w:cs="Arial"/>
          <w:b/>
          <w:bCs/>
          <w:sz w:val="24"/>
          <w:lang w:val="en-US"/>
        </w:rPr>
        <w:t>R1-2005779</w:t>
      </w:r>
    </w:p>
    <w:p w14:paraId="09273932" w14:textId="77777777" w:rsidR="003D5449" w:rsidRDefault="0072011D" w:rsidP="003D5449">
      <w:pPr>
        <w:widowControl w:val="0"/>
        <w:tabs>
          <w:tab w:val="center" w:pos="4536"/>
          <w:tab w:val="right" w:pos="9072"/>
        </w:tabs>
        <w:overflowPunct/>
        <w:autoSpaceDE/>
        <w:adjustRightInd/>
        <w:spacing w:after="0"/>
        <w:rPr>
          <w:rFonts w:ascii="Arial" w:hAnsi="Arial" w:cs="Arial"/>
          <w:b/>
          <w:bCs/>
          <w:sz w:val="24"/>
          <w:lang w:val="en-US"/>
        </w:rPr>
      </w:pPr>
      <w:r w:rsidRPr="0072011D">
        <w:rPr>
          <w:rFonts w:ascii="Arial" w:hAnsi="Arial" w:cs="Arial"/>
          <w:b/>
          <w:bCs/>
          <w:sz w:val="24"/>
          <w:lang w:val="en-US"/>
        </w:rPr>
        <w:t>e-Meeting, August 17th – 28th, 2020</w:t>
      </w:r>
    </w:p>
    <w:p w14:paraId="40C9E01F"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1BA7DE81" w14:textId="77777777"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120FBB28" w14:textId="77777777"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CA0347">
        <w:rPr>
          <w:rFonts w:ascii="Arial" w:hAnsi="Arial" w:cs="Arial"/>
          <w:b/>
          <w:sz w:val="24"/>
          <w:lang w:val="en-US"/>
        </w:rPr>
        <w:t xml:space="preserve">Reduced PDCCH Monitoring for </w:t>
      </w:r>
      <w:proofErr w:type="spellStart"/>
      <w:r w:rsidR="00CA0347">
        <w:rPr>
          <w:rFonts w:ascii="Arial" w:hAnsi="Arial" w:cs="Arial"/>
          <w:b/>
          <w:sz w:val="24"/>
          <w:lang w:val="en-US"/>
        </w:rPr>
        <w:t>RedCap</w:t>
      </w:r>
      <w:proofErr w:type="spellEnd"/>
      <w:r w:rsidR="00CA0347">
        <w:rPr>
          <w:rFonts w:ascii="Arial" w:hAnsi="Arial" w:cs="Arial"/>
          <w:b/>
          <w:sz w:val="24"/>
          <w:lang w:val="en-US"/>
        </w:rPr>
        <w:t xml:space="preserve"> UEs</w:t>
      </w:r>
    </w:p>
    <w:p w14:paraId="008B9B2B"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1F4C7F">
        <w:rPr>
          <w:rFonts w:ascii="Arial" w:hAnsi="Arial" w:cs="Arial"/>
          <w:b/>
          <w:sz w:val="24"/>
          <w:lang w:val="en-US"/>
        </w:rPr>
        <w:t>8.</w:t>
      </w:r>
      <w:r w:rsidR="00CA0347">
        <w:rPr>
          <w:rFonts w:ascii="Arial" w:hAnsi="Arial" w:cs="Arial"/>
          <w:b/>
          <w:sz w:val="24"/>
          <w:lang w:val="en-US"/>
        </w:rPr>
        <w:t>6.2</w:t>
      </w:r>
    </w:p>
    <w:p w14:paraId="06CC657D" w14:textId="77777777"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6A5E2DF9" w14:textId="77777777" w:rsidR="00A471CA" w:rsidRPr="00494F90" w:rsidRDefault="00A471CA" w:rsidP="00DC28D1">
      <w:pPr>
        <w:spacing w:after="0"/>
        <w:ind w:left="1988" w:hanging="1988"/>
        <w:rPr>
          <w:rFonts w:ascii="Arial" w:hAnsi="Arial" w:cs="Arial"/>
          <w:b/>
          <w:sz w:val="24"/>
          <w:lang w:val="en-US"/>
        </w:rPr>
      </w:pPr>
    </w:p>
    <w:p w14:paraId="3A168C53"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0E122CAA" w14:textId="77777777" w:rsidR="00635D54" w:rsidRDefault="00635D54" w:rsidP="00EB2390">
      <w:pPr>
        <w:pStyle w:val="3GPPNormalText"/>
      </w:pPr>
      <w:r>
        <w:t>T</w:t>
      </w:r>
      <w:r w:rsidRPr="00414EC4">
        <w:t xml:space="preserve">he </w:t>
      </w:r>
      <w:r w:rsidR="00D12ADD">
        <w:t>study</w:t>
      </w:r>
      <w:r w:rsidRPr="00414EC4">
        <w:t xml:space="preserve"> item for</w:t>
      </w:r>
      <w:r w:rsidR="00CA0347">
        <w:t xml:space="preserve"> reduced capability</w:t>
      </w:r>
      <w:r w:rsidRPr="00414EC4">
        <w:t xml:space="preserve"> </w:t>
      </w:r>
      <w:r w:rsidR="00D12ADD">
        <w:t>NR</w:t>
      </w:r>
      <w:r w:rsidR="00CA0347">
        <w:t xml:space="preserve"> devices</w:t>
      </w:r>
      <w:r w:rsidRPr="00414EC4">
        <w:t xml:space="preserve"> was approved</w:t>
      </w:r>
      <w:r w:rsidR="0072011D">
        <w:t xml:space="preserve"> </w:t>
      </w:r>
      <w:r w:rsidR="00132BE4">
        <w:t xml:space="preserve">in RAN#86 and revised in </w:t>
      </w:r>
      <w:r w:rsidR="0072011D">
        <w:t>RAN#88e</w:t>
      </w:r>
      <w:r w:rsidR="00132BE4">
        <w:t xml:space="preserve"> [1],</w:t>
      </w:r>
      <w:r>
        <w:t xml:space="preserve"> and the </w:t>
      </w:r>
      <w:r w:rsidR="00132BE4">
        <w:t xml:space="preserve">following </w:t>
      </w:r>
      <w:r>
        <w:t>objectives were identified</w:t>
      </w:r>
      <w:r w:rsidR="00380ECD">
        <w:t xml:space="preserve"> in relation to </w:t>
      </w:r>
      <w:r w:rsidR="00695FF1">
        <w:t>PDCCH monitoring</w:t>
      </w:r>
      <w:r>
        <w:t>:</w:t>
      </w:r>
    </w:p>
    <w:tbl>
      <w:tblPr>
        <w:tblStyle w:val="Tabellenraster"/>
        <w:tblW w:w="10075" w:type="dxa"/>
        <w:tblLook w:val="04A0" w:firstRow="1" w:lastRow="0" w:firstColumn="1" w:lastColumn="0" w:noHBand="0" w:noVBand="1"/>
      </w:tblPr>
      <w:tblGrid>
        <w:gridCol w:w="10075"/>
      </w:tblGrid>
      <w:tr w:rsidR="00635D54" w14:paraId="3443CBB3" w14:textId="77777777" w:rsidTr="007D2A8F">
        <w:tc>
          <w:tcPr>
            <w:tcW w:w="10075" w:type="dxa"/>
          </w:tcPr>
          <w:p w14:paraId="6A48276F" w14:textId="77777777" w:rsidR="00CA0347" w:rsidRPr="00DD4663" w:rsidRDefault="00CA0347" w:rsidP="00CA0347">
            <w:pPr>
              <w:ind w:right="-99"/>
              <w:rPr>
                <w:lang w:val="en-US" w:eastAsia="ja-JP"/>
              </w:rPr>
            </w:pPr>
            <w:r w:rsidRPr="000446D8">
              <w:rPr>
                <w:lang w:val="en-US" w:eastAsia="ja-JP"/>
              </w:rPr>
              <w:t xml:space="preserve">Study </w:t>
            </w:r>
            <w:r w:rsidRPr="007F1CF1">
              <w:rPr>
                <w:lang w:val="en-US" w:eastAsia="ja-JP"/>
              </w:rPr>
              <w:t>UE power saving and battery lifetime enh</w:t>
            </w:r>
            <w:r w:rsidRPr="00572D96">
              <w:rPr>
                <w:lang w:val="en-US" w:eastAsia="ja-JP"/>
              </w:rPr>
              <w:t xml:space="preserve">ancement for reduced </w:t>
            </w:r>
            <w:r>
              <w:rPr>
                <w:lang w:val="en-US" w:eastAsia="ja-JP"/>
              </w:rPr>
              <w:t>capability</w:t>
            </w:r>
            <w:r w:rsidRPr="00572D96">
              <w:rPr>
                <w:lang w:val="en-US" w:eastAsia="ja-JP"/>
              </w:rPr>
              <w:t xml:space="preserve"> UEs</w:t>
            </w:r>
            <w:r w:rsidRPr="00DF5B25">
              <w:rPr>
                <w:lang w:val="en-US" w:eastAsia="ja-JP"/>
              </w:rPr>
              <w:t xml:space="preserve"> </w:t>
            </w:r>
            <w:r>
              <w:rPr>
                <w:lang w:val="en-US" w:eastAsia="ja-JP"/>
              </w:rPr>
              <w:t xml:space="preserve">in </w:t>
            </w:r>
            <w:r w:rsidRPr="00DF5B25">
              <w:rPr>
                <w:lang w:val="en-US" w:eastAsia="ja-JP"/>
              </w:rPr>
              <w:t>applicable use cases (e.g. delay to</w:t>
            </w:r>
            <w:r w:rsidRPr="00D824B8">
              <w:rPr>
                <w:lang w:val="en-US" w:eastAsia="ja-JP"/>
              </w:rPr>
              <w:t>lerant) [RAN2, RAN1]</w:t>
            </w:r>
            <w:r w:rsidRPr="00DD4663">
              <w:rPr>
                <w:lang w:val="en-US" w:eastAsia="ja-JP"/>
              </w:rPr>
              <w:t xml:space="preserve">: </w:t>
            </w:r>
          </w:p>
          <w:p w14:paraId="6D1DB792" w14:textId="77777777" w:rsidR="00CA0347" w:rsidRPr="00061FB7" w:rsidRDefault="00CA0347" w:rsidP="00CA0347">
            <w:pPr>
              <w:pStyle w:val="Listenabsatz"/>
              <w:numPr>
                <w:ilvl w:val="0"/>
                <w:numId w:val="27"/>
              </w:numPr>
              <w:spacing w:after="160" w:line="259" w:lineRule="auto"/>
              <w:ind w:right="-99"/>
              <w:contextualSpacing/>
              <w:rPr>
                <w:rFonts w:ascii="Times New Roman" w:hAnsi="Times New Roman"/>
                <w:sz w:val="20"/>
                <w:szCs w:val="20"/>
              </w:rPr>
            </w:pPr>
            <w:r w:rsidRPr="00061FB7">
              <w:rPr>
                <w:rFonts w:ascii="Times New Roman" w:hAnsi="Times New Roman"/>
                <w:sz w:val="20"/>
                <w:szCs w:val="20"/>
              </w:rPr>
              <w:t>Reduced PDCCH monitoring by smaller numbers of blind decodes and CCE limits [RAN1].</w:t>
            </w:r>
          </w:p>
          <w:p w14:paraId="28184B9C" w14:textId="77777777" w:rsidR="00CA0347" w:rsidRDefault="00CA0347" w:rsidP="00CA0347">
            <w:pPr>
              <w:pStyle w:val="Listenabsatz"/>
              <w:numPr>
                <w:ilvl w:val="0"/>
                <w:numId w:val="27"/>
              </w:numPr>
              <w:spacing w:after="160" w:line="259" w:lineRule="auto"/>
              <w:ind w:right="-99"/>
              <w:contextualSpacing/>
              <w:rPr>
                <w:rFonts w:ascii="Times New Roman" w:hAnsi="Times New Roman"/>
                <w:sz w:val="20"/>
                <w:szCs w:val="20"/>
              </w:rPr>
            </w:pPr>
            <w:r w:rsidRPr="00061FB7">
              <w:rPr>
                <w:rFonts w:ascii="Times New Roman" w:hAnsi="Times New Roman"/>
                <w:sz w:val="20"/>
                <w:szCs w:val="20"/>
              </w:rPr>
              <w:t>Extended DRX for RRC Inactive and/or Idle [RAN2]</w:t>
            </w:r>
          </w:p>
          <w:p w14:paraId="471964FB" w14:textId="77777777" w:rsidR="00635D54" w:rsidRPr="00695FF1" w:rsidRDefault="00CA0347" w:rsidP="00695FF1">
            <w:pPr>
              <w:pStyle w:val="Listenabsatz"/>
              <w:numPr>
                <w:ilvl w:val="0"/>
                <w:numId w:val="27"/>
              </w:numPr>
              <w:spacing w:after="160" w:line="259" w:lineRule="auto"/>
              <w:ind w:right="-99"/>
              <w:contextualSpacing/>
              <w:rPr>
                <w:rFonts w:ascii="Times New Roman" w:hAnsi="Times New Roman"/>
                <w:sz w:val="20"/>
                <w:szCs w:val="20"/>
              </w:rPr>
            </w:pPr>
            <w:r w:rsidRPr="009209B8">
              <w:rPr>
                <w:rFonts w:ascii="Times New Roman" w:hAnsi="Times New Roman"/>
                <w:sz w:val="20"/>
                <w:szCs w:val="20"/>
              </w:rPr>
              <w:t>RRM relaxation for stationary devices</w:t>
            </w:r>
            <w:r>
              <w:rPr>
                <w:rFonts w:ascii="Times New Roman" w:hAnsi="Times New Roman"/>
                <w:sz w:val="20"/>
                <w:szCs w:val="20"/>
              </w:rPr>
              <w:t xml:space="preserve"> [RAN2]</w:t>
            </w:r>
          </w:p>
        </w:tc>
      </w:tr>
    </w:tbl>
    <w:p w14:paraId="27EA55B0" w14:textId="77777777" w:rsidR="00514A1F" w:rsidRDefault="00514A1F" w:rsidP="00EB2390">
      <w:pPr>
        <w:pStyle w:val="3GPPNormalText"/>
      </w:pPr>
    </w:p>
    <w:p w14:paraId="63E61B99" w14:textId="77777777" w:rsidR="00272C6C" w:rsidRDefault="00132BE4" w:rsidP="00272C6C">
      <w:pPr>
        <w:pStyle w:val="3GPPNormalText"/>
      </w:pPr>
      <w:r>
        <w:t>This contribution discusses</w:t>
      </w:r>
      <w:r w:rsidR="006F479D">
        <w:t xml:space="preserve"> and analyses</w:t>
      </w:r>
      <w:r>
        <w:t xml:space="preserve"> </w:t>
      </w:r>
      <w:r w:rsidR="00CA0347">
        <w:t>issues and potential enhancements for reduced PDCCH monitoring,</w:t>
      </w:r>
    </w:p>
    <w:p w14:paraId="0DBDB48C" w14:textId="77777777" w:rsidR="00272C6C" w:rsidRDefault="00272C6C" w:rsidP="00EB2390">
      <w:pPr>
        <w:pStyle w:val="3GPPNormalText"/>
      </w:pPr>
    </w:p>
    <w:p w14:paraId="41C40AEB" w14:textId="77777777" w:rsidR="00AF07F4" w:rsidRDefault="00A225EC" w:rsidP="00AF07F4">
      <w:pPr>
        <w:pStyle w:val="berschrift1"/>
        <w:rPr>
          <w:lang w:val="en-US"/>
        </w:rPr>
      </w:pPr>
      <w:bookmarkStart w:id="0" w:name="OLE_LINK15"/>
      <w:bookmarkStart w:id="1" w:name="OLE_LINK16"/>
      <w:bookmarkStart w:id="2" w:name="_Ref494465620"/>
      <w:r>
        <w:rPr>
          <w:lang w:val="en-US"/>
        </w:rPr>
        <w:t>Reduced PDCCH Monitoring</w:t>
      </w:r>
    </w:p>
    <w:p w14:paraId="18E3ABB8" w14:textId="77777777" w:rsidR="00A225EC" w:rsidRDefault="00A225EC" w:rsidP="00A225EC">
      <w:pPr>
        <w:rPr>
          <w:sz w:val="22"/>
          <w:szCs w:val="22"/>
          <w:lang w:val="en-US"/>
        </w:rPr>
      </w:pPr>
      <w:r w:rsidRPr="00A225EC">
        <w:rPr>
          <w:sz w:val="22"/>
          <w:szCs w:val="22"/>
          <w:lang w:val="en-US"/>
        </w:rPr>
        <w:t>In Rel. 15</w:t>
      </w:r>
      <w:r>
        <w:rPr>
          <w:sz w:val="22"/>
          <w:szCs w:val="22"/>
          <w:lang w:val="en-US"/>
        </w:rPr>
        <w:t xml:space="preserve"> multiple minimum requirements for PDCCH monitoring that have to be fulfilled by a UE have been specified. These minimum numbers are summarized in </w:t>
      </w:r>
      <w:r>
        <w:rPr>
          <w:sz w:val="22"/>
          <w:szCs w:val="22"/>
          <w:lang w:val="en-US"/>
        </w:rPr>
        <w:fldChar w:fldCharType="begin"/>
      </w:r>
      <w:r>
        <w:rPr>
          <w:sz w:val="22"/>
          <w:szCs w:val="22"/>
          <w:lang w:val="en-US"/>
        </w:rPr>
        <w:instrText xml:space="preserve"> REF _Ref46826503 \h </w:instrText>
      </w:r>
      <w:r>
        <w:rPr>
          <w:sz w:val="22"/>
          <w:szCs w:val="22"/>
          <w:lang w:val="en-US"/>
        </w:rPr>
      </w:r>
      <w:r>
        <w:rPr>
          <w:sz w:val="22"/>
          <w:szCs w:val="22"/>
          <w:lang w:val="en-US"/>
        </w:rPr>
        <w:fldChar w:fldCharType="separate"/>
      </w:r>
      <w:r w:rsidRPr="00A225EC">
        <w:rPr>
          <w:sz w:val="22"/>
          <w:szCs w:val="22"/>
        </w:rPr>
        <w:t xml:space="preserve">Table </w:t>
      </w:r>
      <w:r w:rsidRPr="00A225EC">
        <w:rPr>
          <w:noProof/>
          <w:sz w:val="22"/>
          <w:szCs w:val="22"/>
        </w:rPr>
        <w:t>1</w:t>
      </w:r>
      <w:r>
        <w:rPr>
          <w:sz w:val="22"/>
          <w:szCs w:val="22"/>
          <w:lang w:val="en-US"/>
        </w:rPr>
        <w:fldChar w:fldCharType="end"/>
      </w:r>
      <w:r>
        <w:rPr>
          <w:sz w:val="22"/>
          <w:szCs w:val="22"/>
          <w:lang w:val="en-US"/>
        </w:rPr>
        <w:t xml:space="preserve"> and </w:t>
      </w:r>
      <w:r w:rsidRPr="00A225EC">
        <w:rPr>
          <w:sz w:val="22"/>
          <w:szCs w:val="22"/>
          <w:lang w:val="en-US"/>
        </w:rPr>
        <w:fldChar w:fldCharType="begin"/>
      </w:r>
      <w:r w:rsidRPr="00A225EC">
        <w:rPr>
          <w:sz w:val="22"/>
          <w:szCs w:val="22"/>
          <w:lang w:val="en-US"/>
        </w:rPr>
        <w:instrText xml:space="preserve"> REF _Ref46826511 \h  \* MERGEFORMAT </w:instrText>
      </w:r>
      <w:r w:rsidRPr="00A225EC">
        <w:rPr>
          <w:sz w:val="22"/>
          <w:szCs w:val="22"/>
          <w:lang w:val="en-US"/>
        </w:rPr>
      </w:r>
      <w:r w:rsidRPr="00A225EC">
        <w:rPr>
          <w:sz w:val="22"/>
          <w:szCs w:val="22"/>
          <w:lang w:val="en-US"/>
        </w:rPr>
        <w:fldChar w:fldCharType="separate"/>
      </w:r>
      <w:r w:rsidRPr="00A225EC">
        <w:t xml:space="preserve">Table </w:t>
      </w:r>
      <w:r w:rsidRPr="00A225EC">
        <w:rPr>
          <w:noProof/>
        </w:rPr>
        <w:t>2</w:t>
      </w:r>
      <w:r w:rsidRPr="00A225EC">
        <w:rPr>
          <w:sz w:val="22"/>
          <w:szCs w:val="22"/>
          <w:lang w:val="en-US"/>
        </w:rPr>
        <w:fldChar w:fldCharType="end"/>
      </w:r>
      <w:r w:rsidRPr="00A225EC">
        <w:rPr>
          <w:sz w:val="22"/>
          <w:szCs w:val="22"/>
          <w:lang w:val="en-US"/>
        </w:rPr>
        <w:t>.</w:t>
      </w:r>
    </w:p>
    <w:p w14:paraId="713F7D38" w14:textId="77777777" w:rsidR="00545ECA" w:rsidRPr="00545ECA" w:rsidRDefault="00545ECA" w:rsidP="00545ECA">
      <w:pPr>
        <w:pStyle w:val="Beschriftung"/>
        <w:rPr>
          <w:sz w:val="22"/>
          <w:szCs w:val="22"/>
        </w:rPr>
      </w:pPr>
      <w:bookmarkStart w:id="3" w:name="_Ref46826503"/>
      <w:r w:rsidRPr="00A225EC">
        <w:rPr>
          <w:sz w:val="22"/>
          <w:szCs w:val="22"/>
        </w:rPr>
        <w:t xml:space="preserve">Table </w:t>
      </w:r>
      <w:r w:rsidRPr="00A225EC">
        <w:rPr>
          <w:sz w:val="22"/>
          <w:szCs w:val="22"/>
        </w:rPr>
        <w:fldChar w:fldCharType="begin"/>
      </w:r>
      <w:r w:rsidRPr="00A225EC">
        <w:rPr>
          <w:sz w:val="22"/>
          <w:szCs w:val="22"/>
        </w:rPr>
        <w:instrText xml:space="preserve"> SEQ Table \* ARABIC </w:instrText>
      </w:r>
      <w:r w:rsidRPr="00A225EC">
        <w:rPr>
          <w:sz w:val="22"/>
          <w:szCs w:val="22"/>
        </w:rPr>
        <w:fldChar w:fldCharType="separate"/>
      </w:r>
      <w:r w:rsidRPr="00A225EC">
        <w:rPr>
          <w:noProof/>
          <w:sz w:val="22"/>
          <w:szCs w:val="22"/>
        </w:rPr>
        <w:t>1</w:t>
      </w:r>
      <w:r w:rsidRPr="00A225EC">
        <w:rPr>
          <w:sz w:val="22"/>
          <w:szCs w:val="22"/>
        </w:rPr>
        <w:fldChar w:fldCharType="end"/>
      </w:r>
      <w:bookmarkEnd w:id="3"/>
      <w:r w:rsidRPr="00A225EC">
        <w:rPr>
          <w:sz w:val="22"/>
          <w:szCs w:val="22"/>
        </w:rPr>
        <w:t>: Rel. 15 maximum number of BDs per slot and per serving cell for different SCSs.</w:t>
      </w:r>
    </w:p>
    <w:tbl>
      <w:tblPr>
        <w:tblStyle w:val="Tabellenraster"/>
        <w:tblW w:w="0" w:type="auto"/>
        <w:jc w:val="center"/>
        <w:tblLook w:val="04A0" w:firstRow="1" w:lastRow="0" w:firstColumn="1" w:lastColumn="0" w:noHBand="0" w:noVBand="1"/>
      </w:tblPr>
      <w:tblGrid>
        <w:gridCol w:w="704"/>
        <w:gridCol w:w="3827"/>
      </w:tblGrid>
      <w:tr w:rsidR="00A225EC" w14:paraId="0A4316C2" w14:textId="77777777" w:rsidTr="00AE002F">
        <w:trPr>
          <w:jc w:val="center"/>
        </w:trPr>
        <w:tc>
          <w:tcPr>
            <w:tcW w:w="704" w:type="dxa"/>
          </w:tcPr>
          <w:p w14:paraId="2BB3C335" w14:textId="77777777" w:rsidR="00A225EC" w:rsidRDefault="00A225EC" w:rsidP="00AE002F">
            <w:pPr>
              <w:pStyle w:val="3GPPNormalText"/>
              <w:jc w:val="center"/>
            </w:pPr>
            <w:r>
              <w:sym w:font="Symbol" w:char="F06D"/>
            </w:r>
          </w:p>
        </w:tc>
        <w:tc>
          <w:tcPr>
            <w:tcW w:w="3827" w:type="dxa"/>
          </w:tcPr>
          <w:p w14:paraId="2A549774" w14:textId="77777777" w:rsidR="00A225EC" w:rsidRDefault="00A225EC" w:rsidP="00A225EC">
            <w:pPr>
              <w:pStyle w:val="3GPPNormalText"/>
            </w:pPr>
            <w:r>
              <w:t>Maximum number of monitored PDCCH candidates per slot and per serving cell</w:t>
            </w:r>
          </w:p>
        </w:tc>
      </w:tr>
      <w:tr w:rsidR="00A225EC" w14:paraId="1E6CD5E6" w14:textId="77777777" w:rsidTr="00AE002F">
        <w:trPr>
          <w:jc w:val="center"/>
        </w:trPr>
        <w:tc>
          <w:tcPr>
            <w:tcW w:w="704" w:type="dxa"/>
          </w:tcPr>
          <w:p w14:paraId="4ACCCD3E" w14:textId="77777777" w:rsidR="00A225EC" w:rsidRDefault="00A225EC" w:rsidP="00A225EC">
            <w:pPr>
              <w:pStyle w:val="3GPPNormalText"/>
              <w:jc w:val="center"/>
            </w:pPr>
            <w:r>
              <w:t>0</w:t>
            </w:r>
          </w:p>
        </w:tc>
        <w:tc>
          <w:tcPr>
            <w:tcW w:w="3827" w:type="dxa"/>
          </w:tcPr>
          <w:p w14:paraId="2DEAA947" w14:textId="77777777" w:rsidR="00A225EC" w:rsidRDefault="00A225EC" w:rsidP="00A225EC">
            <w:pPr>
              <w:pStyle w:val="3GPPNormalText"/>
              <w:jc w:val="center"/>
            </w:pPr>
            <w:r>
              <w:t>44</w:t>
            </w:r>
          </w:p>
        </w:tc>
      </w:tr>
      <w:tr w:rsidR="00A225EC" w14:paraId="3234F64C" w14:textId="77777777" w:rsidTr="00AE002F">
        <w:trPr>
          <w:jc w:val="center"/>
        </w:trPr>
        <w:tc>
          <w:tcPr>
            <w:tcW w:w="704" w:type="dxa"/>
          </w:tcPr>
          <w:p w14:paraId="50568882" w14:textId="77777777" w:rsidR="00A225EC" w:rsidRDefault="00A225EC" w:rsidP="00A225EC">
            <w:pPr>
              <w:pStyle w:val="3GPPNormalText"/>
              <w:jc w:val="center"/>
            </w:pPr>
            <w:r>
              <w:t>1</w:t>
            </w:r>
          </w:p>
        </w:tc>
        <w:tc>
          <w:tcPr>
            <w:tcW w:w="3827" w:type="dxa"/>
          </w:tcPr>
          <w:p w14:paraId="22BFC6A9" w14:textId="77777777" w:rsidR="00A225EC" w:rsidRDefault="00A225EC" w:rsidP="00A225EC">
            <w:pPr>
              <w:pStyle w:val="3GPPNormalText"/>
              <w:jc w:val="center"/>
            </w:pPr>
            <w:r>
              <w:t>36</w:t>
            </w:r>
          </w:p>
        </w:tc>
      </w:tr>
      <w:tr w:rsidR="00A225EC" w14:paraId="36FB2FCF" w14:textId="77777777" w:rsidTr="00AE002F">
        <w:trPr>
          <w:jc w:val="center"/>
        </w:trPr>
        <w:tc>
          <w:tcPr>
            <w:tcW w:w="704" w:type="dxa"/>
          </w:tcPr>
          <w:p w14:paraId="34D97E3A" w14:textId="77777777" w:rsidR="00A225EC" w:rsidRDefault="00A225EC" w:rsidP="00A225EC">
            <w:pPr>
              <w:pStyle w:val="3GPPNormalText"/>
              <w:jc w:val="center"/>
            </w:pPr>
            <w:r>
              <w:t>2</w:t>
            </w:r>
          </w:p>
        </w:tc>
        <w:tc>
          <w:tcPr>
            <w:tcW w:w="3827" w:type="dxa"/>
          </w:tcPr>
          <w:p w14:paraId="16CC4EE4" w14:textId="77777777" w:rsidR="00A225EC" w:rsidRDefault="00A225EC" w:rsidP="00A225EC">
            <w:pPr>
              <w:pStyle w:val="3GPPNormalText"/>
              <w:jc w:val="center"/>
            </w:pPr>
            <w:r>
              <w:t>22</w:t>
            </w:r>
          </w:p>
        </w:tc>
      </w:tr>
      <w:tr w:rsidR="00A225EC" w14:paraId="285964F6" w14:textId="77777777" w:rsidTr="00AE002F">
        <w:trPr>
          <w:jc w:val="center"/>
        </w:trPr>
        <w:tc>
          <w:tcPr>
            <w:tcW w:w="704" w:type="dxa"/>
          </w:tcPr>
          <w:p w14:paraId="5D65EDC4" w14:textId="77777777" w:rsidR="00A225EC" w:rsidRDefault="00A225EC" w:rsidP="00A225EC">
            <w:pPr>
              <w:pStyle w:val="3GPPNormalText"/>
              <w:jc w:val="center"/>
            </w:pPr>
            <w:r>
              <w:t>3</w:t>
            </w:r>
          </w:p>
        </w:tc>
        <w:tc>
          <w:tcPr>
            <w:tcW w:w="3827" w:type="dxa"/>
          </w:tcPr>
          <w:p w14:paraId="2A5F62AE" w14:textId="77777777" w:rsidR="00A225EC" w:rsidRDefault="00A225EC" w:rsidP="00A225EC">
            <w:pPr>
              <w:pStyle w:val="3GPPNormalText"/>
              <w:jc w:val="center"/>
            </w:pPr>
            <w:r>
              <w:t>20</w:t>
            </w:r>
          </w:p>
        </w:tc>
      </w:tr>
    </w:tbl>
    <w:p w14:paraId="0882EA3E" w14:textId="77777777" w:rsidR="00545ECA" w:rsidRDefault="00545ECA" w:rsidP="00545ECA">
      <w:pPr>
        <w:pStyle w:val="3GPPNormalText"/>
        <w:rPr>
          <w:b/>
          <w:bCs/>
        </w:rPr>
      </w:pPr>
      <w:bookmarkStart w:id="4" w:name="_Ref46826511"/>
    </w:p>
    <w:p w14:paraId="2160FAD5" w14:textId="77777777" w:rsidR="00A225EC" w:rsidRPr="00545ECA" w:rsidRDefault="00545ECA" w:rsidP="00545ECA">
      <w:pPr>
        <w:pStyle w:val="3GPPNormalText"/>
        <w:rPr>
          <w:b/>
          <w:bCs/>
        </w:rPr>
      </w:pPr>
      <w:r w:rsidRPr="00A225EC">
        <w:rPr>
          <w:b/>
          <w:bCs/>
        </w:rPr>
        <w:t xml:space="preserve">Table </w:t>
      </w:r>
      <w:r w:rsidRPr="00A225EC">
        <w:rPr>
          <w:b/>
          <w:bCs/>
        </w:rPr>
        <w:fldChar w:fldCharType="begin"/>
      </w:r>
      <w:r w:rsidRPr="00A225EC">
        <w:rPr>
          <w:b/>
          <w:bCs/>
        </w:rPr>
        <w:instrText xml:space="preserve"> SEQ Table \* ARABIC </w:instrText>
      </w:r>
      <w:r w:rsidRPr="00A225EC">
        <w:rPr>
          <w:b/>
          <w:bCs/>
        </w:rPr>
        <w:fldChar w:fldCharType="separate"/>
      </w:r>
      <w:r w:rsidRPr="00A225EC">
        <w:rPr>
          <w:b/>
          <w:bCs/>
          <w:noProof/>
        </w:rPr>
        <w:t>2</w:t>
      </w:r>
      <w:r w:rsidRPr="00A225EC">
        <w:rPr>
          <w:b/>
          <w:bCs/>
        </w:rPr>
        <w:fldChar w:fldCharType="end"/>
      </w:r>
      <w:bookmarkEnd w:id="4"/>
      <w:r w:rsidRPr="00A225EC">
        <w:rPr>
          <w:b/>
          <w:bCs/>
        </w:rPr>
        <w:t>: Rel. 15 maximum number of non-overlapping CCEs per slot and per serving cell for different SCSs.</w:t>
      </w:r>
    </w:p>
    <w:tbl>
      <w:tblPr>
        <w:tblStyle w:val="Tabellenraster"/>
        <w:tblW w:w="0" w:type="auto"/>
        <w:jc w:val="center"/>
        <w:tblLook w:val="04A0" w:firstRow="1" w:lastRow="0" w:firstColumn="1" w:lastColumn="0" w:noHBand="0" w:noVBand="1"/>
      </w:tblPr>
      <w:tblGrid>
        <w:gridCol w:w="704"/>
        <w:gridCol w:w="3827"/>
      </w:tblGrid>
      <w:tr w:rsidR="00A225EC" w14:paraId="61809D9C" w14:textId="77777777" w:rsidTr="00AE002F">
        <w:trPr>
          <w:jc w:val="center"/>
        </w:trPr>
        <w:tc>
          <w:tcPr>
            <w:tcW w:w="704" w:type="dxa"/>
          </w:tcPr>
          <w:p w14:paraId="20837A99" w14:textId="77777777" w:rsidR="00A225EC" w:rsidRDefault="00A225EC" w:rsidP="00AE002F">
            <w:pPr>
              <w:pStyle w:val="3GPPNormalText"/>
              <w:jc w:val="center"/>
            </w:pPr>
            <w:r>
              <w:lastRenderedPageBreak/>
              <w:sym w:font="Symbol" w:char="F06D"/>
            </w:r>
          </w:p>
        </w:tc>
        <w:tc>
          <w:tcPr>
            <w:tcW w:w="3827" w:type="dxa"/>
          </w:tcPr>
          <w:p w14:paraId="6F03026A" w14:textId="77777777" w:rsidR="00A225EC" w:rsidRDefault="00A225EC" w:rsidP="005C1C49">
            <w:pPr>
              <w:pStyle w:val="3GPPNormalText"/>
            </w:pPr>
            <w:r>
              <w:t>Maximum number of non-overlapped CCEs per slot and per serving cell</w:t>
            </w:r>
          </w:p>
        </w:tc>
      </w:tr>
      <w:tr w:rsidR="00A225EC" w14:paraId="7FFAA77A" w14:textId="77777777" w:rsidTr="00AE002F">
        <w:trPr>
          <w:jc w:val="center"/>
        </w:trPr>
        <w:tc>
          <w:tcPr>
            <w:tcW w:w="704" w:type="dxa"/>
          </w:tcPr>
          <w:p w14:paraId="1E2B4250" w14:textId="77777777" w:rsidR="00A225EC" w:rsidRDefault="00A225EC" w:rsidP="005C1C49">
            <w:pPr>
              <w:pStyle w:val="3GPPNormalText"/>
              <w:jc w:val="center"/>
            </w:pPr>
            <w:r>
              <w:t>0</w:t>
            </w:r>
          </w:p>
        </w:tc>
        <w:tc>
          <w:tcPr>
            <w:tcW w:w="3827" w:type="dxa"/>
          </w:tcPr>
          <w:p w14:paraId="7C9BCC54" w14:textId="77777777" w:rsidR="00A225EC" w:rsidRDefault="00A225EC" w:rsidP="005C1C49">
            <w:pPr>
              <w:pStyle w:val="3GPPNormalText"/>
              <w:jc w:val="center"/>
            </w:pPr>
            <w:r>
              <w:t>56</w:t>
            </w:r>
          </w:p>
        </w:tc>
      </w:tr>
      <w:tr w:rsidR="00A225EC" w14:paraId="1EECC48B" w14:textId="77777777" w:rsidTr="00AE002F">
        <w:trPr>
          <w:jc w:val="center"/>
        </w:trPr>
        <w:tc>
          <w:tcPr>
            <w:tcW w:w="704" w:type="dxa"/>
          </w:tcPr>
          <w:p w14:paraId="4DF7E1FD" w14:textId="77777777" w:rsidR="00A225EC" w:rsidRDefault="00A225EC" w:rsidP="005C1C49">
            <w:pPr>
              <w:pStyle w:val="3GPPNormalText"/>
              <w:jc w:val="center"/>
            </w:pPr>
            <w:r>
              <w:t>1</w:t>
            </w:r>
          </w:p>
        </w:tc>
        <w:tc>
          <w:tcPr>
            <w:tcW w:w="3827" w:type="dxa"/>
          </w:tcPr>
          <w:p w14:paraId="39A58BB0" w14:textId="77777777" w:rsidR="00A225EC" w:rsidRDefault="00A225EC" w:rsidP="005C1C49">
            <w:pPr>
              <w:pStyle w:val="3GPPNormalText"/>
              <w:jc w:val="center"/>
            </w:pPr>
            <w:r>
              <w:t>56</w:t>
            </w:r>
          </w:p>
        </w:tc>
      </w:tr>
      <w:tr w:rsidR="00A225EC" w14:paraId="06FA7F7A" w14:textId="77777777" w:rsidTr="00AE002F">
        <w:trPr>
          <w:jc w:val="center"/>
        </w:trPr>
        <w:tc>
          <w:tcPr>
            <w:tcW w:w="704" w:type="dxa"/>
          </w:tcPr>
          <w:p w14:paraId="7C3CC7A8" w14:textId="77777777" w:rsidR="00A225EC" w:rsidRDefault="00A225EC" w:rsidP="005C1C49">
            <w:pPr>
              <w:pStyle w:val="3GPPNormalText"/>
              <w:jc w:val="center"/>
            </w:pPr>
            <w:r>
              <w:t>2</w:t>
            </w:r>
          </w:p>
        </w:tc>
        <w:tc>
          <w:tcPr>
            <w:tcW w:w="3827" w:type="dxa"/>
          </w:tcPr>
          <w:p w14:paraId="42C47CF4" w14:textId="77777777" w:rsidR="00A225EC" w:rsidRDefault="00A225EC" w:rsidP="005C1C49">
            <w:pPr>
              <w:pStyle w:val="3GPPNormalText"/>
              <w:jc w:val="center"/>
            </w:pPr>
            <w:r>
              <w:t>48</w:t>
            </w:r>
          </w:p>
        </w:tc>
      </w:tr>
      <w:tr w:rsidR="00A225EC" w14:paraId="1CC83C56" w14:textId="77777777" w:rsidTr="00AE002F">
        <w:trPr>
          <w:jc w:val="center"/>
        </w:trPr>
        <w:tc>
          <w:tcPr>
            <w:tcW w:w="704" w:type="dxa"/>
          </w:tcPr>
          <w:p w14:paraId="52F90ED6" w14:textId="77777777" w:rsidR="00A225EC" w:rsidRDefault="00A225EC" w:rsidP="005C1C49">
            <w:pPr>
              <w:pStyle w:val="3GPPNormalText"/>
              <w:jc w:val="center"/>
            </w:pPr>
            <w:r>
              <w:t>3</w:t>
            </w:r>
          </w:p>
        </w:tc>
        <w:tc>
          <w:tcPr>
            <w:tcW w:w="3827" w:type="dxa"/>
          </w:tcPr>
          <w:p w14:paraId="37BB0554" w14:textId="77777777" w:rsidR="00A225EC" w:rsidRDefault="00A225EC" w:rsidP="005C1C49">
            <w:pPr>
              <w:pStyle w:val="3GPPNormalText"/>
              <w:jc w:val="center"/>
            </w:pPr>
            <w:r>
              <w:t>32</w:t>
            </w:r>
          </w:p>
        </w:tc>
      </w:tr>
    </w:tbl>
    <w:p w14:paraId="48BF7A65" w14:textId="77777777" w:rsidR="00A225EC" w:rsidRDefault="00A225EC" w:rsidP="00545ECA">
      <w:pPr>
        <w:pStyle w:val="3GPPNormalText"/>
      </w:pPr>
    </w:p>
    <w:p w14:paraId="74C755A5" w14:textId="71082BB0" w:rsidR="00545ECA" w:rsidRDefault="00545ECA" w:rsidP="00545ECA">
      <w:pPr>
        <w:pStyle w:val="3GPPNormalText"/>
      </w:pPr>
      <w:r>
        <w:t xml:space="preserve">These requirements have been defined mainly with targeting </w:t>
      </w:r>
      <w:proofErr w:type="spellStart"/>
      <w:r>
        <w:t>eMBB</w:t>
      </w:r>
      <w:proofErr w:type="spellEnd"/>
      <w:r>
        <w:t xml:space="preserve"> UEs that do not have such stringent power saving and complexity targets as </w:t>
      </w:r>
      <w:proofErr w:type="spellStart"/>
      <w:r>
        <w:t>RedCap</w:t>
      </w:r>
      <w:proofErr w:type="spellEnd"/>
      <w:r>
        <w:t xml:space="preserve"> UEs. However, regardless of these numbers the network can configure the UE also with a </w:t>
      </w:r>
      <w:r w:rsidR="00901BFF">
        <w:t xml:space="preserve">smaller </w:t>
      </w:r>
      <w:r>
        <w:t xml:space="preserve">number of BDs to save power. This way the power saving aspect would be mainly under network control. Nevertheless, a </w:t>
      </w:r>
      <w:proofErr w:type="spellStart"/>
      <w:r>
        <w:t>RedCap</w:t>
      </w:r>
      <w:proofErr w:type="spellEnd"/>
      <w:r>
        <w:t xml:space="preserve"> UE would still have to support the BD and CCE requirements which affects the complexity</w:t>
      </w:r>
      <w:r w:rsidR="00CB414E">
        <w:t xml:space="preserve"> of the modem</w:t>
      </w:r>
      <w:r>
        <w:t>.</w:t>
      </w:r>
      <w:r w:rsidR="00CB414E">
        <w:t xml:space="preserve"> Hence, one </w:t>
      </w:r>
      <w:r w:rsidR="00683468">
        <w:t xml:space="preserve">way </w:t>
      </w:r>
      <w:r w:rsidR="00CB414E">
        <w:t xml:space="preserve">to </w:t>
      </w:r>
      <w:r w:rsidR="00683468">
        <w:t xml:space="preserve">also </w:t>
      </w:r>
      <w:r w:rsidR="00CB414E">
        <w:t xml:space="preserve">reduce the complexity is to lower the BD and CCE requirements for </w:t>
      </w:r>
      <w:proofErr w:type="spellStart"/>
      <w:r w:rsidR="00CB414E">
        <w:t>RedCap</w:t>
      </w:r>
      <w:proofErr w:type="spellEnd"/>
      <w:r w:rsidR="00CB414E">
        <w:t xml:space="preserve"> UEs. This in turn increases the PDCCH blocking probability due to the decreased scheduling </w:t>
      </w:r>
      <w:r w:rsidR="00F93BE3">
        <w:t xml:space="preserve">flexibility </w:t>
      </w:r>
      <w:r w:rsidR="00CB414E">
        <w:t xml:space="preserve">of the </w:t>
      </w:r>
      <w:proofErr w:type="spellStart"/>
      <w:r w:rsidR="00CB414E">
        <w:t>gNB</w:t>
      </w:r>
      <w:proofErr w:type="spellEnd"/>
      <w:r w:rsidR="00CB414E">
        <w:t xml:space="preserve">. Another alternative </w:t>
      </w:r>
      <w:r w:rsidR="00683468">
        <w:t xml:space="preserve">is to </w:t>
      </w:r>
      <w:r w:rsidR="00CB414E">
        <w:t xml:space="preserve">also consider other relaxations, e.g. </w:t>
      </w:r>
      <w:r w:rsidR="00BA3E3C">
        <w:t>BD span larger than a slot,</w:t>
      </w:r>
      <w:r w:rsidR="00CB414E">
        <w:t xml:space="preserve"> instead of reducing </w:t>
      </w:r>
      <w:r w:rsidR="00BA3E3C">
        <w:t xml:space="preserve">the number of </w:t>
      </w:r>
      <w:proofErr w:type="spellStart"/>
      <w:r w:rsidR="00BA3E3C">
        <w:t>BDs.</w:t>
      </w:r>
      <w:proofErr w:type="spellEnd"/>
      <w:r w:rsidR="00F93BE3">
        <w:t xml:space="preserve"> So that more time is granted to the UE to perform the same number of PDCCH </w:t>
      </w:r>
      <w:proofErr w:type="spellStart"/>
      <w:r w:rsidR="00F93BE3">
        <w:t>BDs.</w:t>
      </w:r>
      <w:proofErr w:type="spellEnd"/>
      <w:r w:rsidR="009B7906">
        <w:t xml:space="preserve"> DCI piggyback over PDSCH may also be considered to reduce control monitoring or to diminish the blocking probability by increasing the scheduling flexibility. </w:t>
      </w:r>
    </w:p>
    <w:p w14:paraId="1E2D9CCB" w14:textId="77777777" w:rsidR="00C11333" w:rsidRPr="00C11333" w:rsidRDefault="00C11333" w:rsidP="00545ECA">
      <w:pPr>
        <w:pStyle w:val="3GPPNormalText"/>
        <w:rPr>
          <w:b/>
        </w:rPr>
      </w:pPr>
      <w:r>
        <w:rPr>
          <w:b/>
        </w:rPr>
        <w:t>Observation 1: Power saving aspects for PDCCH monitoring are mainly under network control.</w:t>
      </w:r>
    </w:p>
    <w:p w14:paraId="56E4E958" w14:textId="77777777" w:rsidR="00BA3E3C" w:rsidRDefault="00BA3E3C" w:rsidP="00545ECA">
      <w:pPr>
        <w:pStyle w:val="3GPPNormalText"/>
        <w:rPr>
          <w:b/>
        </w:rPr>
      </w:pPr>
      <w:r w:rsidRPr="007B559F">
        <w:rPr>
          <w:b/>
        </w:rPr>
        <w:t>Proposal</w:t>
      </w:r>
      <w:r>
        <w:rPr>
          <w:b/>
        </w:rPr>
        <w:t xml:space="preserve"> 1: Study mechanisms to lower the BD effort of </w:t>
      </w:r>
      <w:proofErr w:type="spellStart"/>
      <w:r>
        <w:rPr>
          <w:b/>
        </w:rPr>
        <w:t>RedCap</w:t>
      </w:r>
      <w:proofErr w:type="spellEnd"/>
      <w:r>
        <w:rPr>
          <w:b/>
        </w:rPr>
        <w:t xml:space="preserve"> UEs considering power saving</w:t>
      </w:r>
      <w:r w:rsidR="001603FC">
        <w:rPr>
          <w:b/>
        </w:rPr>
        <w:t xml:space="preserve">, </w:t>
      </w:r>
      <w:r>
        <w:rPr>
          <w:b/>
        </w:rPr>
        <w:t>complexity</w:t>
      </w:r>
      <w:r w:rsidR="001603FC">
        <w:rPr>
          <w:b/>
        </w:rPr>
        <w:t xml:space="preserve"> and blocking probability</w:t>
      </w:r>
      <w:r>
        <w:rPr>
          <w:b/>
        </w:rPr>
        <w:t>.</w:t>
      </w:r>
      <w:r w:rsidR="00633840">
        <w:rPr>
          <w:b/>
        </w:rPr>
        <w:t xml:space="preserve"> </w:t>
      </w:r>
    </w:p>
    <w:p w14:paraId="26D8A764" w14:textId="77777777" w:rsidR="00A27D7E" w:rsidRDefault="00F81439" w:rsidP="00545ECA">
      <w:pPr>
        <w:pStyle w:val="3GPPNormalText"/>
        <w:rPr>
          <w:b/>
        </w:rPr>
      </w:pPr>
      <w:r>
        <w:rPr>
          <w:b/>
        </w:rPr>
        <w:t xml:space="preserve"> </w:t>
      </w:r>
    </w:p>
    <w:p w14:paraId="609A79AC" w14:textId="59DAFEA2" w:rsidR="00F81439" w:rsidRDefault="00F81439" w:rsidP="00545ECA">
      <w:pPr>
        <w:pStyle w:val="3GPPNormalText"/>
        <w:rPr>
          <w:bCs/>
        </w:rPr>
      </w:pPr>
      <w:r>
        <w:rPr>
          <w:bCs/>
        </w:rPr>
        <w:t xml:space="preserve">Furthermore, </w:t>
      </w:r>
      <w:r w:rsidR="009609AE">
        <w:rPr>
          <w:bCs/>
        </w:rPr>
        <w:t xml:space="preserve">larger </w:t>
      </w:r>
      <w:r>
        <w:rPr>
          <w:bCs/>
        </w:rPr>
        <w:t xml:space="preserve">PDCCH monitoring periodicities can be considered since latency requirements are more relaxed for </w:t>
      </w:r>
      <w:proofErr w:type="spellStart"/>
      <w:r>
        <w:rPr>
          <w:bCs/>
        </w:rPr>
        <w:t>RedCap</w:t>
      </w:r>
      <w:proofErr w:type="spellEnd"/>
      <w:r>
        <w:rPr>
          <w:bCs/>
        </w:rPr>
        <w:t xml:space="preserve"> use cases</w:t>
      </w:r>
      <w:r w:rsidR="009609AE">
        <w:rPr>
          <w:bCs/>
        </w:rPr>
        <w:t xml:space="preserve">, e.g. 100 </w:t>
      </w:r>
      <w:proofErr w:type="spellStart"/>
      <w:r w:rsidR="009609AE">
        <w:rPr>
          <w:bCs/>
        </w:rPr>
        <w:t>ms</w:t>
      </w:r>
      <w:proofErr w:type="spellEnd"/>
      <w:r w:rsidR="009609AE">
        <w:rPr>
          <w:bCs/>
        </w:rPr>
        <w:t xml:space="preserve"> for industrial wireless networks.</w:t>
      </w:r>
      <w:r>
        <w:rPr>
          <w:bCs/>
        </w:rPr>
        <w:t xml:space="preserve"> The minimum monitoring periodicity for a search space is one slot. Even the most stringent latency requirement</w:t>
      </w:r>
      <w:r w:rsidR="009609AE">
        <w:rPr>
          <w:bCs/>
        </w:rPr>
        <w:t xml:space="preserve">, such as safety related industrial wireless sensors is between 5 and 10 </w:t>
      </w:r>
      <w:proofErr w:type="spellStart"/>
      <w:r w:rsidR="009609AE">
        <w:rPr>
          <w:bCs/>
        </w:rPr>
        <w:t>ms.</w:t>
      </w:r>
      <w:proofErr w:type="spellEnd"/>
      <w:r w:rsidR="009609AE">
        <w:rPr>
          <w:bCs/>
        </w:rPr>
        <w:t xml:space="preserve"> Hence,</w:t>
      </w:r>
      <w:r>
        <w:rPr>
          <w:bCs/>
        </w:rPr>
        <w:t xml:space="preserve"> such a </w:t>
      </w:r>
      <w:r w:rsidR="009609AE">
        <w:rPr>
          <w:bCs/>
        </w:rPr>
        <w:t xml:space="preserve">small </w:t>
      </w:r>
      <w:r>
        <w:rPr>
          <w:bCs/>
        </w:rPr>
        <w:t>PDCCH monitoring periodicity is not required</w:t>
      </w:r>
      <w:r w:rsidR="009609AE">
        <w:rPr>
          <w:bCs/>
        </w:rPr>
        <w:t xml:space="preserve"> and</w:t>
      </w:r>
      <w:r w:rsidR="001603FC">
        <w:rPr>
          <w:bCs/>
        </w:rPr>
        <w:t xml:space="preserve"> </w:t>
      </w:r>
      <w:proofErr w:type="spellStart"/>
      <w:r w:rsidR="001603FC">
        <w:rPr>
          <w:bCs/>
        </w:rPr>
        <w:t>RedCap</w:t>
      </w:r>
      <w:proofErr w:type="spellEnd"/>
      <w:r w:rsidR="001603FC">
        <w:rPr>
          <w:bCs/>
        </w:rPr>
        <w:t xml:space="preserve"> UE</w:t>
      </w:r>
      <w:r w:rsidR="00DA1F69">
        <w:rPr>
          <w:bCs/>
        </w:rPr>
        <w:t>s</w:t>
      </w:r>
      <w:r w:rsidR="001603FC">
        <w:rPr>
          <w:bCs/>
        </w:rPr>
        <w:t xml:space="preserve"> do not need to support such small monitoring periodicities at all. </w:t>
      </w:r>
    </w:p>
    <w:p w14:paraId="213AAD3A" w14:textId="77777777" w:rsidR="001603FC" w:rsidRDefault="001603FC" w:rsidP="001603FC">
      <w:pPr>
        <w:pStyle w:val="3GPPNormalText"/>
        <w:rPr>
          <w:b/>
        </w:rPr>
      </w:pPr>
      <w:r w:rsidRPr="007B559F">
        <w:rPr>
          <w:b/>
        </w:rPr>
        <w:t>Proposal</w:t>
      </w:r>
      <w:r>
        <w:rPr>
          <w:b/>
        </w:rPr>
        <w:t xml:space="preserve"> 2: Do not support PDCCH monitoring periodicities as small as 1 or 2 slots for </w:t>
      </w:r>
      <w:proofErr w:type="spellStart"/>
      <w:r>
        <w:rPr>
          <w:b/>
        </w:rPr>
        <w:t>RedCap</w:t>
      </w:r>
      <w:proofErr w:type="spellEnd"/>
      <w:r>
        <w:rPr>
          <w:b/>
        </w:rPr>
        <w:t xml:space="preserve"> UEs.</w:t>
      </w:r>
    </w:p>
    <w:p w14:paraId="63145991" w14:textId="77777777" w:rsidR="001603FC" w:rsidRDefault="001603FC" w:rsidP="00545ECA">
      <w:pPr>
        <w:pStyle w:val="3GPPNormalText"/>
        <w:rPr>
          <w:bCs/>
        </w:rPr>
      </w:pPr>
    </w:p>
    <w:p w14:paraId="1EBD052A" w14:textId="77777777" w:rsidR="001603FC" w:rsidRDefault="006927BE" w:rsidP="00545ECA">
      <w:pPr>
        <w:pStyle w:val="3GPPNormalText"/>
        <w:rPr>
          <w:bCs/>
        </w:rPr>
      </w:pPr>
      <w:r>
        <w:rPr>
          <w:bCs/>
        </w:rPr>
        <w:t xml:space="preserve">Rel.15/16 UEs can be configured with up to 3 CORESETs and up to 10 search spaces per BWP. To meet the requirements for the </w:t>
      </w:r>
      <w:proofErr w:type="spellStart"/>
      <w:r>
        <w:rPr>
          <w:bCs/>
        </w:rPr>
        <w:t>RedCap</w:t>
      </w:r>
      <w:proofErr w:type="spellEnd"/>
      <w:r>
        <w:rPr>
          <w:bCs/>
        </w:rPr>
        <w:t xml:space="preserve"> use cases less CORESETs and less search spaces are sufficient. So, it is worthwhile considering the reduction of the number of supported CORESETs and search spaces. This could reduce the complexity of the UE.</w:t>
      </w:r>
    </w:p>
    <w:p w14:paraId="547BEEE7" w14:textId="23060AC5" w:rsidR="006927BE" w:rsidRDefault="006927BE" w:rsidP="00545ECA">
      <w:pPr>
        <w:pStyle w:val="3GPPNormalText"/>
        <w:rPr>
          <w:b/>
        </w:rPr>
      </w:pPr>
      <w:r w:rsidRPr="007B559F">
        <w:rPr>
          <w:b/>
        </w:rPr>
        <w:t>Proposal</w:t>
      </w:r>
      <w:r>
        <w:rPr>
          <w:b/>
        </w:rPr>
        <w:t xml:space="preserve"> 3: Consider reducing the number of supported CORESETs and search spaces per BWP for </w:t>
      </w:r>
      <w:proofErr w:type="spellStart"/>
      <w:r>
        <w:rPr>
          <w:b/>
        </w:rPr>
        <w:t>RedCap</w:t>
      </w:r>
      <w:proofErr w:type="spellEnd"/>
      <w:r>
        <w:rPr>
          <w:b/>
        </w:rPr>
        <w:t xml:space="preserve"> UEs.</w:t>
      </w:r>
    </w:p>
    <w:p w14:paraId="3188FB2C" w14:textId="77777777" w:rsidR="00C65C7A" w:rsidRDefault="00C65C7A" w:rsidP="00AF07F4">
      <w:pPr>
        <w:jc w:val="both"/>
        <w:rPr>
          <w:sz w:val="22"/>
          <w:szCs w:val="22"/>
        </w:rPr>
      </w:pPr>
    </w:p>
    <w:p w14:paraId="6F1885FF" w14:textId="77777777" w:rsidR="00111ACD" w:rsidRDefault="00111ACD" w:rsidP="00111ACD">
      <w:pPr>
        <w:pStyle w:val="berschrift1"/>
        <w:rPr>
          <w:lang w:val="en-US"/>
        </w:rPr>
      </w:pPr>
      <w:r w:rsidRPr="00111ACD">
        <w:rPr>
          <w:lang w:val="en-US"/>
        </w:rPr>
        <w:t>Dynamic PDCCH Monitoring Adaption</w:t>
      </w:r>
    </w:p>
    <w:p w14:paraId="1AD97EA0" w14:textId="77777777" w:rsidR="00F27B8A" w:rsidRPr="000501F8" w:rsidRDefault="00F27B8A" w:rsidP="00F27B8A">
      <w:pPr>
        <w:rPr>
          <w:sz w:val="22"/>
          <w:szCs w:val="22"/>
          <w:lang w:val="en-US"/>
        </w:rPr>
      </w:pPr>
      <w:r w:rsidRPr="000501F8">
        <w:rPr>
          <w:sz w:val="22"/>
          <w:szCs w:val="22"/>
          <w:lang w:val="en-US"/>
        </w:rPr>
        <w:t xml:space="preserve">In Rel. 16, dynamic search space switching was introduced for access to unlicensed bands. This mechanism allows for dynamic switching of search space monitoring periodicities within a BWP. Although being introduced for a different purpose this mechanism can be adapted and reused for power saving purposes. </w:t>
      </w:r>
    </w:p>
    <w:p w14:paraId="24DB84B0" w14:textId="77777777" w:rsidR="00F27B8A" w:rsidRPr="000501F8" w:rsidRDefault="00F27B8A" w:rsidP="00F27B8A">
      <w:pPr>
        <w:rPr>
          <w:sz w:val="22"/>
          <w:szCs w:val="22"/>
          <w:lang w:val="en-US"/>
        </w:rPr>
      </w:pPr>
      <w:r w:rsidRPr="000501F8">
        <w:rPr>
          <w:sz w:val="22"/>
          <w:szCs w:val="22"/>
          <w:lang w:val="en-US"/>
        </w:rPr>
        <w:lastRenderedPageBreak/>
        <w:t xml:space="preserve">In the current procedure, search spaces are grouped into two search space groups, 0 and 1. The UE monitors search spaces associated with group 0 upon detecting a DCI and then changes to search space group 1 responsively. </w:t>
      </w:r>
      <w:r w:rsidR="000501F8" w:rsidRPr="000501F8">
        <w:rPr>
          <w:sz w:val="22"/>
          <w:szCs w:val="22"/>
          <w:lang w:val="en-US"/>
        </w:rPr>
        <w:t xml:space="preserve">Adapting to </w:t>
      </w:r>
      <w:proofErr w:type="spellStart"/>
      <w:r w:rsidR="000501F8" w:rsidRPr="000501F8">
        <w:rPr>
          <w:sz w:val="22"/>
          <w:szCs w:val="22"/>
          <w:lang w:val="en-US"/>
        </w:rPr>
        <w:t>RedCap</w:t>
      </w:r>
      <w:proofErr w:type="spellEnd"/>
      <w:r w:rsidR="000501F8" w:rsidRPr="000501F8">
        <w:rPr>
          <w:sz w:val="22"/>
          <w:szCs w:val="22"/>
          <w:lang w:val="en-US"/>
        </w:rPr>
        <w:t xml:space="preserve">, search space group 0 can be used to configure the UE with a sparse set of monitoring occasions which can be switched to more dense monitoring periodicities on demand based on the traffic. </w:t>
      </w:r>
    </w:p>
    <w:p w14:paraId="147E0F22" w14:textId="77777777" w:rsidR="000501F8" w:rsidRDefault="000501F8" w:rsidP="00F27B8A">
      <w:pPr>
        <w:rPr>
          <w:sz w:val="22"/>
          <w:szCs w:val="22"/>
          <w:lang w:val="en-US"/>
        </w:rPr>
      </w:pPr>
      <w:r w:rsidRPr="000501F8">
        <w:rPr>
          <w:sz w:val="22"/>
          <w:szCs w:val="22"/>
          <w:lang w:val="en-US"/>
        </w:rPr>
        <w:t xml:space="preserve">One aspect of future studies is how to trigger the search space group switching. Since the procedure was defined to handle out-of-COT and in-COT switching any DCI format detected in group 0 can trigger a switch. However, in </w:t>
      </w:r>
      <w:proofErr w:type="spellStart"/>
      <w:r w:rsidRPr="000501F8">
        <w:rPr>
          <w:sz w:val="22"/>
          <w:szCs w:val="22"/>
          <w:lang w:val="en-US"/>
        </w:rPr>
        <w:t>RedCap</w:t>
      </w:r>
      <w:proofErr w:type="spellEnd"/>
      <w:r w:rsidRPr="000501F8">
        <w:rPr>
          <w:sz w:val="22"/>
          <w:szCs w:val="22"/>
          <w:lang w:val="en-US"/>
        </w:rPr>
        <w:t xml:space="preserve"> it depends on different requirements, such as whether more follow-up traffic is expected. An unrequired search space switching by a single incoming packet should be avoided.</w:t>
      </w:r>
    </w:p>
    <w:p w14:paraId="522B6275" w14:textId="07C2C80B" w:rsidR="00E61AC9" w:rsidRDefault="000501F8" w:rsidP="00D03549">
      <w:r w:rsidRPr="003A7B74">
        <w:rPr>
          <w:b/>
          <w:bCs/>
          <w:sz w:val="22"/>
          <w:szCs w:val="22"/>
          <w:lang w:val="en-US"/>
        </w:rPr>
        <w:t xml:space="preserve">Proposal 4: </w:t>
      </w:r>
      <w:r w:rsidR="007A0C50" w:rsidRPr="003A7B74">
        <w:rPr>
          <w:b/>
          <w:bCs/>
          <w:sz w:val="22"/>
          <w:szCs w:val="22"/>
          <w:lang w:val="en-US"/>
        </w:rPr>
        <w:t xml:space="preserve">Study reusing the dynamic search space switching for power saving purposes. Evaluate switching triggers </w:t>
      </w:r>
      <w:r w:rsidR="00683468">
        <w:rPr>
          <w:b/>
          <w:bCs/>
          <w:sz w:val="22"/>
          <w:szCs w:val="22"/>
          <w:lang w:val="en-US"/>
        </w:rPr>
        <w:t>to minimize unnecessary switching</w:t>
      </w:r>
      <w:r w:rsidR="007A0C50" w:rsidRPr="003A7B74">
        <w:rPr>
          <w:b/>
          <w:bCs/>
          <w:sz w:val="22"/>
          <w:szCs w:val="22"/>
          <w:lang w:val="en-US"/>
        </w:rPr>
        <w:t>.</w:t>
      </w:r>
    </w:p>
    <w:p w14:paraId="656D0A81" w14:textId="77777777" w:rsidR="00654C74" w:rsidRPr="00654C74" w:rsidRDefault="00654C74" w:rsidP="00AF07F4">
      <w:pPr>
        <w:pStyle w:val="3GPPNormalText"/>
        <w:rPr>
          <w:b/>
        </w:rPr>
      </w:pPr>
    </w:p>
    <w:p w14:paraId="2338D533" w14:textId="77777777" w:rsidR="00AF07F4" w:rsidRDefault="00AF07F4" w:rsidP="00AF07F4">
      <w:pPr>
        <w:pStyle w:val="berschrift1"/>
        <w:rPr>
          <w:lang w:val="en-US"/>
        </w:rPr>
      </w:pPr>
      <w:bookmarkStart w:id="5" w:name="OLE_LINK13"/>
      <w:bookmarkStart w:id="6" w:name="OLE_LINK14"/>
      <w:bookmarkEnd w:id="0"/>
      <w:bookmarkEnd w:id="1"/>
      <w:r>
        <w:rPr>
          <w:lang w:val="en-US"/>
        </w:rPr>
        <w:t>Conclusion</w:t>
      </w:r>
    </w:p>
    <w:bookmarkEnd w:id="5"/>
    <w:bookmarkEnd w:id="6"/>
    <w:p w14:paraId="5657D34D" w14:textId="77777777" w:rsidR="003A7B74" w:rsidRPr="00C11333" w:rsidRDefault="003A7B74" w:rsidP="003A7B74">
      <w:pPr>
        <w:pStyle w:val="3GPPNormalText"/>
        <w:rPr>
          <w:b/>
        </w:rPr>
      </w:pPr>
      <w:r>
        <w:rPr>
          <w:b/>
        </w:rPr>
        <w:t>Observation 1: Power saving aspects for PDCCH monitoring are mainly under network control.</w:t>
      </w:r>
    </w:p>
    <w:p w14:paraId="02521FA5" w14:textId="77777777" w:rsidR="003A7B74" w:rsidRDefault="003A7B74" w:rsidP="003A7B74">
      <w:pPr>
        <w:pStyle w:val="3GPPNormalText"/>
        <w:rPr>
          <w:b/>
        </w:rPr>
      </w:pPr>
      <w:r w:rsidRPr="007B559F">
        <w:rPr>
          <w:b/>
        </w:rPr>
        <w:t>Proposal</w:t>
      </w:r>
      <w:r>
        <w:rPr>
          <w:b/>
        </w:rPr>
        <w:t xml:space="preserve"> 1: Study mechanisms to lower the BD effort of </w:t>
      </w:r>
      <w:proofErr w:type="spellStart"/>
      <w:r>
        <w:rPr>
          <w:b/>
        </w:rPr>
        <w:t>RedCap</w:t>
      </w:r>
      <w:proofErr w:type="spellEnd"/>
      <w:r>
        <w:rPr>
          <w:b/>
        </w:rPr>
        <w:t xml:space="preserve"> UEs considering power saving, complexity and blocking probability. </w:t>
      </w:r>
    </w:p>
    <w:p w14:paraId="2394BB49" w14:textId="77777777" w:rsidR="003A7B74" w:rsidRDefault="003A7B74" w:rsidP="003A7B74">
      <w:pPr>
        <w:pStyle w:val="3GPPNormalText"/>
        <w:rPr>
          <w:b/>
        </w:rPr>
      </w:pPr>
      <w:r w:rsidRPr="007B559F">
        <w:rPr>
          <w:b/>
        </w:rPr>
        <w:t>Proposal</w:t>
      </w:r>
      <w:r>
        <w:rPr>
          <w:b/>
        </w:rPr>
        <w:t xml:space="preserve"> 2: Do not support PDCCH monitoring periodicities as small as 1 or 2 slots for </w:t>
      </w:r>
      <w:proofErr w:type="spellStart"/>
      <w:r>
        <w:rPr>
          <w:b/>
        </w:rPr>
        <w:t>RedCap</w:t>
      </w:r>
      <w:proofErr w:type="spellEnd"/>
      <w:r>
        <w:rPr>
          <w:b/>
        </w:rPr>
        <w:t xml:space="preserve"> UEs.</w:t>
      </w:r>
    </w:p>
    <w:p w14:paraId="1BE197CC" w14:textId="77777777" w:rsidR="003A7B74" w:rsidRPr="006927BE" w:rsidRDefault="003A7B74" w:rsidP="003A7B74">
      <w:pPr>
        <w:pStyle w:val="3GPPNormalText"/>
        <w:rPr>
          <w:b/>
        </w:rPr>
      </w:pPr>
      <w:r w:rsidRPr="007B559F">
        <w:rPr>
          <w:b/>
        </w:rPr>
        <w:t>Proposal</w:t>
      </w:r>
      <w:r>
        <w:rPr>
          <w:b/>
        </w:rPr>
        <w:t xml:space="preserve"> 3: Consider reducing the number of supported CORESETs and search spaces per BWP for </w:t>
      </w:r>
      <w:proofErr w:type="spellStart"/>
      <w:r>
        <w:rPr>
          <w:b/>
        </w:rPr>
        <w:t>RedCap</w:t>
      </w:r>
      <w:proofErr w:type="spellEnd"/>
      <w:r>
        <w:rPr>
          <w:b/>
        </w:rPr>
        <w:t xml:space="preserve"> UEs.</w:t>
      </w:r>
    </w:p>
    <w:p w14:paraId="38892109" w14:textId="77777777" w:rsidR="003A7B74" w:rsidRPr="003A7B74" w:rsidRDefault="003A7B74" w:rsidP="003A7B74">
      <w:pPr>
        <w:rPr>
          <w:b/>
          <w:bCs/>
          <w:sz w:val="22"/>
          <w:szCs w:val="22"/>
          <w:lang w:val="en-US"/>
        </w:rPr>
      </w:pPr>
      <w:r w:rsidRPr="003A7B74">
        <w:rPr>
          <w:b/>
          <w:bCs/>
          <w:sz w:val="22"/>
          <w:szCs w:val="22"/>
          <w:lang w:val="en-US"/>
        </w:rPr>
        <w:t xml:space="preserve">Proposal 4: Study reusing the dynamic search space switching for power saving purposes. Evaluate switching triggers such that unrequired </w:t>
      </w:r>
      <w:proofErr w:type="spellStart"/>
      <w:r w:rsidRPr="003A7B74">
        <w:rPr>
          <w:b/>
          <w:bCs/>
          <w:sz w:val="22"/>
          <w:szCs w:val="22"/>
          <w:lang w:val="en-US"/>
        </w:rPr>
        <w:t>switchings</w:t>
      </w:r>
      <w:proofErr w:type="spellEnd"/>
      <w:r w:rsidRPr="003A7B74">
        <w:rPr>
          <w:b/>
          <w:bCs/>
          <w:sz w:val="22"/>
          <w:szCs w:val="22"/>
          <w:lang w:val="en-US"/>
        </w:rPr>
        <w:t xml:space="preserve"> are avoided.</w:t>
      </w:r>
    </w:p>
    <w:p w14:paraId="7FC52B62" w14:textId="77777777" w:rsidR="005158C6" w:rsidRDefault="005158C6" w:rsidP="006F479D">
      <w:pPr>
        <w:pStyle w:val="3GPPNormalText"/>
        <w:rPr>
          <w:b/>
        </w:rPr>
      </w:pPr>
    </w:p>
    <w:p w14:paraId="4A1E5BFE" w14:textId="77777777" w:rsidR="00AF07F4" w:rsidRPr="007564C3" w:rsidRDefault="00AF07F4" w:rsidP="00AF07F4">
      <w:pPr>
        <w:pStyle w:val="berschrift1"/>
        <w:rPr>
          <w:rFonts w:cs="Arial"/>
        </w:rPr>
      </w:pPr>
      <w:r w:rsidRPr="00707A9A">
        <w:rPr>
          <w:lang w:val="en-US"/>
        </w:rPr>
        <w:t>References</w:t>
      </w:r>
    </w:p>
    <w:p w14:paraId="09EC2F3F" w14:textId="16965622" w:rsidR="000A7EE4" w:rsidRPr="00B44842" w:rsidRDefault="003B5412" w:rsidP="00D03549">
      <w:pPr>
        <w:widowControl w:val="0"/>
        <w:numPr>
          <w:ilvl w:val="0"/>
          <w:numId w:val="2"/>
        </w:numPr>
        <w:overflowPunct/>
        <w:autoSpaceDE/>
        <w:adjustRightInd/>
        <w:spacing w:after="120"/>
        <w:jc w:val="both"/>
        <w:textAlignment w:val="auto"/>
        <w:rPr>
          <w:iCs/>
          <w:lang w:val="en-US"/>
        </w:rPr>
      </w:pPr>
      <w:r>
        <w:rPr>
          <w:rFonts w:cs="Arial"/>
        </w:rPr>
        <w:t>RP-20138</w:t>
      </w:r>
      <w:r w:rsidR="00CA0347">
        <w:rPr>
          <w:rFonts w:cs="Arial"/>
        </w:rPr>
        <w:t>6</w:t>
      </w:r>
      <w:r w:rsidR="00AF07F4" w:rsidRPr="009A254C">
        <w:rPr>
          <w:rFonts w:cs="Arial"/>
        </w:rPr>
        <w:t xml:space="preserve">, </w:t>
      </w:r>
      <w:r w:rsidR="00AF07F4">
        <w:rPr>
          <w:rFonts w:cs="Arial"/>
        </w:rPr>
        <w:t>“</w:t>
      </w:r>
      <w:r w:rsidR="00CA0347">
        <w:rPr>
          <w:rFonts w:cs="Arial"/>
        </w:rPr>
        <w:t>Revised SID on Study on support of reduced capability NR devices</w:t>
      </w:r>
      <w:r w:rsidR="00AF07F4">
        <w:rPr>
          <w:rFonts w:cs="Arial"/>
        </w:rPr>
        <w:t xml:space="preserve">”, </w:t>
      </w:r>
      <w:r w:rsidR="00CA0347">
        <w:rPr>
          <w:rFonts w:cs="Arial"/>
        </w:rPr>
        <w:t>Ericsson</w:t>
      </w:r>
      <w:r w:rsidR="00AF07F4">
        <w:rPr>
          <w:rFonts w:cs="Arial"/>
        </w:rPr>
        <w:t xml:space="preserve">, 3GPP </w:t>
      </w:r>
      <w:r w:rsidR="00AF07F4" w:rsidRPr="007833B8">
        <w:rPr>
          <w:rFonts w:cs="Arial"/>
        </w:rPr>
        <w:t>RAN#</w:t>
      </w:r>
      <w:r w:rsidR="00AF07F4">
        <w:rPr>
          <w:rFonts w:cs="Arial"/>
        </w:rPr>
        <w:t>8</w:t>
      </w:r>
      <w:r>
        <w:rPr>
          <w:rFonts w:cs="Arial"/>
        </w:rPr>
        <w:t>8e</w:t>
      </w:r>
      <w:r w:rsidR="00AF07F4" w:rsidRPr="007833B8">
        <w:rPr>
          <w:rFonts w:cs="Arial"/>
        </w:rPr>
        <w:t>, June</w:t>
      </w:r>
      <w:r>
        <w:rPr>
          <w:rFonts w:cs="Arial"/>
        </w:rPr>
        <w:t xml:space="preserve"> - July</w:t>
      </w:r>
      <w:r w:rsidR="00AF07F4" w:rsidRPr="007833B8">
        <w:rPr>
          <w:rFonts w:cs="Arial"/>
        </w:rPr>
        <w:t xml:space="preserve"> 20</w:t>
      </w:r>
      <w:r>
        <w:rPr>
          <w:rFonts w:cs="Arial"/>
        </w:rPr>
        <w:t>20</w:t>
      </w:r>
      <w:r w:rsidR="00AF07F4" w:rsidRPr="007833B8">
        <w:rPr>
          <w:rFonts w:cs="Arial"/>
        </w:rPr>
        <w:t>.</w:t>
      </w:r>
      <w:bookmarkEnd w:id="2"/>
    </w:p>
    <w:sectPr w:rsidR="000A7EE4" w:rsidRPr="00B44842"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4EEB5" w14:textId="77777777" w:rsidR="00A345B9" w:rsidRDefault="00A345B9">
      <w:r>
        <w:separator/>
      </w:r>
    </w:p>
  </w:endnote>
  <w:endnote w:type="continuationSeparator" w:id="0">
    <w:p w14:paraId="5039B1C8" w14:textId="77777777" w:rsidR="00A345B9" w:rsidRDefault="00A3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2764F"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EF182EC"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C40" w14:textId="77777777"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0130F">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0130F">
      <w:rPr>
        <w:rStyle w:val="CharChar2"/>
        <w:b/>
        <w:i/>
        <w:noProof/>
        <w:sz w:val="18"/>
      </w:rPr>
      <w:t>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C9326" w14:textId="77777777" w:rsidR="002850F7" w:rsidRDefault="00285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49E52" w14:textId="77777777" w:rsidR="00A345B9" w:rsidRDefault="00A345B9">
      <w:r>
        <w:separator/>
      </w:r>
    </w:p>
  </w:footnote>
  <w:footnote w:type="continuationSeparator" w:id="0">
    <w:p w14:paraId="595657F0" w14:textId="77777777" w:rsidR="00A345B9" w:rsidRDefault="00A3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E7DD4"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A978" w14:textId="77777777" w:rsidR="002850F7" w:rsidRDefault="002850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370F" w14:textId="77777777" w:rsidR="002850F7" w:rsidRDefault="00285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E63806"/>
    <w:multiLevelType w:val="hybridMultilevel"/>
    <w:tmpl w:val="02ACEF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5"/>
  </w:num>
  <w:num w:numId="8">
    <w:abstractNumId w:val="11"/>
  </w:num>
  <w:num w:numId="9">
    <w:abstractNumId w:val="5"/>
  </w:num>
  <w:num w:numId="10">
    <w:abstractNumId w:val="4"/>
  </w:num>
  <w:num w:numId="11">
    <w:abstractNumId w:val="18"/>
  </w:num>
  <w:num w:numId="12">
    <w:abstractNumId w:val="22"/>
  </w:num>
  <w:num w:numId="1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14"/>
  </w:num>
  <w:num w:numId="17">
    <w:abstractNumId w:val="13"/>
  </w:num>
  <w:num w:numId="18">
    <w:abstractNumId w:val="6"/>
  </w:num>
  <w:num w:numId="19">
    <w:abstractNumId w:val="24"/>
  </w:num>
  <w:num w:numId="20">
    <w:abstractNumId w:val="2"/>
  </w:num>
  <w:num w:numId="21">
    <w:abstractNumId w:val="16"/>
  </w:num>
  <w:num w:numId="22">
    <w:abstractNumId w:val="17"/>
  </w:num>
  <w:num w:numId="23">
    <w:abstractNumId w:val="21"/>
  </w:num>
  <w:num w:numId="24">
    <w:abstractNumId w:val="12"/>
  </w:num>
  <w:num w:numId="25">
    <w:abstractNumId w:val="1"/>
  </w:num>
  <w:num w:numId="26">
    <w:abstractNumId w:val="1"/>
  </w:num>
  <w:num w:numId="27">
    <w:abstractNumId w:val="3"/>
  </w:num>
  <w:num w:numId="28">
    <w:abstractNumId w:val="10"/>
  </w:num>
  <w:num w:numId="29">
    <w:abstractNumId w:val="9"/>
  </w:num>
  <w:num w:numId="3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1F8"/>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D5"/>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CD"/>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BE4"/>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3F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60"/>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F"/>
    <w:rsid w:val="001F4E57"/>
    <w:rsid w:val="001F4F2A"/>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581"/>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D36"/>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467"/>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4EC"/>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B74"/>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294"/>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5EC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629"/>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C09"/>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840"/>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468"/>
    <w:rsid w:val="00683683"/>
    <w:rsid w:val="00683993"/>
    <w:rsid w:val="00683C0B"/>
    <w:rsid w:val="00683D7F"/>
    <w:rsid w:val="00684258"/>
    <w:rsid w:val="00684634"/>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BE"/>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5FF1"/>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67"/>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AFF"/>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DA7"/>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50"/>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4E21"/>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D8E"/>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A22"/>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1"/>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BFF"/>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28E"/>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9AE"/>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1D0"/>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77AE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906"/>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145"/>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A98"/>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5EC"/>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27D7E"/>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5B9"/>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02F"/>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48D8"/>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42"/>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3C"/>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13"/>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75"/>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333"/>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A68"/>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347"/>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4E"/>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30F"/>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4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1F69"/>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D71"/>
    <w:rsid w:val="00E00EFF"/>
    <w:rsid w:val="00E00FBC"/>
    <w:rsid w:val="00E013DB"/>
    <w:rsid w:val="00E019EA"/>
    <w:rsid w:val="00E01D53"/>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3A"/>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AC9"/>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2B53"/>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B8A"/>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39"/>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BE3"/>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31"/>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9C149"/>
  <w15:docId w15:val="{AB755FB7-A48B-C440-9949-EDDD0B23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character" w:customStyle="1" w:styleId="ListenabsatzZchn">
    <w:name w:val="Listenabsatz Zchn"/>
    <w:link w:val="Listenabsatz"/>
    <w:uiPriority w:val="34"/>
    <w:locked/>
    <w:rsid w:val="00CA034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CE96BBA-2311-47B3-854E-08E2FA87D91D}">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05182DC-4106-4B51-AA4E-6A76E2FB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3</Pages>
  <Words>821</Words>
  <Characters>5178</Characters>
  <Application>Microsoft Office Word</Application>
  <DocSecurity>0</DocSecurity>
  <Lines>43</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5988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Göktepe, Baris</cp:lastModifiedBy>
  <cp:revision>3</cp:revision>
  <cp:lastPrinted>2017-11-16T14:00:00Z</cp:lastPrinted>
  <dcterms:created xsi:type="dcterms:W3CDTF">2020-08-07T12:51:00Z</dcterms:created>
  <dcterms:modified xsi:type="dcterms:W3CDTF">2020-08-07T12:51:00Z</dcterms:modified>
</cp:coreProperties>
</file>