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14485" w14:textId="60EA6884" w:rsidR="006A6600" w:rsidRPr="006A6600" w:rsidRDefault="006A6600" w:rsidP="006A6600">
      <w:pPr>
        <w:pStyle w:val="aff3"/>
        <w:snapToGrid w:val="0"/>
        <w:ind w:left="2384" w:hangingChars="993" w:hanging="2384"/>
        <w:rPr>
          <w:rFonts w:ascii="Arial" w:hAnsi="Arial" w:cs="Arial"/>
          <w:b/>
          <w:bCs/>
          <w:sz w:val="24"/>
          <w:szCs w:val="24"/>
          <w:lang w:val="en-GB"/>
        </w:rPr>
      </w:pPr>
      <w:bookmarkStart w:id="0" w:name="OLE_LINK2"/>
      <w:bookmarkStart w:id="1" w:name="OLE_LINK3"/>
      <w:r w:rsidRPr="006A6600">
        <w:rPr>
          <w:rFonts w:ascii="Arial" w:hAnsi="Arial" w:cs="Arial"/>
          <w:b/>
          <w:bCs/>
          <w:sz w:val="24"/>
          <w:szCs w:val="24"/>
          <w:lang w:val="en-GB"/>
        </w:rPr>
        <w:t>3GPP TSG RAN WG1 #102-e</w:t>
      </w:r>
      <w:r w:rsidRPr="006A6600">
        <w:rPr>
          <w:rFonts w:ascii="Arial" w:hAnsi="Arial" w:cs="Arial"/>
          <w:b/>
          <w:bCs/>
          <w:sz w:val="24"/>
          <w:szCs w:val="24"/>
          <w:lang w:val="en-GB"/>
        </w:rPr>
        <w:tab/>
      </w:r>
      <w:r w:rsidRPr="006A6600">
        <w:rPr>
          <w:rFonts w:ascii="Arial" w:hAnsi="Arial" w:cs="Arial"/>
          <w:b/>
          <w:bCs/>
          <w:sz w:val="24"/>
          <w:szCs w:val="24"/>
          <w:lang w:val="en-GB"/>
        </w:rPr>
        <w:tab/>
      </w:r>
      <w:r w:rsidRPr="006A660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Pr="006A6600">
        <w:rPr>
          <w:rFonts w:ascii="Arial" w:hAnsi="Arial" w:cs="Arial"/>
          <w:b/>
          <w:bCs/>
          <w:sz w:val="24"/>
          <w:szCs w:val="24"/>
          <w:lang w:val="en-GB"/>
        </w:rPr>
        <w:t>R1-20</w:t>
      </w:r>
      <w:r w:rsidR="00DA6A13">
        <w:rPr>
          <w:rFonts w:ascii="Arial" w:hAnsi="Arial" w:cs="Arial"/>
          <w:b/>
          <w:bCs/>
          <w:sz w:val="24"/>
          <w:szCs w:val="24"/>
          <w:lang w:val="en-GB"/>
        </w:rPr>
        <w:t>05754</w:t>
      </w:r>
      <w:bookmarkStart w:id="2" w:name="_GoBack"/>
      <w:bookmarkEnd w:id="2"/>
    </w:p>
    <w:p w14:paraId="1B266F68" w14:textId="2BAD46B3" w:rsidR="000234FD" w:rsidRDefault="006A6600" w:rsidP="006A6600">
      <w:pPr>
        <w:pStyle w:val="aff3"/>
        <w:snapToGrid w:val="0"/>
        <w:ind w:left="2384" w:hangingChars="993" w:hanging="2384"/>
        <w:rPr>
          <w:rFonts w:ascii="Arial" w:hAnsi="Arial" w:cs="Arial"/>
          <w:b/>
          <w:bCs/>
          <w:sz w:val="24"/>
          <w:szCs w:val="24"/>
          <w:lang w:val="en-GB"/>
        </w:rPr>
      </w:pPr>
      <w:proofErr w:type="gramStart"/>
      <w:r w:rsidRPr="006A6600">
        <w:rPr>
          <w:rFonts w:ascii="Arial" w:hAnsi="Arial" w:cs="Arial"/>
          <w:b/>
          <w:bCs/>
          <w:sz w:val="24"/>
          <w:szCs w:val="24"/>
          <w:lang w:val="en-GB"/>
        </w:rPr>
        <w:t>e-Meeting</w:t>
      </w:r>
      <w:proofErr w:type="gramEnd"/>
      <w:r w:rsidRPr="006A6600">
        <w:rPr>
          <w:rFonts w:ascii="Arial" w:hAnsi="Arial" w:cs="Arial"/>
          <w:b/>
          <w:bCs/>
          <w:sz w:val="24"/>
          <w:szCs w:val="24"/>
          <w:lang w:val="en-GB"/>
        </w:rPr>
        <w:t>, August 17th – 28th, 2020</w:t>
      </w:r>
    </w:p>
    <w:p w14:paraId="317E1240" w14:textId="77777777" w:rsidR="006A6600" w:rsidRPr="006A6600"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669E82C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9612EE">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448E7B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B65AA6">
        <w:rPr>
          <w:rFonts w:ascii="Arial" w:eastAsiaTheme="minorEastAsia" w:hAnsi="Arial" w:cs="Arial"/>
          <w:b/>
          <w:bCs/>
          <w:sz w:val="24"/>
          <w:szCs w:val="24"/>
          <w:lang w:val="en-GB" w:eastAsia="zh-CN"/>
        </w:rPr>
        <w:t>SRS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0E42D8BB"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sidR="00516A8D">
        <w:rPr>
          <w:rFonts w:eastAsia="宋体" w:hint="eastAsia"/>
          <w:color w:val="000000" w:themeColor="text1"/>
          <w:sz w:val="22"/>
          <w:szCs w:val="22"/>
          <w:lang w:eastAsia="zh-CN"/>
        </w:rPr>
        <w:t>#</w:t>
      </w:r>
      <w:r>
        <w:rPr>
          <w:rFonts w:eastAsia="宋体"/>
          <w:color w:val="000000" w:themeColor="text1"/>
          <w:sz w:val="22"/>
          <w:szCs w:val="22"/>
          <w:lang w:eastAsia="zh-CN"/>
        </w:rPr>
        <w:t xml:space="preserve">86 meeting, </w:t>
      </w:r>
      <w:r w:rsidR="00570E42">
        <w:rPr>
          <w:rFonts w:eastAsia="宋体"/>
          <w:color w:val="000000" w:themeColor="text1"/>
          <w:sz w:val="22"/>
          <w:szCs w:val="22"/>
          <w:lang w:eastAsia="zh-CN"/>
        </w:rPr>
        <w:t xml:space="preserve">WID </w:t>
      </w:r>
      <w:r w:rsidR="00EA14AD">
        <w:rPr>
          <w:rFonts w:eastAsia="宋体"/>
          <w:color w:val="000000" w:themeColor="text1"/>
          <w:sz w:val="22"/>
          <w:szCs w:val="22"/>
          <w:lang w:eastAsia="zh-CN"/>
        </w:rPr>
        <w:t xml:space="preserve">[1] </w:t>
      </w:r>
      <w:r w:rsidR="00570E42">
        <w:rPr>
          <w:rFonts w:eastAsia="宋体"/>
          <w:color w:val="000000" w:themeColor="text1"/>
          <w:sz w:val="22"/>
          <w:szCs w:val="22"/>
          <w:lang w:eastAsia="zh-CN"/>
        </w:rPr>
        <w:t xml:space="preserve">for Rel-17 </w:t>
      </w:r>
      <w:proofErr w:type="spellStart"/>
      <w:r w:rsidR="00570E42">
        <w:rPr>
          <w:rFonts w:eastAsia="宋体"/>
          <w:color w:val="000000" w:themeColor="text1"/>
          <w:sz w:val="22"/>
          <w:szCs w:val="22"/>
          <w:lang w:eastAsia="zh-CN"/>
        </w:rPr>
        <w:t>FeMIMO</w:t>
      </w:r>
      <w:proofErr w:type="spellEnd"/>
      <w:r w:rsidR="00570E42">
        <w:rPr>
          <w:rFonts w:eastAsia="宋体"/>
          <w:color w:val="000000" w:themeColor="text1"/>
          <w:sz w:val="22"/>
          <w:szCs w:val="22"/>
          <w:lang w:eastAsia="zh-CN"/>
        </w:rPr>
        <w:t xml:space="preserve"> was agreed as:</w:t>
      </w:r>
    </w:p>
    <w:p w14:paraId="3E180DE2" w14:textId="5448D2EB" w:rsidR="00384EE1" w:rsidRPr="0051690F" w:rsidRDefault="00384EE1" w:rsidP="00384EE1">
      <w:pPr>
        <w:pStyle w:val="a7"/>
        <w:numPr>
          <w:ilvl w:val="0"/>
          <w:numId w:val="20"/>
        </w:numPr>
        <w:spacing w:after="0"/>
        <w:ind w:left="720"/>
        <w:contextualSpacing w:val="0"/>
        <w:jc w:val="both"/>
      </w:pPr>
      <w:r w:rsidRPr="0051690F">
        <w:t xml:space="preserve">Enhancement on multi-beam operation, mainly targeting FR2 while also applicable to FR1: </w:t>
      </w:r>
    </w:p>
    <w:p w14:paraId="3BD97643" w14:textId="77777777" w:rsidR="00384EE1" w:rsidRPr="0051690F" w:rsidRDefault="00384EE1" w:rsidP="00384EE1">
      <w:pPr>
        <w:pStyle w:val="a7"/>
        <w:numPr>
          <w:ilvl w:val="1"/>
          <w:numId w:val="20"/>
        </w:numPr>
        <w:spacing w:after="0"/>
        <w:ind w:left="1440"/>
        <w:contextualSpacing w:val="0"/>
        <w:jc w:val="both"/>
      </w:pPr>
      <w:r w:rsidRPr="0051690F">
        <w:t>Identify and specify features to facilitate more efficient (lower latency and overhead) DL/UL beam management to support higher intra- and L1/L2-centric inter-cell mobility and/or a larger number of configured TCI states:</w:t>
      </w:r>
    </w:p>
    <w:p w14:paraId="209AB60B" w14:textId="77777777" w:rsidR="00384EE1" w:rsidRPr="0051690F" w:rsidRDefault="00384EE1" w:rsidP="00384EE1">
      <w:pPr>
        <w:pStyle w:val="a7"/>
        <w:numPr>
          <w:ilvl w:val="2"/>
          <w:numId w:val="20"/>
        </w:numPr>
        <w:spacing w:after="0"/>
        <w:ind w:left="2160"/>
        <w:contextualSpacing w:val="0"/>
        <w:jc w:val="both"/>
      </w:pPr>
      <w:r>
        <w:t>C</w:t>
      </w:r>
      <w:r w:rsidRPr="0051690F">
        <w:t>ommon beam for data and control transmission/reception for DL and UL, especially for intra-band CA</w:t>
      </w:r>
    </w:p>
    <w:p w14:paraId="6A468555" w14:textId="77777777" w:rsidR="00384EE1" w:rsidRPr="0051690F" w:rsidRDefault="00384EE1" w:rsidP="00384EE1">
      <w:pPr>
        <w:pStyle w:val="a7"/>
        <w:numPr>
          <w:ilvl w:val="2"/>
          <w:numId w:val="20"/>
        </w:numPr>
        <w:spacing w:after="0"/>
        <w:ind w:left="2160"/>
        <w:contextualSpacing w:val="0"/>
        <w:jc w:val="both"/>
      </w:pPr>
      <w:r w:rsidRPr="0051690F">
        <w:t>Unified TCI framework for DL</w:t>
      </w:r>
      <w:r>
        <w:t xml:space="preserve"> and </w:t>
      </w:r>
      <w:r w:rsidRPr="0051690F">
        <w:t>UL beam indication</w:t>
      </w:r>
    </w:p>
    <w:p w14:paraId="2E75F6B4" w14:textId="77777777" w:rsidR="00384EE1" w:rsidRPr="0051690F" w:rsidRDefault="00384EE1" w:rsidP="00384EE1">
      <w:pPr>
        <w:pStyle w:val="a7"/>
        <w:numPr>
          <w:ilvl w:val="2"/>
          <w:numId w:val="20"/>
        </w:numPr>
        <w:spacing w:after="0"/>
        <w:ind w:left="2160"/>
        <w:contextualSpacing w:val="0"/>
        <w:jc w:val="both"/>
      </w:pPr>
      <w:r w:rsidRPr="0051690F">
        <w:t xml:space="preserve">Enhancement on </w:t>
      </w:r>
      <w:proofErr w:type="spellStart"/>
      <w:r w:rsidRPr="0051690F">
        <w:t>signaling</w:t>
      </w:r>
      <w:proofErr w:type="spellEnd"/>
      <w:r w:rsidRPr="0051690F">
        <w:t xml:space="preserve"> mechanisms for the above features to improve latency and efficiency</w:t>
      </w:r>
      <w:r>
        <w:t xml:space="preserve"> with</w:t>
      </w:r>
      <w:r w:rsidRPr="0051690F">
        <w:t xml:space="preserve"> more usage of </w:t>
      </w:r>
      <w:r>
        <w:t xml:space="preserve">dynamic </w:t>
      </w:r>
      <w:r w:rsidRPr="0051690F">
        <w:t xml:space="preserve">control </w:t>
      </w:r>
      <w:proofErr w:type="spellStart"/>
      <w:r w:rsidRPr="0051690F">
        <w:t>signaling</w:t>
      </w:r>
      <w:proofErr w:type="spellEnd"/>
      <w:r w:rsidRPr="0051690F">
        <w:t xml:space="preserve"> (as opposed to RRC)</w:t>
      </w:r>
    </w:p>
    <w:p w14:paraId="7E8635A6" w14:textId="77777777" w:rsidR="00384EE1" w:rsidRPr="0051690F" w:rsidRDefault="00384EE1" w:rsidP="00384EE1">
      <w:pPr>
        <w:pStyle w:val="a7"/>
        <w:numPr>
          <w:ilvl w:val="1"/>
          <w:numId w:val="20"/>
        </w:numPr>
        <w:spacing w:after="0"/>
        <w:ind w:left="1440"/>
        <w:contextualSpacing w:val="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7DC50E79" w14:textId="77777777" w:rsidR="00384EE1" w:rsidRPr="0051690F" w:rsidRDefault="00384EE1" w:rsidP="00384EE1">
      <w:pPr>
        <w:pStyle w:val="a7"/>
        <w:numPr>
          <w:ilvl w:val="0"/>
          <w:numId w:val="20"/>
        </w:numPr>
        <w:spacing w:after="0"/>
        <w:ind w:left="720"/>
        <w:contextualSpacing w:val="0"/>
        <w:jc w:val="both"/>
      </w:pPr>
      <w:r w:rsidRPr="0051690F">
        <w:t>Enhancement on the support for multi-TRP deployment, targeting both FR1 and FR2:</w:t>
      </w:r>
    </w:p>
    <w:p w14:paraId="0BC92AD3" w14:textId="77777777" w:rsidR="00384EE1" w:rsidRPr="0051690F" w:rsidRDefault="00384EE1" w:rsidP="00384EE1">
      <w:pPr>
        <w:pStyle w:val="a7"/>
        <w:numPr>
          <w:ilvl w:val="1"/>
          <w:numId w:val="20"/>
        </w:numPr>
        <w:spacing w:after="0"/>
        <w:ind w:left="1440"/>
        <w:contextualSpacing w:val="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3F7CA5A9" w14:textId="77777777" w:rsidR="00384EE1" w:rsidRPr="00685E71" w:rsidRDefault="00384EE1" w:rsidP="00384EE1">
      <w:pPr>
        <w:pStyle w:val="a7"/>
        <w:numPr>
          <w:ilvl w:val="1"/>
          <w:numId w:val="20"/>
        </w:numPr>
        <w:spacing w:after="0"/>
        <w:ind w:left="1440"/>
        <w:contextualSpacing w:val="0"/>
        <w:jc w:val="both"/>
      </w:pPr>
      <w:r w:rsidRPr="0051690F">
        <w:t xml:space="preserve">Identify </w:t>
      </w:r>
      <w:r w:rsidRPr="00685E71">
        <w:t>and specify QCL/TCI-related enhancements to enable inter-cell multi-TRP operations, assuming multi-DCI based multi-PDSCH reception</w:t>
      </w:r>
    </w:p>
    <w:p w14:paraId="2BEC2966" w14:textId="77777777" w:rsidR="00384EE1" w:rsidRDefault="00384EE1" w:rsidP="00384EE1">
      <w:pPr>
        <w:pStyle w:val="a7"/>
        <w:numPr>
          <w:ilvl w:val="1"/>
          <w:numId w:val="20"/>
        </w:numPr>
        <w:spacing w:after="0"/>
        <w:ind w:left="1440"/>
        <w:contextualSpacing w:val="0"/>
        <w:jc w:val="both"/>
      </w:pPr>
      <w:r w:rsidRPr="0051690F">
        <w:t xml:space="preserve">Evaluate and, if needed, specify </w:t>
      </w:r>
      <w:r>
        <w:t xml:space="preserve">beam-management-related </w:t>
      </w:r>
      <w:r w:rsidRPr="0051690F">
        <w:t>enhancements for simultaneous multi-TRP transmission with multi-panel reception</w:t>
      </w:r>
    </w:p>
    <w:p w14:paraId="1DFD0234" w14:textId="77777777" w:rsidR="00384EE1" w:rsidRDefault="00384EE1" w:rsidP="00384EE1">
      <w:pPr>
        <w:pStyle w:val="a7"/>
        <w:numPr>
          <w:ilvl w:val="1"/>
          <w:numId w:val="20"/>
        </w:numPr>
        <w:spacing w:after="0"/>
        <w:ind w:left="1440"/>
        <w:contextualSpacing w:val="0"/>
        <w:jc w:val="both"/>
      </w:pPr>
      <w:r>
        <w:t>E</w:t>
      </w:r>
      <w:r w:rsidRPr="00FC3465">
        <w:t>nhancement to support HST-SFN deployment scenario:</w:t>
      </w:r>
    </w:p>
    <w:p w14:paraId="0E4A37B2" w14:textId="77777777" w:rsidR="00384EE1" w:rsidRDefault="00384EE1" w:rsidP="00384EE1">
      <w:pPr>
        <w:pStyle w:val="a7"/>
        <w:numPr>
          <w:ilvl w:val="2"/>
          <w:numId w:val="20"/>
        </w:numPr>
        <w:spacing w:after="0"/>
        <w:ind w:left="2160"/>
        <w:contextualSpacing w:val="0"/>
        <w:jc w:val="both"/>
      </w:pPr>
      <w:r>
        <w:t xml:space="preserve">Identify and specify solution(s) on </w:t>
      </w:r>
      <w:r w:rsidRPr="00FC3465">
        <w:t>QCL assumption for DMRS, e.g. multiple QCL assumptions for the same DMRS port(s)</w:t>
      </w:r>
      <w:r>
        <w:t>, targeting DL-only transmission</w:t>
      </w:r>
    </w:p>
    <w:p w14:paraId="504760FC" w14:textId="77777777" w:rsidR="00384EE1" w:rsidRPr="00FC3465" w:rsidRDefault="00384EE1" w:rsidP="00384EE1">
      <w:pPr>
        <w:pStyle w:val="a7"/>
        <w:numPr>
          <w:ilvl w:val="2"/>
          <w:numId w:val="20"/>
        </w:numPr>
        <w:spacing w:after="0"/>
        <w:ind w:left="2160"/>
        <w:contextualSpacing w:val="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5D607BA9" w14:textId="77777777" w:rsidR="00384EE1" w:rsidRPr="0051690F" w:rsidRDefault="00384EE1" w:rsidP="00384EE1">
      <w:pPr>
        <w:pStyle w:val="a7"/>
        <w:numPr>
          <w:ilvl w:val="0"/>
          <w:numId w:val="20"/>
        </w:numPr>
        <w:spacing w:after="0"/>
        <w:ind w:left="720"/>
        <w:contextualSpacing w:val="0"/>
        <w:jc w:val="both"/>
      </w:pPr>
      <w:r w:rsidRPr="0051690F">
        <w:t>Enhancement on SRS, targeting both FR1 and FR2:</w:t>
      </w:r>
    </w:p>
    <w:p w14:paraId="5974F39C" w14:textId="77777777" w:rsidR="00384EE1" w:rsidRPr="0051690F" w:rsidRDefault="00384EE1" w:rsidP="00384EE1">
      <w:pPr>
        <w:pStyle w:val="a7"/>
        <w:numPr>
          <w:ilvl w:val="1"/>
          <w:numId w:val="20"/>
        </w:numPr>
        <w:spacing w:after="0"/>
        <w:ind w:left="1440"/>
        <w:contextualSpacing w:val="0"/>
        <w:jc w:val="both"/>
      </w:pPr>
      <w:r w:rsidRPr="0051690F">
        <w:t>Identify and specify enhancements on aperiodic SRS triggering</w:t>
      </w:r>
      <w:r>
        <w:t xml:space="preserve"> to facilitate more flexible triggering and/or DCI overhead/usage reduction</w:t>
      </w:r>
    </w:p>
    <w:p w14:paraId="76B2931E" w14:textId="77777777" w:rsidR="00384EE1" w:rsidRPr="0051690F" w:rsidRDefault="00384EE1" w:rsidP="00384EE1">
      <w:pPr>
        <w:pStyle w:val="a7"/>
        <w:numPr>
          <w:ilvl w:val="1"/>
          <w:numId w:val="20"/>
        </w:numPr>
        <w:spacing w:after="0"/>
        <w:ind w:left="1440"/>
        <w:contextualSpacing w:val="0"/>
        <w:jc w:val="both"/>
      </w:pPr>
      <w:r w:rsidRPr="0051690F">
        <w:t xml:space="preserve">Specify SRS switching for up to 8 antennas (e.g., </w:t>
      </w:r>
      <w:proofErr w:type="spellStart"/>
      <w:r w:rsidRPr="0051690F">
        <w:t>xTyR</w:t>
      </w:r>
      <w:proofErr w:type="spellEnd"/>
      <w:r w:rsidRPr="0051690F">
        <w:t xml:space="preserve">, x </w:t>
      </w:r>
      <w:r>
        <w:t xml:space="preserve">= {1, 2, </w:t>
      </w:r>
      <w:r w:rsidRPr="0051690F">
        <w:t>4</w:t>
      </w:r>
      <w:r>
        <w:t xml:space="preserve">} and </w:t>
      </w:r>
      <w:r w:rsidRPr="0051690F">
        <w:t xml:space="preserve">y </w:t>
      </w:r>
      <w:r>
        <w:t xml:space="preserve">= {6, </w:t>
      </w:r>
      <w:r w:rsidRPr="0051690F">
        <w:t>8</w:t>
      </w:r>
      <w:r>
        <w:t>}</w:t>
      </w:r>
      <w:r w:rsidRPr="0051690F">
        <w:t>)</w:t>
      </w:r>
    </w:p>
    <w:p w14:paraId="3BC2D1DF" w14:textId="77777777" w:rsidR="00384EE1" w:rsidRPr="0051690F" w:rsidRDefault="00384EE1" w:rsidP="00384EE1">
      <w:pPr>
        <w:pStyle w:val="a7"/>
        <w:numPr>
          <w:ilvl w:val="1"/>
          <w:numId w:val="20"/>
        </w:numPr>
        <w:spacing w:after="0"/>
        <w:ind w:left="1440"/>
        <w:contextualSpacing w:val="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3BFA281C" w14:textId="77777777" w:rsidR="00384EE1" w:rsidRPr="0051690F" w:rsidRDefault="00384EE1" w:rsidP="00384EE1">
      <w:pPr>
        <w:pStyle w:val="a7"/>
        <w:numPr>
          <w:ilvl w:val="0"/>
          <w:numId w:val="20"/>
        </w:numPr>
        <w:spacing w:after="0"/>
        <w:ind w:left="720"/>
        <w:contextualSpacing w:val="0"/>
        <w:jc w:val="both"/>
      </w:pPr>
      <w:r w:rsidRPr="0051690F">
        <w:t>Enhancement on CSI measurement and reporting:</w:t>
      </w:r>
    </w:p>
    <w:p w14:paraId="06E19AAF" w14:textId="77777777" w:rsidR="00384EE1" w:rsidRPr="0051690F" w:rsidRDefault="00384EE1" w:rsidP="00384EE1">
      <w:pPr>
        <w:pStyle w:val="a7"/>
        <w:numPr>
          <w:ilvl w:val="1"/>
          <w:numId w:val="20"/>
        </w:numPr>
        <w:spacing w:after="0"/>
        <w:ind w:left="1440"/>
        <w:contextualSpacing w:val="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17F7DD41" w14:textId="77777777" w:rsidR="00384EE1" w:rsidRPr="00800C3B" w:rsidRDefault="00384EE1" w:rsidP="00384EE1">
      <w:pPr>
        <w:pStyle w:val="a7"/>
        <w:numPr>
          <w:ilvl w:val="1"/>
          <w:numId w:val="20"/>
        </w:numPr>
        <w:spacing w:after="0"/>
        <w:ind w:left="1440"/>
        <w:contextualSpacing w:val="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w:t>
      </w:r>
      <w:proofErr w:type="spellStart"/>
      <w:r w:rsidRPr="0051690F">
        <w:t>gNB</w:t>
      </w:r>
      <w:proofErr w:type="spellEnd"/>
      <w:r w:rsidRPr="0051690F">
        <w:t xml:space="preserve"> based on SRS by utilizing DL/UL </w:t>
      </w:r>
      <w:r w:rsidRPr="00800C3B">
        <w:t>reciprocity of angle and delay, and the remaining DL CSI is reported by the UE, mainly targeting FDD FR1 to achieve better trade-off among UE complexity, performance and reporting overhead</w:t>
      </w:r>
    </w:p>
    <w:p w14:paraId="4B1E7DEA" w14:textId="2F96D889" w:rsidR="0095370B" w:rsidRPr="00CE13B8" w:rsidRDefault="0095370B" w:rsidP="0095370B">
      <w:pPr>
        <w:spacing w:before="120" w:after="120"/>
        <w:jc w:val="both"/>
        <w:rPr>
          <w:rFonts w:eastAsiaTheme="minorEastAsia"/>
          <w:color w:val="000000" w:themeColor="text1"/>
          <w:sz w:val="22"/>
          <w:szCs w:val="22"/>
          <w:lang w:val="en-US" w:eastAsia="zh-CN"/>
        </w:rPr>
      </w:pPr>
      <w:bookmarkStart w:id="7" w:name="OLE_LINK9"/>
      <w:bookmarkStart w:id="8"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enhancements on </w:t>
      </w:r>
      <w:r w:rsidR="00331200">
        <w:rPr>
          <w:rFonts w:eastAsiaTheme="minorEastAsia"/>
          <w:color w:val="000000" w:themeColor="text1"/>
          <w:sz w:val="22"/>
          <w:szCs w:val="22"/>
          <w:lang w:val="en-US" w:eastAsia="zh-CN"/>
        </w:rPr>
        <w:t>SRS</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1ADB3377" w14:textId="77777777" w:rsidR="00F80FDD" w:rsidRDefault="00331200"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SRS is believed to play </w:t>
      </w:r>
      <w:r w:rsidR="00F80FDD">
        <w:rPr>
          <w:rFonts w:eastAsiaTheme="minorEastAsia"/>
          <w:color w:val="000000" w:themeColor="text1"/>
          <w:sz w:val="22"/>
          <w:szCs w:val="22"/>
          <w:lang w:val="en-US" w:eastAsia="zh-CN"/>
        </w:rPr>
        <w:t>key</w:t>
      </w:r>
      <w:r>
        <w:rPr>
          <w:rFonts w:eastAsiaTheme="minorEastAsia"/>
          <w:color w:val="000000" w:themeColor="text1"/>
          <w:sz w:val="22"/>
          <w:szCs w:val="22"/>
          <w:lang w:val="en-US" w:eastAsia="zh-CN"/>
        </w:rPr>
        <w:t xml:space="preserve"> role</w:t>
      </w:r>
      <w:r w:rsidR="00F80FDD">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w:t>
      </w:r>
      <w:r w:rsidR="00F80FDD">
        <w:rPr>
          <w:rFonts w:eastAsiaTheme="minorEastAsia"/>
          <w:color w:val="000000" w:themeColor="text1"/>
          <w:sz w:val="22"/>
          <w:szCs w:val="22"/>
          <w:lang w:val="en-US" w:eastAsia="zh-CN"/>
        </w:rPr>
        <w:t xml:space="preserve">variously </w:t>
      </w:r>
      <w:r>
        <w:rPr>
          <w:rFonts w:eastAsiaTheme="minorEastAsia"/>
          <w:color w:val="000000" w:themeColor="text1"/>
          <w:sz w:val="22"/>
          <w:szCs w:val="22"/>
          <w:lang w:val="en-US" w:eastAsia="zh-CN"/>
        </w:rPr>
        <w:t xml:space="preserve">not only for uplink channel measurement, but also for downlink. </w:t>
      </w:r>
      <w:r w:rsidR="00F80FDD">
        <w:rPr>
          <w:rFonts w:eastAsiaTheme="minorEastAsia"/>
          <w:color w:val="000000" w:themeColor="text1"/>
          <w:sz w:val="22"/>
          <w:szCs w:val="22"/>
          <w:lang w:val="en-US" w:eastAsia="zh-CN"/>
        </w:rPr>
        <w:t>While in current framework, SRS configuration has some deficiencies. To make better use of SRS, enhancements should be studied.</w:t>
      </w:r>
    </w:p>
    <w:p w14:paraId="7CDB58C1" w14:textId="77777777" w:rsidR="006119F7" w:rsidRDefault="00F80FDD"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First </w:t>
      </w:r>
      <w:r w:rsidR="006119F7">
        <w:rPr>
          <w:rFonts w:eastAsiaTheme="minorEastAsia"/>
          <w:color w:val="000000" w:themeColor="text1"/>
          <w:sz w:val="22"/>
          <w:szCs w:val="22"/>
          <w:lang w:val="en-US" w:eastAsia="zh-CN"/>
        </w:rPr>
        <w:t>issue</w:t>
      </w:r>
      <w:r>
        <w:rPr>
          <w:rFonts w:eastAsiaTheme="minorEastAsia"/>
          <w:color w:val="000000" w:themeColor="text1"/>
          <w:sz w:val="22"/>
          <w:szCs w:val="22"/>
          <w:lang w:val="en-US" w:eastAsia="zh-CN"/>
        </w:rPr>
        <w:t xml:space="preserve"> is the SRS triggering flexibility, </w:t>
      </w:r>
      <w:r w:rsidR="006119F7">
        <w:rPr>
          <w:rFonts w:eastAsiaTheme="minorEastAsia"/>
          <w:color w:val="000000" w:themeColor="text1"/>
          <w:sz w:val="22"/>
          <w:szCs w:val="22"/>
          <w:lang w:val="en-US" w:eastAsia="zh-CN"/>
        </w:rPr>
        <w:t xml:space="preserve">for aperiodic SRS resource set, the triggering offset can only be configured by RRC. The first restriction is that AP SRS can only be triggered in specific slots, especially in case of TDD frame structure. Furthermore, the slot format can be dynamically changed by DCI, the semi-static configured AP SRS triggering offset may be not suitable for the updated slot format, in some cases, </w:t>
      </w:r>
      <w:proofErr w:type="gramStart"/>
      <w:r w:rsidR="006119F7">
        <w:rPr>
          <w:rFonts w:eastAsiaTheme="minorEastAsia"/>
          <w:color w:val="000000" w:themeColor="text1"/>
          <w:sz w:val="22"/>
          <w:szCs w:val="22"/>
          <w:lang w:val="en-US" w:eastAsia="zh-CN"/>
        </w:rPr>
        <w:t>AP</w:t>
      </w:r>
      <w:proofErr w:type="gramEnd"/>
      <w:r w:rsidR="006119F7">
        <w:rPr>
          <w:rFonts w:eastAsiaTheme="minorEastAsia"/>
          <w:color w:val="000000" w:themeColor="text1"/>
          <w:sz w:val="22"/>
          <w:szCs w:val="22"/>
          <w:lang w:val="en-US" w:eastAsia="zh-CN"/>
        </w:rPr>
        <w:t xml:space="preserve"> SRS may not be able to be triggered any more. </w:t>
      </w:r>
    </w:p>
    <w:p w14:paraId="4C29C191" w14:textId="77777777" w:rsidR="00FD1356" w:rsidRDefault="006119F7"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Improvement of SRS triggering flexibility is quite desired. The straightforward way is to dynamically indicate the triggering offset in DCI</w:t>
      </w:r>
      <w:r w:rsidR="00FD1356">
        <w:rPr>
          <w:rFonts w:eastAsiaTheme="minorEastAsia"/>
          <w:color w:val="000000" w:themeColor="text1"/>
          <w:sz w:val="22"/>
          <w:szCs w:val="22"/>
          <w:lang w:val="en-US" w:eastAsia="zh-CN"/>
        </w:rPr>
        <w:t xml:space="preserve">, which can provide the full flexibility, while the overhead may be quite large (taking current slot offset 0-32 for example). And on the other hand, there may be no need to be so flexible. Tradeoff and balance between the flexibility and </w:t>
      </w:r>
      <w:proofErr w:type="spellStart"/>
      <w:r w:rsidR="00FD1356">
        <w:rPr>
          <w:rFonts w:eastAsiaTheme="minorEastAsia"/>
          <w:color w:val="000000" w:themeColor="text1"/>
          <w:sz w:val="22"/>
          <w:szCs w:val="22"/>
          <w:lang w:val="en-US" w:eastAsia="zh-CN"/>
        </w:rPr>
        <w:t>signalling</w:t>
      </w:r>
      <w:proofErr w:type="spellEnd"/>
      <w:r w:rsidR="00FD1356">
        <w:rPr>
          <w:rFonts w:eastAsiaTheme="minorEastAsia"/>
          <w:color w:val="000000" w:themeColor="text1"/>
          <w:sz w:val="22"/>
          <w:szCs w:val="22"/>
          <w:lang w:val="en-US" w:eastAsia="zh-CN"/>
        </w:rPr>
        <w:t xml:space="preserve"> overhead can be studied for AP SRS triggering.</w:t>
      </w:r>
    </w:p>
    <w:p w14:paraId="13AB28B8" w14:textId="7DAF3094" w:rsidR="00FD1356" w:rsidRDefault="00FD1356" w:rsidP="00FD1356">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AP SRS triggering, flexibility should be improved, and the flexibility and signaling overhead should be studied.</w:t>
      </w:r>
    </w:p>
    <w:p w14:paraId="713761DD" w14:textId="77777777" w:rsidR="00D84DD9" w:rsidRDefault="00D84DD9"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important enhancement is SRS capacity and coverage. In Rel-16, the candidate OFDM symbols </w:t>
      </w:r>
      <w:r>
        <w:rPr>
          <w:rFonts w:eastAsiaTheme="minorEastAsia" w:hint="eastAsia"/>
          <w:color w:val="000000" w:themeColor="text1"/>
          <w:sz w:val="22"/>
          <w:szCs w:val="22"/>
          <w:lang w:val="en-US" w:eastAsia="zh-CN"/>
        </w:rPr>
        <w:t>for</w:t>
      </w:r>
      <w:r>
        <w:rPr>
          <w:rFonts w:eastAsiaTheme="minorEastAsia"/>
          <w:color w:val="000000" w:themeColor="text1"/>
          <w:sz w:val="22"/>
          <w:szCs w:val="22"/>
          <w:lang w:val="en-US" w:eastAsia="zh-CN"/>
        </w:rPr>
        <w:t xml:space="preserve"> SRS transmission has been updated to be any OFDM symbol in a slot, not limited to be last 6 symbols. While the maximum number of symbols for SRS transmission for one UE hasn’t been enhanced, which should be considered during the discussion. For example, the number of SRS symbols for one SRS resource, or the maximum number of repetitions. And restriction for aperiodic SRS antenna switching in current framework can also be relieved, especially for 1T4R, antenna switching within one slot can be possible.</w:t>
      </w:r>
    </w:p>
    <w:p w14:paraId="7942B799" w14:textId="77777777" w:rsidR="008D5C02" w:rsidRDefault="00D84DD9"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as mentioned in WID, partial sounding across frequency is also listed as a good candidate for SRS coverage enhancement. And there may be some points to be well designed for this scheme. For SRS without hopping, partial sounding may break the property of ZC sequence, the structure for SRS sequence </w:t>
      </w:r>
      <w:r w:rsidR="008D5C02">
        <w:rPr>
          <w:rFonts w:eastAsiaTheme="minorEastAsia"/>
          <w:color w:val="000000" w:themeColor="text1"/>
          <w:sz w:val="22"/>
          <w:szCs w:val="22"/>
          <w:lang w:val="en-US" w:eastAsia="zh-CN"/>
        </w:rPr>
        <w:t>design should be studied. And for SRS transmission with hopping, partial sounding across frequency can be achieved based on current nested hopping bandwidth structure, which can be taken as a starting point.</w:t>
      </w:r>
    </w:p>
    <w:p w14:paraId="77E193D6" w14:textId="21D3ADC2" w:rsidR="008D5C02" w:rsidRDefault="008D5C02" w:rsidP="008D5C02">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SRS capacity and coverage enhancement, structure for SRS sequence design should be studied and current SRS hopping bandwidth configuration can be taken as a starting point.</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754446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841A18">
        <w:rPr>
          <w:rFonts w:eastAsia="宋体"/>
          <w:color w:val="000000" w:themeColor="text1"/>
          <w:sz w:val="22"/>
          <w:szCs w:val="22"/>
          <w:lang w:eastAsia="zh-CN"/>
        </w:rPr>
        <w:t xml:space="preserve">SRS </w:t>
      </w:r>
      <w:r w:rsidR="00EE5414">
        <w:rPr>
          <w:rFonts w:eastAsia="宋体"/>
          <w:color w:val="000000" w:themeColor="text1"/>
          <w:sz w:val="22"/>
          <w:szCs w:val="22"/>
          <w:lang w:eastAsia="zh-CN"/>
        </w:rPr>
        <w:t>enhancement</w:t>
      </w:r>
      <w:r>
        <w:rPr>
          <w:rFonts w:eastAsia="宋体" w:hint="eastAsia"/>
          <w:color w:val="000000" w:themeColor="text1"/>
          <w:sz w:val="22"/>
          <w:szCs w:val="22"/>
          <w:lang w:eastAsia="zh-CN"/>
        </w:rPr>
        <w:t>, and we proposed that:</w:t>
      </w:r>
    </w:p>
    <w:p w14:paraId="2AD94779" w14:textId="77777777" w:rsidR="00841A18" w:rsidRDefault="00841A18" w:rsidP="00841A18">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AP SRS triggering, flexibility should be improved, and the flexibility and signaling overhead should be studied.</w:t>
      </w:r>
    </w:p>
    <w:p w14:paraId="02440DC0" w14:textId="77777777" w:rsidR="00841A18" w:rsidRDefault="00841A18" w:rsidP="00841A18">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SRS capacity and coverage enhancement, structure for SRS sequence design should be studied and current SRS hopping bandwidth configuration can be taken as a starting point.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22EE2652" w14:textId="2FE35585" w:rsidR="00EA14AD" w:rsidRPr="00EA14AD" w:rsidRDefault="00EA14AD" w:rsidP="00EA14AD">
      <w:pPr>
        <w:pStyle w:val="a7"/>
        <w:numPr>
          <w:ilvl w:val="0"/>
          <w:numId w:val="2"/>
        </w:numPr>
        <w:spacing w:after="0"/>
        <w:rPr>
          <w:rFonts w:eastAsia="宋体"/>
          <w:color w:val="000000"/>
          <w:lang w:eastAsia="zh-CN"/>
        </w:rPr>
      </w:pPr>
      <w:r w:rsidRPr="00EA14AD">
        <w:rPr>
          <w:rFonts w:eastAsia="宋体"/>
          <w:color w:val="000000"/>
          <w:lang w:eastAsia="zh-CN"/>
        </w:rPr>
        <w:t>RP-193133, New WID: further enhancements on MIMO for NR</w:t>
      </w:r>
      <w:r>
        <w:rPr>
          <w:rFonts w:eastAsia="宋体"/>
          <w:color w:val="000000"/>
          <w:lang w:eastAsia="zh-CN"/>
        </w:rPr>
        <w:t>, 3GPP TSG RAN#86</w:t>
      </w:r>
      <w:r w:rsidRPr="00EA14AD">
        <w:rPr>
          <w:rFonts w:eastAsia="宋体"/>
          <w:color w:val="000000"/>
          <w:lang w:eastAsia="zh-CN"/>
        </w:rPr>
        <w:t xml:space="preserve">  </w:t>
      </w:r>
    </w:p>
    <w:sectPr w:rsidR="00EA14AD"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5EE0A" w14:textId="77777777" w:rsidR="008E4E1C" w:rsidRPr="00D733E0" w:rsidRDefault="008E4E1C" w:rsidP="00D400AF">
      <w:pPr>
        <w:spacing w:after="0"/>
        <w:rPr>
          <w:rFonts w:ascii="Arial" w:eastAsia="宋体" w:hAnsi="Arial" w:cs="Arial"/>
          <w:color w:val="0000FF"/>
          <w:kern w:val="2"/>
          <w:lang w:val="en-US" w:eastAsia="zh-CN"/>
        </w:rPr>
      </w:pPr>
      <w:r>
        <w:separator/>
      </w:r>
    </w:p>
  </w:endnote>
  <w:endnote w:type="continuationSeparator" w:id="0">
    <w:p w14:paraId="684B0DBD" w14:textId="77777777" w:rsidR="008E4E1C" w:rsidRPr="00D733E0" w:rsidRDefault="008E4E1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B5AF4D6" w:rsidR="00D84DD9" w:rsidRPr="007A56A3" w:rsidRDefault="00D84D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F134E" w:rsidRPr="006F134E">
          <w:rPr>
            <w:noProof/>
            <w:sz w:val="21"/>
            <w:lang w:val="zh-CN" w:eastAsia="zh-CN"/>
          </w:rPr>
          <w:t>2</w:t>
        </w:r>
        <w:r w:rsidRPr="007A56A3">
          <w:rPr>
            <w:sz w:val="21"/>
          </w:rPr>
          <w:fldChar w:fldCharType="end"/>
        </w:r>
      </w:p>
    </w:sdtContent>
  </w:sdt>
  <w:p w14:paraId="55D08AE3" w14:textId="77777777" w:rsidR="00D84DD9" w:rsidRDefault="00D84D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2BD61" w14:textId="77777777" w:rsidR="008E4E1C" w:rsidRPr="00D733E0" w:rsidRDefault="008E4E1C" w:rsidP="00D400AF">
      <w:pPr>
        <w:spacing w:after="0"/>
        <w:rPr>
          <w:rFonts w:ascii="Arial" w:eastAsia="宋体" w:hAnsi="Arial" w:cs="Arial"/>
          <w:color w:val="0000FF"/>
          <w:kern w:val="2"/>
          <w:lang w:val="en-US" w:eastAsia="zh-CN"/>
        </w:rPr>
      </w:pPr>
      <w:r>
        <w:separator/>
      </w:r>
    </w:p>
  </w:footnote>
  <w:footnote w:type="continuationSeparator" w:id="0">
    <w:p w14:paraId="6FE6F61A" w14:textId="77777777" w:rsidR="008E4E1C" w:rsidRPr="00D733E0" w:rsidRDefault="008E4E1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7"/>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6"/>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4"/>
  </w:num>
  <w:num w:numId="18">
    <w:abstractNumId w:val="11"/>
  </w:num>
  <w:num w:numId="19">
    <w:abstractNumId w:val="9"/>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1200"/>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19F7"/>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709C"/>
    <w:rsid w:val="006C7C82"/>
    <w:rsid w:val="006D1371"/>
    <w:rsid w:val="006D34CE"/>
    <w:rsid w:val="006D3885"/>
    <w:rsid w:val="006D51DE"/>
    <w:rsid w:val="006D5669"/>
    <w:rsid w:val="006E122C"/>
    <w:rsid w:val="006E437D"/>
    <w:rsid w:val="006E4CCE"/>
    <w:rsid w:val="006E6DC6"/>
    <w:rsid w:val="006F072E"/>
    <w:rsid w:val="006F134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C89"/>
    <w:rsid w:val="007F46DC"/>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A18"/>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3529"/>
    <w:rsid w:val="008E4E1C"/>
    <w:rsid w:val="008E4E79"/>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A13"/>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606F8-75DE-4114-98E6-A7CD26DB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961</Words>
  <Characters>5483</Characters>
  <Application>Microsoft Office Word</Application>
  <DocSecurity>0</DocSecurity>
  <Lines>45</Lines>
  <Paragraphs>12</Paragraphs>
  <ScaleCrop>false</ScaleCrop>
  <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cp:revision>
  <dcterms:created xsi:type="dcterms:W3CDTF">2020-08-07T00:25:00Z</dcterms:created>
  <dcterms:modified xsi:type="dcterms:W3CDTF">2020-08-07T00:25:00Z</dcterms:modified>
</cp:coreProperties>
</file>