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a7"/>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1"/>
      </w:pPr>
      <w:r>
        <w:t>2</w:t>
      </w:r>
      <w:r w:rsidRPr="000E647A">
        <w:tab/>
      </w:r>
      <w:r w:rsidR="00B90B2B">
        <w:t>Draft TR skeleton</w:t>
      </w:r>
    </w:p>
    <w:p w14:paraId="6BBB8B64" w14:textId="22FC7806" w:rsidR="00FF4381" w:rsidRDefault="007C7367" w:rsidP="007C7367">
      <w:r>
        <w:t xml:space="preserve">A draft TR skeleton has been provided by the rapporteur in </w:t>
      </w:r>
      <w:hyperlink r:id="rId12" w:history="1">
        <w:r w:rsidRPr="00E1646E">
          <w:rPr>
            <w:rStyle w:val="a7"/>
          </w:rPr>
          <w:t>R1-2003288</w:t>
        </w:r>
      </w:hyperlink>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a6"/>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Default="00356DCC" w:rsidP="00356DCC">
            <w:pPr>
              <w:pStyle w:val="a9"/>
              <w:numPr>
                <w:ilvl w:val="0"/>
                <w:numId w:val="9"/>
              </w:numPr>
            </w:pPr>
            <w:r w:rsidRPr="00356DCC">
              <w:t>There should be a section for each technique in section 7</w:t>
            </w:r>
            <w:r>
              <w:t>.X</w:t>
            </w:r>
            <w:r w:rsidRPr="00356DCC">
              <w:t xml:space="preserve"> on "Compatability and coexistence with NR"</w:t>
            </w:r>
          </w:p>
          <w:p w14:paraId="1051FA65" w14:textId="1344F366" w:rsidR="001669E9" w:rsidRDefault="001669E9" w:rsidP="00356DCC">
            <w:pPr>
              <w:pStyle w:val="a9"/>
              <w:numPr>
                <w:ilvl w:val="0"/>
                <w:numId w:val="9"/>
              </w:numPr>
            </w:pPr>
            <w:r>
              <w:t>Some text has been copied and pasted into the skeleton, which is fine. Under 7.3 two notes from the SID should be copied:</w:t>
            </w:r>
          </w:p>
          <w:p w14:paraId="5764E705" w14:textId="15BB5A50" w:rsidR="001669E9" w:rsidRDefault="001669E9" w:rsidP="001669E9">
            <w:pPr>
              <w:pStyle w:val="a9"/>
              <w:numPr>
                <w:ilvl w:val="0"/>
                <w:numId w:val="10"/>
              </w:numPr>
            </w:pPr>
            <w:r w:rsidRPr="001669E9">
              <w:t>The lowest capability considered should be no less than an LTE Category 1bis modem</w:t>
            </w:r>
          </w:p>
          <w:p w14:paraId="74DB206F" w14:textId="556EC654" w:rsidR="001669E9" w:rsidRDefault="001669E9" w:rsidP="001669E9">
            <w:pPr>
              <w:pStyle w:val="a9"/>
              <w:numPr>
                <w:ilvl w:val="0"/>
                <w:numId w:val="10"/>
              </w:numPr>
            </w:pPr>
            <w:r w:rsidRPr="001669E9">
              <w:t>Rel-15 SSB bandwidth should be reused and L1 changes minimized</w:t>
            </w:r>
          </w:p>
          <w:p w14:paraId="70B29900" w14:textId="77777777" w:rsidR="001669E9" w:rsidRDefault="001669E9" w:rsidP="001669E9">
            <w:pPr>
              <w:pStyle w:val="a9"/>
            </w:pPr>
          </w:p>
          <w:p w14:paraId="21A967E3" w14:textId="3EB4EF00" w:rsidR="001669E9" w:rsidRDefault="00356DCC" w:rsidP="00356DCC">
            <w:pPr>
              <w:pStyle w:val="a9"/>
              <w:numPr>
                <w:ilvl w:val="0"/>
                <w:numId w:val="9"/>
              </w:numPr>
            </w:pPr>
            <w:r>
              <w:t xml:space="preserve">The techniques to be studied under section 7.6 </w:t>
            </w:r>
            <w:r w:rsidR="001669E9">
              <w:t>have not yet been</w:t>
            </w:r>
            <w:r>
              <w:t xml:space="preserve"> agreed. We are </w:t>
            </w:r>
            <w:r w:rsidR="001669E9">
              <w:rPr>
                <w:i/>
                <w:iCs/>
              </w:rPr>
              <w:t>only</w:t>
            </w:r>
            <w:r>
              <w:t xml:space="preserve"> OK with </w:t>
            </w:r>
            <w:r w:rsidR="001669E9">
              <w:t xml:space="preserve">listing in the TR techniques that we all agree to include in the study. We are </w:t>
            </w:r>
            <w:r w:rsidR="001669E9" w:rsidRPr="001669E9">
              <w:rPr>
                <w:i/>
                <w:iCs/>
              </w:rPr>
              <w:t>not</w:t>
            </w:r>
            <w:r w:rsidR="001669E9">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Default="004E780E" w:rsidP="004E780E">
            <w:pPr>
              <w:pStyle w:val="a9"/>
            </w:pPr>
          </w:p>
          <w:p w14:paraId="5F896DCE" w14:textId="0B98DD45" w:rsidR="00356DCC" w:rsidRDefault="004E780E" w:rsidP="004E780E">
            <w:pPr>
              <w:pStyle w:val="a9"/>
            </w:pPr>
            <w: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w:t>
            </w:r>
            <w:r>
              <w:lastRenderedPageBreak/>
              <w:t xml:space="preserve">processing.” Our recommendation is to progress those </w:t>
            </w:r>
            <w:r w:rsidR="003354A0">
              <w:t xml:space="preserve">two </w:t>
            </w:r>
            <w:r>
              <w:t xml:space="preserve">objectives, and then decide later whether we will study anything beyond those techniques. This will also avoid us getting stuck </w:t>
            </w:r>
            <w:r w:rsidR="003354A0">
              <w:t xml:space="preserve">now </w:t>
            </w:r>
            <w:r>
              <w:t xml:space="preserve">in arguments about what exact data rates and how many types of devices redcap supports. The SID has some requirements for different services, </w:t>
            </w:r>
            <w:r w:rsidR="003354A0">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rFonts w:hint="eastAsia"/>
                <w:lang w:eastAsia="zh-CN"/>
              </w:rPr>
            </w:pPr>
            <w:r>
              <w:rPr>
                <w:rFonts w:hint="eastAsia"/>
                <w:lang w:eastAsia="zh-CN"/>
              </w:rPr>
              <w:lastRenderedPageBreak/>
              <w:t>v</w:t>
            </w:r>
            <w:r>
              <w:rPr>
                <w:lang w:eastAsia="zh-CN"/>
              </w:rPr>
              <w:t>ivo</w:t>
            </w:r>
          </w:p>
        </w:tc>
        <w:tc>
          <w:tcPr>
            <w:tcW w:w="7694" w:type="dxa"/>
          </w:tcPr>
          <w:p w14:paraId="5E0AA2CD" w14:textId="77777777" w:rsidR="003915AD" w:rsidRDefault="00F86280" w:rsidP="00F86280">
            <w:pPr>
              <w:pStyle w:val="a9"/>
              <w:numPr>
                <w:ilvl w:val="0"/>
                <w:numId w:val="11"/>
              </w:numPr>
              <w:rPr>
                <w:lang w:eastAsia="zh-CN"/>
              </w:rPr>
            </w:pPr>
            <w:r>
              <w:rPr>
                <w:rFonts w:hint="eastAsia"/>
                <w:lang w:eastAsia="zh-CN"/>
              </w:rPr>
              <w:t>T</w:t>
            </w:r>
            <w:r>
              <w:rPr>
                <w:lang w:eastAsia="zh-CN"/>
              </w:rPr>
              <w:t xml:space="preserve">he contents in section 5 (requirements) should be put on hold untill the outcome of the other email thread </w:t>
            </w:r>
            <w:r w:rsidRPr="00F86280">
              <w:rPr>
                <w:lang w:eastAsia="zh-CN"/>
              </w:rPr>
              <w:t>[101-e-NR-RedCap-01]</w:t>
            </w:r>
          </w:p>
          <w:p w14:paraId="31F60C2E" w14:textId="77777777" w:rsidR="00F86280" w:rsidRDefault="00F86280" w:rsidP="00F86280">
            <w:pPr>
              <w:pStyle w:val="a9"/>
              <w:numPr>
                <w:ilvl w:val="0"/>
                <w:numId w:val="11"/>
              </w:numPr>
              <w:rPr>
                <w:lang w:eastAsia="zh-CN"/>
              </w:rPr>
            </w:pPr>
            <w:r>
              <w:rPr>
                <w:lang w:eastAsia="zh-CN"/>
              </w:rPr>
              <w:t xml:space="preserve">As discussed in </w:t>
            </w:r>
            <w:r>
              <w:rPr>
                <w:lang w:eastAsia="zh-CN"/>
              </w:rPr>
              <w:t xml:space="preserve">email thread </w:t>
            </w:r>
            <w:r w:rsidRPr="00F86280">
              <w:rPr>
                <w:lang w:eastAsia="zh-CN"/>
              </w:rPr>
              <w:t>[101-e-NR-RedCap-01]</w:t>
            </w:r>
            <w:r>
              <w:rPr>
                <w:lang w:eastAsia="zh-CN"/>
              </w:rPr>
              <w:t>,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a9"/>
              <w:numPr>
                <w:ilvl w:val="0"/>
                <w:numId w:val="11"/>
              </w:numPr>
              <w:rPr>
                <w:lang w:eastAsia="zh-CN"/>
              </w:rPr>
            </w:pPr>
            <w:r>
              <w:rPr>
                <w:lang w:eastAsia="zh-CN"/>
              </w:rPr>
              <w:t xml:space="preserve">Many of the complexity reductions techniques captured in section 7 are expected to provide power consumption benefit as well, suggest to add a subsection ”power consumption” under each technique </w:t>
            </w:r>
            <w:r w:rsidR="000A4FF0">
              <w:rPr>
                <w:lang w:eastAsia="zh-CN"/>
              </w:rPr>
              <w:t>to capture the relavant quantative analysis, if any. This is similar to what was done in TR36.888</w:t>
            </w:r>
          </w:p>
          <w:p w14:paraId="278C4934" w14:textId="2AD2B8ED" w:rsidR="000A4FF0" w:rsidRDefault="000A4FF0" w:rsidP="00F86280">
            <w:pPr>
              <w:pStyle w:val="a9"/>
              <w:numPr>
                <w:ilvl w:val="0"/>
                <w:numId w:val="11"/>
              </w:numPr>
              <w:rPr>
                <w:lang w:eastAsia="zh-CN"/>
              </w:rPr>
            </w:pPr>
            <w:r>
              <w:rPr>
                <w:lang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Default="000A4FF0" w:rsidP="00F86280">
            <w:pPr>
              <w:pStyle w:val="a9"/>
              <w:numPr>
                <w:ilvl w:val="0"/>
                <w:numId w:val="11"/>
              </w:numPr>
              <w:rPr>
                <w:rFonts w:hint="eastAsia"/>
                <w:lang w:eastAsia="zh-CN"/>
              </w:rPr>
            </w:pPr>
            <w:r>
              <w:rPr>
                <w:lang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bookmarkStart w:id="9" w:name="_GoBack"/>
            <w:bookmarkEnd w:id="9"/>
          </w:p>
        </w:tc>
      </w:tr>
      <w:tr w:rsidR="003915AD" w14:paraId="34A6A253" w14:textId="77777777" w:rsidTr="00DE0EEB">
        <w:tc>
          <w:tcPr>
            <w:tcW w:w="1937" w:type="dxa"/>
          </w:tcPr>
          <w:p w14:paraId="1F2C65E5" w14:textId="77777777" w:rsidR="003915AD" w:rsidRDefault="003915AD" w:rsidP="003915AD"/>
        </w:tc>
        <w:tc>
          <w:tcPr>
            <w:tcW w:w="7694" w:type="dxa"/>
          </w:tcPr>
          <w:p w14:paraId="054DB8F8" w14:textId="77777777" w:rsidR="003915AD" w:rsidRDefault="003915AD" w:rsidP="003915AD"/>
        </w:tc>
      </w:tr>
      <w:tr w:rsidR="003915AD" w14:paraId="216F9CB0" w14:textId="77777777" w:rsidTr="00DE0EEB">
        <w:tc>
          <w:tcPr>
            <w:tcW w:w="1937" w:type="dxa"/>
          </w:tcPr>
          <w:p w14:paraId="77AE28DC" w14:textId="77777777" w:rsidR="003915AD" w:rsidRDefault="003915AD" w:rsidP="003915AD"/>
        </w:tc>
        <w:tc>
          <w:tcPr>
            <w:tcW w:w="7694" w:type="dxa"/>
          </w:tcPr>
          <w:p w14:paraId="6F627089" w14:textId="77777777" w:rsidR="003915AD" w:rsidRDefault="003915AD" w:rsidP="003915AD"/>
        </w:tc>
      </w:tr>
      <w:tr w:rsidR="003915AD" w14:paraId="73568584" w14:textId="77777777" w:rsidTr="00DE0EEB">
        <w:tc>
          <w:tcPr>
            <w:tcW w:w="1937" w:type="dxa"/>
          </w:tcPr>
          <w:p w14:paraId="51DADBCF" w14:textId="77777777" w:rsidR="003915AD" w:rsidRDefault="003915AD" w:rsidP="003915AD"/>
        </w:tc>
        <w:tc>
          <w:tcPr>
            <w:tcW w:w="7694" w:type="dxa"/>
          </w:tcPr>
          <w:p w14:paraId="542F862A" w14:textId="77777777" w:rsidR="003915AD" w:rsidRDefault="003915AD" w:rsidP="003915AD"/>
        </w:tc>
      </w:tr>
      <w:tr w:rsidR="003915AD" w14:paraId="3DB56CE4" w14:textId="77777777" w:rsidTr="00DE0EEB">
        <w:tc>
          <w:tcPr>
            <w:tcW w:w="1937" w:type="dxa"/>
          </w:tcPr>
          <w:p w14:paraId="594D1316" w14:textId="77777777" w:rsidR="003915AD" w:rsidRDefault="003915AD" w:rsidP="003915AD"/>
        </w:tc>
        <w:tc>
          <w:tcPr>
            <w:tcW w:w="7694" w:type="dxa"/>
          </w:tcPr>
          <w:p w14:paraId="7CE20FD3" w14:textId="77777777" w:rsidR="003915AD" w:rsidRDefault="003915AD" w:rsidP="003915AD"/>
        </w:tc>
      </w:tr>
      <w:tr w:rsidR="003915AD" w14:paraId="377EEDE9" w14:textId="77777777" w:rsidTr="00DE0EEB">
        <w:tc>
          <w:tcPr>
            <w:tcW w:w="1937" w:type="dxa"/>
          </w:tcPr>
          <w:p w14:paraId="741F2B9C" w14:textId="77777777" w:rsidR="003915AD" w:rsidRDefault="003915AD" w:rsidP="003915AD"/>
        </w:tc>
        <w:tc>
          <w:tcPr>
            <w:tcW w:w="7694" w:type="dxa"/>
          </w:tcPr>
          <w:p w14:paraId="6AD8F622" w14:textId="77777777" w:rsidR="003915AD" w:rsidRDefault="003915AD" w:rsidP="003915AD"/>
        </w:tc>
      </w:tr>
      <w:tr w:rsidR="00DE0EEB" w14:paraId="28789E65" w14:textId="77777777" w:rsidTr="00DE0EEB">
        <w:tc>
          <w:tcPr>
            <w:tcW w:w="1937" w:type="dxa"/>
          </w:tcPr>
          <w:p w14:paraId="374312DE" w14:textId="77777777" w:rsidR="00DE0EEB" w:rsidRDefault="00DE0EEB" w:rsidP="008B65C9"/>
        </w:tc>
        <w:tc>
          <w:tcPr>
            <w:tcW w:w="7694" w:type="dxa"/>
          </w:tcPr>
          <w:p w14:paraId="2337A318" w14:textId="77777777" w:rsidR="00DE0EEB" w:rsidRDefault="00DE0EEB" w:rsidP="008B65C9"/>
        </w:tc>
      </w:tr>
      <w:tr w:rsidR="00DE0EEB" w14:paraId="6E72952E" w14:textId="77777777" w:rsidTr="00DE0EEB">
        <w:tc>
          <w:tcPr>
            <w:tcW w:w="1937" w:type="dxa"/>
          </w:tcPr>
          <w:p w14:paraId="366157E4" w14:textId="77777777" w:rsidR="00DE0EEB" w:rsidRDefault="00DE0EEB" w:rsidP="008B65C9"/>
        </w:tc>
        <w:tc>
          <w:tcPr>
            <w:tcW w:w="7694" w:type="dxa"/>
          </w:tcPr>
          <w:p w14:paraId="4F759F71" w14:textId="77777777" w:rsidR="00DE0EEB" w:rsidRDefault="00DE0EEB" w:rsidP="008B65C9"/>
        </w:tc>
      </w:tr>
      <w:tr w:rsidR="00DE0EEB" w14:paraId="119CAFF1" w14:textId="77777777" w:rsidTr="00DE0EEB">
        <w:tc>
          <w:tcPr>
            <w:tcW w:w="1937" w:type="dxa"/>
          </w:tcPr>
          <w:p w14:paraId="3CD1EB77" w14:textId="77777777" w:rsidR="00DE0EEB" w:rsidRDefault="00DE0EEB" w:rsidP="008B65C9"/>
        </w:tc>
        <w:tc>
          <w:tcPr>
            <w:tcW w:w="7694" w:type="dxa"/>
          </w:tcPr>
          <w:p w14:paraId="5C43017B" w14:textId="77777777" w:rsidR="00DE0EEB" w:rsidRDefault="00DE0EEB" w:rsidP="008B65C9"/>
        </w:tc>
      </w:tr>
      <w:tr w:rsidR="00DE0EEB" w14:paraId="0F6EB368" w14:textId="77777777" w:rsidTr="00DE0EEB">
        <w:tc>
          <w:tcPr>
            <w:tcW w:w="1937" w:type="dxa"/>
          </w:tcPr>
          <w:p w14:paraId="43166560" w14:textId="77777777" w:rsidR="00DE0EEB" w:rsidRDefault="00DE0EEB" w:rsidP="008B65C9"/>
        </w:tc>
        <w:tc>
          <w:tcPr>
            <w:tcW w:w="7694" w:type="dxa"/>
          </w:tcPr>
          <w:p w14:paraId="4D3BEFE3" w14:textId="77777777" w:rsidR="00DE0EEB" w:rsidRDefault="00DE0EEB" w:rsidP="008B65C9"/>
        </w:tc>
      </w:tr>
      <w:tr w:rsidR="00DE0EEB" w14:paraId="457E67CD" w14:textId="77777777" w:rsidTr="00DE0EEB">
        <w:tc>
          <w:tcPr>
            <w:tcW w:w="1937" w:type="dxa"/>
          </w:tcPr>
          <w:p w14:paraId="24E54B63" w14:textId="77777777" w:rsidR="00DE0EEB" w:rsidRDefault="00DE0EEB" w:rsidP="008B65C9"/>
        </w:tc>
        <w:tc>
          <w:tcPr>
            <w:tcW w:w="7694" w:type="dxa"/>
          </w:tcPr>
          <w:p w14:paraId="0B89EE0F" w14:textId="77777777" w:rsidR="00DE0EEB" w:rsidRDefault="00DE0EEB" w:rsidP="008B65C9"/>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8E9CD" w14:textId="77777777" w:rsidR="006A5C58" w:rsidRDefault="006A5C58">
      <w:r>
        <w:separator/>
      </w:r>
    </w:p>
  </w:endnote>
  <w:endnote w:type="continuationSeparator" w:id="0">
    <w:p w14:paraId="6BD5DB52" w14:textId="77777777" w:rsidR="006A5C58" w:rsidRDefault="006A5C58">
      <w:r>
        <w:continuationSeparator/>
      </w:r>
    </w:p>
  </w:endnote>
  <w:endnote w:type="continuationNotice" w:id="1">
    <w:p w14:paraId="248034AA" w14:textId="77777777" w:rsidR="006A5C58" w:rsidRDefault="006A5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27CAB" w14:textId="77777777" w:rsidR="006A5C58" w:rsidRDefault="006A5C58">
      <w:r>
        <w:separator/>
      </w:r>
    </w:p>
  </w:footnote>
  <w:footnote w:type="continuationSeparator" w:id="0">
    <w:p w14:paraId="4DEEF7D1" w14:textId="77777777" w:rsidR="006A5C58" w:rsidRDefault="006A5C58">
      <w:r>
        <w:continuationSeparator/>
      </w:r>
    </w:p>
  </w:footnote>
  <w:footnote w:type="continuationNotice" w:id="1">
    <w:p w14:paraId="71E87876" w14:textId="77777777" w:rsidR="006A5C58" w:rsidRDefault="006A5C5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宋体"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915BB"/>
    <w:multiLevelType w:val="hybridMultilevel"/>
    <w:tmpl w:val="4DF4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
  </w:num>
  <w:num w:numId="5">
    <w:abstractNumId w:val="3"/>
  </w:num>
  <w:num w:numId="6">
    <w:abstractNumId w:val="8"/>
  </w:num>
  <w:num w:numId="7">
    <w:abstractNumId w:val="7"/>
  </w:num>
  <w:num w:numId="8">
    <w:abstractNumId w:val="6"/>
  </w:num>
  <w:num w:numId="9">
    <w:abstractNumId w:val="4"/>
  </w:num>
  <w:num w:numId="10">
    <w:abstractNumId w:val="0"/>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
    <w:name w:val="Mention"/>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328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83D9AACA-E0BC-45D2-86D6-57C5D265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4135</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Xueming Pan</cp:lastModifiedBy>
  <cp:revision>4</cp:revision>
  <cp:lastPrinted>2020-05-14T12:07:00Z</cp:lastPrinted>
  <dcterms:created xsi:type="dcterms:W3CDTF">2020-05-27T17:58:00Z</dcterms:created>
  <dcterms:modified xsi:type="dcterms:W3CDTF">2020-05-28T06:10:00Z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