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bl>
    <w:p w14:paraId="176EBA3A" w14:textId="77777777" w:rsidR="003915AD" w:rsidRDefault="003915AD" w:rsidP="003915AD"/>
    <w:p w14:paraId="2CC25B1D" w14:textId="7FBA3C3A" w:rsidR="004C0F41" w:rsidRPr="003D727D" w:rsidRDefault="00335E75" w:rsidP="000E647A">
      <w:pPr>
        <w:pStyle w:val="Heading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Heading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lastRenderedPageBreak/>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lastRenderedPageBreak/>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lastRenderedPageBreak/>
              <w:t>Verizon</w:t>
            </w:r>
          </w:p>
        </w:tc>
        <w:tc>
          <w:tcPr>
            <w:tcW w:w="7694" w:type="dxa"/>
          </w:tcPr>
          <w:p w14:paraId="261C408E" w14:textId="1442B585" w:rsidR="009A2F96" w:rsidRPr="00576F38" w:rsidRDefault="009A2F96" w:rsidP="009A2F96">
            <w:pPr>
              <w:rPr>
                <w:sz w:val="22"/>
                <w:szCs w:val="22"/>
              </w:rPr>
            </w:pPr>
            <w:r>
              <w:rPr>
                <w:sz w:val="22"/>
                <w:szCs w:val="22"/>
              </w:rPr>
              <w:t>We can roughly reuse the framework in TR36.888 and focus on the difference between NR and LTE. Though the cost breakdown in 36.888 may not be exactly reflecting the product relaity, it is useful as a reference nonetheless.</w:t>
            </w:r>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lastRenderedPageBreak/>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lastRenderedPageBreak/>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lastRenderedPageBreak/>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bl>
    <w:p w14:paraId="5101815A" w14:textId="77777777" w:rsidR="002F0302" w:rsidRDefault="002F0302" w:rsidP="002F0302"/>
    <w:p w14:paraId="06449CAF" w14:textId="30964AB1" w:rsidR="00FE6724" w:rsidRPr="007B0D07" w:rsidRDefault="00335E75" w:rsidP="000E647A">
      <w:pPr>
        <w:pStyle w:val="Heading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r>
              <w:rPr>
                <w:rFonts w:hint="eastAsia"/>
                <w:lang w:val="en-US" w:eastAsia="zh-CN"/>
              </w:rPr>
              <w:lastRenderedPageBreak/>
              <w:t>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lastRenderedPageBreak/>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bl>
    <w:p w14:paraId="7D62A147" w14:textId="77777777" w:rsidR="00E360E6" w:rsidRDefault="00E360E6" w:rsidP="00E360E6"/>
    <w:p w14:paraId="33786197" w14:textId="4A6973E1" w:rsidR="00087D68" w:rsidRPr="00807C29" w:rsidRDefault="00335E75" w:rsidP="000E647A">
      <w:pPr>
        <w:pStyle w:val="Heading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lastRenderedPageBreak/>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lastRenderedPageBreak/>
              <w:t>Verizon</w:t>
            </w:r>
          </w:p>
        </w:tc>
        <w:tc>
          <w:tcPr>
            <w:tcW w:w="7694" w:type="dxa"/>
          </w:tcPr>
          <w:p w14:paraId="73C5819D" w14:textId="471B5CF5" w:rsidR="001E6D2A" w:rsidRDefault="001E6D2A" w:rsidP="00824B56">
            <w:r>
              <w:t>Should at least provide a reference for the more deployment independent MCL.</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In principle, should align with the CE SI on methodology and (common) assumptions. Focus on the differences between RedCap and regular NR.</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lastRenderedPageBreak/>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bl>
    <w:p w14:paraId="3AE8FEE4" w14:textId="77777777" w:rsidR="00C46714" w:rsidRDefault="00C46714" w:rsidP="00C46714"/>
    <w:p w14:paraId="75A2A3B3" w14:textId="39598F6D" w:rsidR="00EB4EA9" w:rsidRDefault="00EB4EA9" w:rsidP="00C46714">
      <w:r>
        <w:lastRenderedPageBreak/>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Yes. Perfer MCL. It is more useful for wider audience too, in our view.</w:t>
            </w:r>
          </w:p>
        </w:tc>
      </w:tr>
    </w:tbl>
    <w:p w14:paraId="0E4B9EA1" w14:textId="77777777" w:rsidR="00EB4EA9" w:rsidRDefault="00EB4EA9" w:rsidP="00C46714"/>
    <w:p w14:paraId="6DD930AF" w14:textId="197A4A5B" w:rsidR="00472CB9" w:rsidRPr="000E647A" w:rsidRDefault="00335E75" w:rsidP="000E647A">
      <w:pPr>
        <w:pStyle w:val="Heading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lastRenderedPageBreak/>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Heading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18" w:name="_Toc40490512"/>
      <w:bookmarkStart w:id="19" w:name="_Toc41500873"/>
      <w:r>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 xml:space="preserve">Yes, it is enough. In FR1, the scope of the 3GPP specifications ends at the antenna connector. We prefer to align with earlier 3GPP UE complexity reduction studies that have </w:t>
            </w:r>
            <w:r>
              <w:lastRenderedPageBreak/>
              <w:t>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lastRenderedPageBreak/>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Our current view is that 2Rx/1Tx is more relavent</w:t>
            </w:r>
          </w:p>
        </w:tc>
      </w:tr>
    </w:tbl>
    <w:p w14:paraId="5EB807B2" w14:textId="77777777" w:rsidR="00E7091E" w:rsidRPr="00AB76E1" w:rsidRDefault="00E7091E" w:rsidP="00AB76E1"/>
    <w:p w14:paraId="11D1A3FF" w14:textId="0C22E061" w:rsidR="00AB76E1" w:rsidRDefault="00AB76E1" w:rsidP="00AB76E1">
      <w:pPr>
        <w:pStyle w:val="Heading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 xml:space="preserve">nitial BWP </w:t>
      </w:r>
      <w:r w:rsidR="00886845">
        <w:lastRenderedPageBreak/>
        <w:t>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lastRenderedPageBreak/>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lastRenderedPageBreak/>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just  assume. </w:t>
            </w:r>
          </w:p>
        </w:tc>
      </w:tr>
    </w:tbl>
    <w:p w14:paraId="3106AF99" w14:textId="77777777" w:rsidR="00AB76E1" w:rsidRPr="00AB76E1" w:rsidRDefault="00AB76E1" w:rsidP="00AB76E1"/>
    <w:p w14:paraId="36A547B3" w14:textId="77B9F575" w:rsidR="00AB76E1" w:rsidRDefault="00AB76E1" w:rsidP="00AB76E1">
      <w:pPr>
        <w:pStyle w:val="Heading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 xml:space="preserve">In addition, we are not sure whether we should directly reuse the concept of DL-to-UL and UL-to-DL guard period as in LTE. For example, we are not sure whether UE should always </w:t>
            </w:r>
            <w:r>
              <w:rPr>
                <w:lang w:eastAsia="zh-CN"/>
              </w:rPr>
              <w:lastRenderedPageBreak/>
              <w:t>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lastRenderedPageBreak/>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bl>
    <w:p w14:paraId="340A7C85" w14:textId="77777777" w:rsidR="00AB76E1" w:rsidRPr="00AB76E1" w:rsidRDefault="00AB76E1" w:rsidP="00AB76E1"/>
    <w:p w14:paraId="17934FD4" w14:textId="0B41C717" w:rsidR="00AB76E1" w:rsidRDefault="00AB76E1" w:rsidP="00AB76E1">
      <w:pPr>
        <w:pStyle w:val="Heading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w:t>
            </w:r>
            <w:r w:rsidRPr="00115D8D">
              <w:rPr>
                <w:rFonts w:eastAsia="Calibri"/>
                <w:lang w:eastAsia="ja-JP"/>
              </w:rPr>
              <w:lastRenderedPageBreak/>
              <w:t xml:space="preserve">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lastRenderedPageBreak/>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bl>
    <w:p w14:paraId="21EB825E" w14:textId="77777777" w:rsidR="00F851BF" w:rsidRPr="00AB76E1" w:rsidRDefault="00F851BF" w:rsidP="00AB76E1"/>
    <w:p w14:paraId="1C5801AF" w14:textId="608B6393" w:rsidR="00AB76E1" w:rsidRDefault="00AB76E1" w:rsidP="00AB76E1">
      <w:pPr>
        <w:pStyle w:val="Heading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lastRenderedPageBreak/>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 xml:space="preserve">The maximum peak data rate depends on the maximum TBS size, the maximum code rate, the maximum modulation order and the maximum number of MIMO layers for both UL and </w:t>
            </w:r>
            <w:r>
              <w:lastRenderedPageBreak/>
              <w:t>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lastRenderedPageBreak/>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r>
              <w:t>half duplexing operation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Peak rate reduction should be justified for cost and power saving benefit, qualitifively, especially for FR2.</w:t>
            </w: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lastRenderedPageBreak/>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lastRenderedPageBreak/>
              <w:t>Verizon</w:t>
            </w:r>
          </w:p>
        </w:tc>
        <w:tc>
          <w:tcPr>
            <w:tcW w:w="7694" w:type="dxa"/>
          </w:tcPr>
          <w:p w14:paraId="2F3A7995" w14:textId="358AD0B5" w:rsidR="0071269E" w:rsidRDefault="0071269E" w:rsidP="00A13959">
            <w:r>
              <w:t>Beam management simplication for FR2</w:t>
            </w:r>
          </w:p>
        </w:tc>
      </w:tr>
    </w:tbl>
    <w:p w14:paraId="5E77D64B" w14:textId="77777777" w:rsidR="00AB76E1" w:rsidRPr="00AB76E1" w:rsidRDefault="00AB76E1" w:rsidP="00AB76E1"/>
    <w:p w14:paraId="0BAAAF44" w14:textId="4077BE46" w:rsidR="00CD2A34" w:rsidRDefault="00CD2A34" w:rsidP="00CD2A34">
      <w:pPr>
        <w:pStyle w:val="Heading2"/>
      </w:pPr>
      <w:bookmarkStart w:id="28" w:name="_Toc41500878"/>
      <w:r>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lastRenderedPageBreak/>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bl>
    <w:p w14:paraId="3033510A" w14:textId="77777777" w:rsidR="00865092" w:rsidRPr="00AB76E1" w:rsidRDefault="00865092" w:rsidP="00AB76E1"/>
    <w:p w14:paraId="4F1E2F86" w14:textId="77777777" w:rsidR="00AB76E1" w:rsidRPr="000E647A" w:rsidRDefault="00AB76E1" w:rsidP="00AB76E1">
      <w:pPr>
        <w:pStyle w:val="Heading1"/>
      </w:pPr>
      <w:bookmarkStart w:id="29" w:name="_Toc40490542"/>
      <w:bookmarkStart w:id="30" w:name="_Toc41500879"/>
      <w:r>
        <w:t>8</w:t>
      </w:r>
      <w:r w:rsidRPr="000E647A">
        <w:tab/>
        <w:t>UE power saving and battery lifetime enhancement</w:t>
      </w:r>
      <w:bookmarkEnd w:id="29"/>
      <w:bookmarkEnd w:id="30"/>
    </w:p>
    <w:p w14:paraId="5D25862B" w14:textId="77777777" w:rsidR="00AB76E1" w:rsidRPr="000E647A" w:rsidRDefault="00AB76E1" w:rsidP="00AB76E1">
      <w:pPr>
        <w:pStyle w:val="Heading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lastRenderedPageBreak/>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bookmarkStart w:id="33" w:name="_GoBack"/>
            <w:bookmarkEnd w:id="33"/>
          </w:p>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lastRenderedPageBreak/>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IIoT</w:t>
            </w:r>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bl>
    <w:p w14:paraId="2287554F" w14:textId="2EB20243" w:rsidR="00665A88" w:rsidRDefault="00665A88" w:rsidP="000E647A"/>
    <w:p w14:paraId="1398934D" w14:textId="388565F2" w:rsidR="00AF0559" w:rsidRPr="000E647A" w:rsidRDefault="00AF0559" w:rsidP="00AF0559">
      <w:pPr>
        <w:pStyle w:val="Heading1"/>
      </w:pPr>
      <w:bookmarkStart w:id="34" w:name="_Toc41500881"/>
      <w:r>
        <w:t>9</w:t>
      </w:r>
      <w:r w:rsidRPr="000E647A">
        <w:tab/>
      </w:r>
      <w:r>
        <w:t>Other comments</w:t>
      </w:r>
      <w:bookmarkEnd w:id="34"/>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lastRenderedPageBreak/>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Study beam management issues for FR2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Heading1"/>
      </w:pPr>
      <w:bookmarkStart w:id="35" w:name="_Toc41500882"/>
      <w:bookmarkStart w:id="36" w:name="_Hlk41391803"/>
      <w:r w:rsidRPr="000E647A">
        <w:t>References</w:t>
      </w:r>
      <w:bookmarkEnd w:id="35"/>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lastRenderedPageBreak/>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lastRenderedPageBreak/>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lastRenderedPageBreak/>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36"/>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34F7" w14:textId="77777777" w:rsidR="00AC7B95" w:rsidRDefault="00AC7B95">
      <w:r>
        <w:separator/>
      </w:r>
    </w:p>
  </w:endnote>
  <w:endnote w:type="continuationSeparator" w:id="0">
    <w:p w14:paraId="23EDC8B6" w14:textId="77777777" w:rsidR="00AC7B95" w:rsidRDefault="00AC7B95">
      <w:r>
        <w:continuationSeparator/>
      </w:r>
    </w:p>
  </w:endnote>
  <w:endnote w:type="continuationNotice" w:id="1">
    <w:p w14:paraId="66C19ECC" w14:textId="77777777" w:rsidR="00AC7B95" w:rsidRDefault="00AC7B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E27DF" w14:textId="77777777" w:rsidR="00AC7B95" w:rsidRDefault="00AC7B95">
      <w:r>
        <w:separator/>
      </w:r>
    </w:p>
  </w:footnote>
  <w:footnote w:type="continuationSeparator" w:id="0">
    <w:p w14:paraId="6CCC4C3E" w14:textId="77777777" w:rsidR="00AC7B95" w:rsidRDefault="00AC7B95">
      <w:r>
        <w:continuationSeparator/>
      </w:r>
    </w:p>
  </w:footnote>
  <w:footnote w:type="continuationNotice" w:id="1">
    <w:p w14:paraId="35A4809C" w14:textId="77777777" w:rsidR="00AC7B95" w:rsidRDefault="00AC7B9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2"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5"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6"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2"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3"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4"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6"/>
  </w:num>
  <w:num w:numId="5">
    <w:abstractNumId w:val="14"/>
  </w:num>
  <w:num w:numId="6">
    <w:abstractNumId w:val="29"/>
  </w:num>
  <w:num w:numId="7">
    <w:abstractNumId w:val="28"/>
  </w:num>
  <w:num w:numId="8">
    <w:abstractNumId w:val="20"/>
  </w:num>
  <w:num w:numId="9">
    <w:abstractNumId w:val="3"/>
  </w:num>
  <w:num w:numId="10">
    <w:abstractNumId w:val="17"/>
  </w:num>
  <w:num w:numId="11">
    <w:abstractNumId w:val="23"/>
  </w:num>
  <w:num w:numId="12">
    <w:abstractNumId w:val="5"/>
  </w:num>
  <w:num w:numId="13">
    <w:abstractNumId w:val="4"/>
  </w:num>
  <w:num w:numId="14">
    <w:abstractNumId w:val="30"/>
  </w:num>
  <w:num w:numId="15">
    <w:abstractNumId w:val="18"/>
  </w:num>
  <w:num w:numId="16">
    <w:abstractNumId w:val="2"/>
  </w:num>
  <w:num w:numId="17">
    <w:abstractNumId w:val="9"/>
  </w:num>
  <w:num w:numId="18">
    <w:abstractNumId w:val="11"/>
  </w:num>
  <w:num w:numId="19">
    <w:abstractNumId w:val="1"/>
  </w:num>
  <w:num w:numId="20">
    <w:abstractNumId w:val="24"/>
  </w:num>
  <w:num w:numId="21">
    <w:abstractNumId w:val="21"/>
  </w:num>
  <w:num w:numId="22">
    <w:abstractNumId w:val="7"/>
  </w:num>
  <w:num w:numId="23">
    <w:abstractNumId w:val="13"/>
  </w:num>
  <w:num w:numId="24">
    <w:abstractNumId w:val="33"/>
  </w:num>
  <w:num w:numId="25">
    <w:abstractNumId w:val="25"/>
  </w:num>
  <w:num w:numId="26">
    <w:abstractNumId w:val="10"/>
  </w:num>
  <w:num w:numId="27">
    <w:abstractNumId w:val="22"/>
  </w:num>
  <w:num w:numId="28">
    <w:abstractNumId w:val="34"/>
  </w:num>
  <w:num w:numId="29">
    <w:abstractNumId w:val="15"/>
  </w:num>
  <w:num w:numId="30">
    <w:abstractNumId w:val="16"/>
  </w:num>
  <w:num w:numId="31">
    <w:abstractNumId w:val="27"/>
  </w:num>
  <w:num w:numId="32">
    <w:abstractNumId w:val="8"/>
  </w:num>
  <w:num w:numId="33">
    <w:abstractNumId w:val="0"/>
  </w:num>
  <w:num w:numId="34">
    <w:abstractNumId w:val="26"/>
  </w:num>
  <w:num w:numId="35">
    <w:abstractNumId w:val="32"/>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openxmlformats.org/officeDocument/2006/relationships/theme" Target="theme/theme1.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E66B7-93EC-4336-8425-C8FF2191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33</Pages>
  <Words>15796</Words>
  <Characters>90040</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105625</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Song, Lei</cp:lastModifiedBy>
  <cp:revision>2</cp:revision>
  <cp:lastPrinted>2020-05-14T12:07:00Z</cp:lastPrinted>
  <dcterms:created xsi:type="dcterms:W3CDTF">2020-06-01T00:47:00Z</dcterms:created>
  <dcterms:modified xsi:type="dcterms:W3CDTF">2020-06-01T00:47:00Z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