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af8"/>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af4"/>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af8"/>
        <w:numPr>
          <w:ilvl w:val="0"/>
          <w:numId w:val="3"/>
        </w:numPr>
        <w:spacing w:after="0"/>
        <w:rPr>
          <w:b/>
          <w:bCs/>
        </w:rPr>
      </w:pPr>
      <w:r>
        <w:rPr>
          <w:b/>
          <w:bCs/>
        </w:rPr>
        <w:t>Option A: there is no scheduling restriction.</w:t>
      </w:r>
    </w:p>
    <w:p w14:paraId="40FACADB" w14:textId="77777777" w:rsidR="002474AB" w:rsidRDefault="00E72674">
      <w:pPr>
        <w:pStyle w:val="af8"/>
        <w:numPr>
          <w:ilvl w:val="1"/>
          <w:numId w:val="3"/>
        </w:numPr>
        <w:spacing w:after="0"/>
      </w:pPr>
      <w:r>
        <w:t>ZTE[1], Ericsson[3] (?), Nokia/NSB[5], Intel[7], Samsung[9], DOCOMO[17]</w:t>
      </w:r>
    </w:p>
    <w:p w14:paraId="70451C15" w14:textId="77777777" w:rsidR="002474AB" w:rsidRDefault="00E72674">
      <w:pPr>
        <w:pStyle w:val="af8"/>
        <w:numPr>
          <w:ilvl w:val="1"/>
          <w:numId w:val="3"/>
        </w:numPr>
        <w:spacing w:after="0"/>
      </w:pPr>
      <w:r>
        <w:t>This option provides the most flexibility for gNB scheduling. Don’t see the need for any scheduling restriction.</w:t>
      </w:r>
    </w:p>
    <w:p w14:paraId="26533A61" w14:textId="77777777" w:rsidR="002474AB" w:rsidRDefault="00E72674">
      <w:pPr>
        <w:pStyle w:val="af8"/>
        <w:numPr>
          <w:ilvl w:val="0"/>
          <w:numId w:val="3"/>
        </w:numPr>
        <w:spacing w:after="0"/>
        <w:rPr>
          <w:b/>
          <w:bCs/>
        </w:rPr>
      </w:pPr>
      <w:r>
        <w:rPr>
          <w:b/>
          <w:bCs/>
        </w:rPr>
        <w:t>Option B: UE is not expected to be indicated with numberofrepetitions &gt;1.</w:t>
      </w:r>
    </w:p>
    <w:p w14:paraId="61F372AE" w14:textId="77777777" w:rsidR="002474AB" w:rsidRDefault="00E72674">
      <w:pPr>
        <w:pStyle w:val="af8"/>
        <w:numPr>
          <w:ilvl w:val="1"/>
          <w:numId w:val="3"/>
        </w:numPr>
        <w:spacing w:after="0"/>
      </w:pPr>
      <w:r>
        <w:t>vivo[2], Huawei/HiSilicon[4], Spreadtrum[11], Sharp[16]</w:t>
      </w:r>
    </w:p>
    <w:p w14:paraId="53835613" w14:textId="77777777" w:rsidR="002474AB" w:rsidRDefault="00E72674">
      <w:pPr>
        <w:pStyle w:val="af8"/>
        <w:numPr>
          <w:ilvl w:val="1"/>
          <w:numId w:val="3"/>
        </w:numPr>
        <w:spacing w:after="0"/>
      </w:pPr>
      <w:r>
        <w:t>The later repetitions would not be used anyway, so this constraint seems natural.</w:t>
      </w:r>
    </w:p>
    <w:p w14:paraId="708A0113" w14:textId="77777777" w:rsidR="002474AB" w:rsidRDefault="00E72674">
      <w:pPr>
        <w:pStyle w:val="af8"/>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af8"/>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af8"/>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77777777" w:rsidR="002474AB" w:rsidRDefault="00E72674">
            <w:pPr>
              <w:spacing w:after="0"/>
              <w:rPr>
                <w:b/>
                <w:bCs/>
                <w:szCs w:val="16"/>
                <w:lang w:val="en-US"/>
              </w:rPr>
            </w:pPr>
            <w:r>
              <w:rPr>
                <w:b/>
                <w:bCs/>
                <w:szCs w:val="16"/>
                <w:lang w:val="en-US"/>
              </w:rPr>
              <w:t>Option A</w:t>
            </w:r>
          </w:p>
        </w:tc>
        <w:tc>
          <w:tcPr>
            <w:tcW w:w="8216" w:type="dxa"/>
          </w:tcPr>
          <w:p w14:paraId="0A999C7F" w14:textId="77777777" w:rsidR="002474AB" w:rsidRDefault="00E72674">
            <w:pPr>
              <w:spacing w:after="0"/>
              <w:rPr>
                <w:szCs w:val="16"/>
                <w:lang w:val="en-US"/>
              </w:rPr>
            </w:pPr>
            <w:r>
              <w:t>ZTE, Ericsson, Nokia/NSB, Intel, Samsung, DOCOMO</w:t>
            </w:r>
          </w:p>
        </w:tc>
      </w:tr>
      <w:tr w:rsidR="002474AB" w14:paraId="7BC23835" w14:textId="77777777">
        <w:tc>
          <w:tcPr>
            <w:tcW w:w="1413" w:type="dxa"/>
          </w:tcPr>
          <w:p w14:paraId="485A790C" w14:textId="77777777" w:rsidR="002474AB" w:rsidRDefault="00E72674">
            <w:pPr>
              <w:spacing w:after="0"/>
              <w:rPr>
                <w:b/>
                <w:bCs/>
                <w:szCs w:val="16"/>
                <w:lang w:val="en-US"/>
              </w:rPr>
            </w:pPr>
            <w:r>
              <w:rPr>
                <w:b/>
                <w:bCs/>
                <w:szCs w:val="16"/>
                <w:lang w:val="en-US"/>
              </w:rPr>
              <w:t>Option B</w:t>
            </w:r>
          </w:p>
        </w:tc>
        <w:tc>
          <w:tcPr>
            <w:tcW w:w="8216" w:type="dxa"/>
          </w:tcPr>
          <w:p w14:paraId="51E2902F" w14:textId="7F8892F0"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77777777" w:rsidR="002474AB" w:rsidRDefault="00E72674">
            <w:pPr>
              <w:spacing w:after="0"/>
              <w:rPr>
                <w:b/>
                <w:bCs/>
                <w:szCs w:val="16"/>
                <w:lang w:val="en-US"/>
              </w:rPr>
            </w:pPr>
            <w:r>
              <w:rPr>
                <w:b/>
                <w:bCs/>
                <w:szCs w:val="16"/>
                <w:lang w:val="en-US"/>
              </w:rPr>
              <w:t>Option C</w:t>
            </w:r>
          </w:p>
        </w:tc>
        <w:tc>
          <w:tcPr>
            <w:tcW w:w="8216" w:type="dxa"/>
          </w:tcPr>
          <w:p w14:paraId="63110DF0" w14:textId="781CC353" w:rsidR="002474AB" w:rsidRDefault="00E72674" w:rsidP="001A0124">
            <w:pPr>
              <w:spacing w:after="0"/>
              <w:rPr>
                <w:szCs w:val="16"/>
                <w:lang w:val="en-US"/>
              </w:rPr>
            </w:pPr>
            <w:r>
              <w:t>CATT, OPPO, Apple, QC</w:t>
            </w:r>
            <w:r w:rsidR="001A0124">
              <w:t>, Huawei/HiSilicon,</w:t>
            </w:r>
            <w:r w:rsidR="00C33248">
              <w:t xml:space="preserve"> LG</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77777777"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맑은 고딕" w:hint="eastAsia"/>
                <w:lang w:val="en-US" w:eastAsia="ko-KR"/>
              </w:rPr>
            </w:pPr>
            <w:r>
              <w:rPr>
                <w:rFonts w:eastAsia="맑은 고딕" w:hint="eastAsia"/>
                <w:lang w:val="en-US" w:eastAsia="ko-KR"/>
              </w:rPr>
              <w:lastRenderedPageBreak/>
              <w:t>L</w:t>
            </w:r>
            <w:r>
              <w:rPr>
                <w:rFonts w:eastAsia="맑은 고딕"/>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맑은 고딕"/>
                <w:lang w:val="en-US" w:eastAsia="ko-KR"/>
              </w:rPr>
            </w:pPr>
            <w:r>
              <w:rPr>
                <w:rFonts w:eastAsia="맑은 고딕" w:hint="eastAsia"/>
                <w:lang w:val="en-US" w:eastAsia="ko-KR"/>
              </w:rPr>
              <w:t xml:space="preserve">Option C. </w:t>
            </w:r>
          </w:p>
          <w:p w14:paraId="661D1F53" w14:textId="5A3E32E2" w:rsidR="00C33248" w:rsidRPr="00C33248" w:rsidRDefault="00C33248" w:rsidP="000B116D">
            <w:pPr>
              <w:spacing w:after="0"/>
              <w:rPr>
                <w:rFonts w:eastAsia="맑은 고딕" w:hint="eastAsia"/>
                <w:lang w:val="en-US" w:eastAsia="ko-KR"/>
              </w:rPr>
            </w:pPr>
            <w:r>
              <w:rPr>
                <w:rFonts w:eastAsia="맑은 고딕"/>
                <w:lang w:val="en-US" w:eastAsia="ko-KR"/>
              </w:rPr>
              <w:t xml:space="preserve">We mentioned in our contributions, the use case of A/SP-CSI on </w:t>
            </w:r>
            <w:r w:rsidRPr="00C33248">
              <w:rPr>
                <w:rFonts w:eastAsia="맑은 고딕"/>
                <w:lang w:val="en-US" w:eastAsia="ko-KR"/>
              </w:rPr>
              <w:t>PUSCH with repetition Type B without UL-SCH</w:t>
            </w:r>
            <w:r>
              <w:rPr>
                <w:rFonts w:eastAsia="맑은 고딕"/>
                <w:lang w:val="en-US" w:eastAsia="ko-KR"/>
              </w:rPr>
              <w:t xml:space="preserve"> is very limited and not for URLLC. As Apple mentioned, it is not difficult to wait and select proper resources for A/SP-CSI. </w:t>
            </w:r>
            <w:r w:rsidR="000B116D">
              <w:rPr>
                <w:rFonts w:eastAsia="맑은 고딕"/>
                <w:lang w:val="en-US" w:eastAsia="ko-KR"/>
              </w:rPr>
              <w:t xml:space="preserve">Since </w:t>
            </w:r>
            <w:r>
              <w:rPr>
                <w:rFonts w:eastAsia="맑은 고딕"/>
                <w:lang w:val="en-US" w:eastAsia="ko-KR"/>
              </w:rPr>
              <w:t xml:space="preserve">SP-CSI </w:t>
            </w:r>
            <w:r w:rsidR="000B116D">
              <w:rPr>
                <w:rFonts w:eastAsia="맑은 고딕"/>
                <w:lang w:val="en-US" w:eastAsia="ko-KR"/>
              </w:rPr>
              <w:t>has not short periodicity, we don’t think there is a problem to use option C.</w:t>
            </w:r>
          </w:p>
        </w:tc>
      </w:tr>
    </w:tbl>
    <w:p w14:paraId="2A25823C" w14:textId="77777777" w:rsidR="002474AB" w:rsidRPr="00C33248" w:rsidRDefault="002474AB">
      <w:pPr>
        <w:spacing w:after="0"/>
        <w:rPr>
          <w:rFonts w:eastAsia="맑은 고딕" w:hint="eastAsia"/>
          <w:lang w:eastAsia="ko-KR"/>
        </w:rPr>
      </w:pPr>
    </w:p>
    <w:p w14:paraId="7C01EFFD" w14:textId="77777777" w:rsidR="002474AB" w:rsidRDefault="002474AB">
      <w:pPr>
        <w:spacing w:after="0"/>
      </w:pPr>
    </w:p>
    <w:p w14:paraId="7160C5F4" w14:textId="77777777" w:rsidR="002474AB" w:rsidRDefault="002474AB">
      <w:pPr>
        <w:jc w:val="both"/>
        <w:rPr>
          <w:sz w:val="22"/>
          <w:lang w:val="en-US" w:eastAsia="zh-CN"/>
        </w:rPr>
      </w:pPr>
    </w:p>
    <w:p w14:paraId="28970406" w14:textId="77777777" w:rsidR="002474AB" w:rsidRDefault="00E72674">
      <w:pPr>
        <w:pStyle w:val="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af8"/>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af8"/>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af8"/>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af8"/>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af8"/>
        <w:numPr>
          <w:ilvl w:val="1"/>
          <w:numId w:val="4"/>
        </w:numPr>
        <w:spacing w:after="0"/>
        <w:jc w:val="both"/>
        <w:rPr>
          <w:sz w:val="22"/>
        </w:rPr>
      </w:pPr>
      <w:r>
        <w:t>CATT[6], Apple[15] (excluding the single-symbol repetition), QC[18]</w:t>
      </w:r>
    </w:p>
    <w:p w14:paraId="505FB6A8" w14:textId="77777777" w:rsidR="002474AB" w:rsidRDefault="00E72674">
      <w:pPr>
        <w:pStyle w:val="af8"/>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af8"/>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af8"/>
        <w:numPr>
          <w:ilvl w:val="1"/>
          <w:numId w:val="4"/>
        </w:numPr>
        <w:spacing w:after="0"/>
        <w:jc w:val="both"/>
        <w:rPr>
          <w:sz w:val="22"/>
        </w:rPr>
      </w:pPr>
      <w:r>
        <w:rPr>
          <w:sz w:val="22"/>
        </w:rPr>
        <w:t>ZTE[1], Ericsson[3], Nokia/NSB[5] (second preference)</w:t>
      </w:r>
    </w:p>
    <w:p w14:paraId="01A3AC4F" w14:textId="77777777" w:rsidR="002474AB" w:rsidRDefault="00E72674">
      <w:pPr>
        <w:pStyle w:val="af8"/>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Default="00E72674">
      <w:pPr>
        <w:jc w:val="both"/>
        <w:rPr>
          <w:sz w:val="22"/>
          <w:lang w:val="en-US" w:eastAsia="zh-CN"/>
        </w:rPr>
      </w:pPr>
      <w:r>
        <w:rPr>
          <w:sz w:val="22"/>
          <w:lang w:val="en-US" w:eastAsia="zh-CN"/>
        </w:rPr>
        <w:t>OPPO[14]:</w:t>
      </w:r>
    </w:p>
    <w:p w14:paraId="201C00D8" w14:textId="77777777" w:rsidR="002474AB" w:rsidRDefault="00E72674">
      <w:pPr>
        <w:pStyle w:val="af8"/>
        <w:numPr>
          <w:ilvl w:val="0"/>
          <w:numId w:val="5"/>
        </w:numPr>
        <w:jc w:val="both"/>
        <w:rPr>
          <w:sz w:val="22"/>
          <w:lang w:val="en-US" w:eastAsia="zh-CN"/>
        </w:rPr>
      </w:pPr>
      <w:r>
        <w:rPr>
          <w:sz w:val="22"/>
          <w:lang w:val="en-US" w:eastAsia="zh-CN"/>
        </w:rPr>
        <w:t>UE is not expected that the gap between the first actual repetition and UL grant is smaller than CSI calculation timeline when A-CSI needs to be multiplexed in PUSCH. (</w:t>
      </w:r>
      <w:r>
        <w:rPr>
          <w:i/>
          <w:iCs/>
          <w:color w:val="C00000"/>
          <w:sz w:val="22"/>
          <w:lang w:val="en-US" w:eastAsia="zh-CN"/>
        </w:rPr>
        <w:t>FL: This seems too restrictive. Rel-15 does not have this requirement either. The only thing is that UE may not update CSI if CSI computation timeline is not satisfied.</w:t>
      </w:r>
      <w:r>
        <w:rPr>
          <w:sz w:val="22"/>
          <w:lang w:val="en-US" w:eastAsia="zh-CN"/>
        </w:rPr>
        <w:t>)</w:t>
      </w:r>
    </w:p>
    <w:p w14:paraId="6D591983" w14:textId="77777777" w:rsidR="002474AB" w:rsidRDefault="00E72674">
      <w:pPr>
        <w:pStyle w:val="af8"/>
        <w:numPr>
          <w:ilvl w:val="0"/>
          <w:numId w:val="5"/>
        </w:numPr>
        <w:jc w:val="both"/>
        <w:rPr>
          <w:sz w:val="22"/>
          <w:lang w:val="en-US" w:eastAsia="zh-CN"/>
        </w:rPr>
      </w:pPr>
      <w:r>
        <w:rPr>
          <w:sz w:val="22"/>
          <w:lang w:val="en-US" w:eastAsia="zh-CN"/>
        </w:rPr>
        <w:t>A unified solution for A-CSI/SP-CSI on PUSCH with repetition Type B without UL-SCH and with UL-SCH is preferred. (</w:t>
      </w:r>
      <w:r>
        <w:rPr>
          <w:i/>
          <w:iCs/>
          <w:color w:val="C00000"/>
          <w:sz w:val="22"/>
          <w:lang w:val="en-US" w:eastAsia="zh-CN"/>
        </w:rPr>
        <w:t>does this mean OPPO supports the first option above?</w:t>
      </w:r>
      <w:r>
        <w:rPr>
          <w:sz w:val="22"/>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023D1C3F"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FEB2888"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lastRenderedPageBreak/>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lastRenderedPageBreak/>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맑은 고딕" w:hint="eastAsia"/>
                <w:lang w:val="en-US" w:eastAsia="ko-KR"/>
              </w:rPr>
            </w:pPr>
            <w:r>
              <w:rPr>
                <w:rFonts w:eastAsia="맑은 고딕"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맑은 고딕" w:hint="eastAsia"/>
                <w:lang w:val="en-US" w:eastAsia="ko-KR"/>
              </w:rPr>
            </w:pPr>
            <w:r>
              <w:rPr>
                <w:rFonts w:eastAsia="맑은 고딕" w:hint="eastAsia"/>
                <w:lang w:val="en-US" w:eastAsia="ko-KR"/>
              </w:rPr>
              <w:t xml:space="preserve">We prefer </w:t>
            </w:r>
            <w:r>
              <w:rPr>
                <w:rFonts w:eastAsia="맑은 고딕"/>
                <w:lang w:val="en-US" w:eastAsia="ko-KR"/>
              </w:rPr>
              <w:t>Option 1, since it is more similar to our decision on UCI multiplexing. However, we think option 2 also can be considered. It could reduce latency due to CSI and provide latest CSI without ambiguity</w:t>
            </w:r>
            <w:bookmarkStart w:id="1" w:name="_GoBack"/>
            <w:bookmarkEnd w:id="1"/>
            <w:r>
              <w:rPr>
                <w:rFonts w:eastAsia="맑은 고딕"/>
                <w:lang w:val="en-US" w:eastAsia="ko-KR"/>
              </w:rPr>
              <w:t xml:space="preserve">. </w:t>
            </w:r>
          </w:p>
        </w:tc>
      </w:tr>
    </w:tbl>
    <w:p w14:paraId="1DD33F6A" w14:textId="77777777" w:rsidR="002474AB" w:rsidRDefault="002474AB">
      <w:pPr>
        <w:rPr>
          <w:sz w:val="22"/>
          <w:lang w:val="en-US"/>
        </w:rPr>
      </w:pPr>
    </w:p>
    <w:p w14:paraId="4C3484D2" w14:textId="77777777" w:rsidR="002474AB" w:rsidRDefault="002474AB">
      <w:pPr>
        <w:rPr>
          <w:sz w:val="22"/>
          <w:lang w:val="en-US"/>
        </w:rPr>
      </w:pPr>
      <w:bookmarkStart w:id="2" w:name="_Toc503902285"/>
      <w:bookmarkStart w:id="3" w:name="_Toc415085486"/>
    </w:p>
    <w:bookmarkEnd w:id="2"/>
    <w:bookmarkEnd w:id="3"/>
    <w:p w14:paraId="15D858CA" w14:textId="77777777" w:rsidR="002474AB" w:rsidRDefault="00E72674">
      <w:pPr>
        <w:pStyle w:val="1"/>
        <w:rPr>
          <w:lang w:val="en-US"/>
        </w:rPr>
      </w:pPr>
      <w:r>
        <w:rPr>
          <w:lang w:val="en-US"/>
        </w:rPr>
        <w:t>3</w:t>
      </w:r>
      <w:r>
        <w:rPr>
          <w:lang w:val="en-US"/>
        </w:rPr>
        <w:tab/>
        <w:t xml:space="preserve">Agreements </w:t>
      </w:r>
    </w:p>
    <w:p w14:paraId="27D2F176" w14:textId="77777777" w:rsidR="002474AB" w:rsidRDefault="002474AB">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1"/>
        <w:rPr>
          <w:lang w:val="en-US"/>
        </w:rPr>
      </w:pPr>
      <w:r>
        <w:rPr>
          <w:lang w:val="en-US"/>
        </w:rPr>
        <w:t>References</w:t>
      </w:r>
    </w:p>
    <w:p w14:paraId="60FA3142" w14:textId="77777777" w:rsidR="002474AB" w:rsidRDefault="00E72674">
      <w:pPr>
        <w:pStyle w:val="af8"/>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af8"/>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af8"/>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af8"/>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af8"/>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af8"/>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af8"/>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af8"/>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af8"/>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af8"/>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af8"/>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16BBABA3" w14:textId="77777777" w:rsidR="002474AB" w:rsidRDefault="00E72674">
      <w:pPr>
        <w:pStyle w:val="af8"/>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af8"/>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af8"/>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af8"/>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af8"/>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af8"/>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af8"/>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af8"/>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af8"/>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1"/>
        <w:rPr>
          <w:lang w:val="en-US"/>
        </w:rPr>
      </w:pPr>
      <w:r>
        <w:rPr>
          <w:lang w:val="en-US"/>
        </w:rPr>
        <w:t>Appendix A: Previous agreements on potential enhancements for PUSCH</w:t>
      </w:r>
    </w:p>
    <w:p w14:paraId="3788A866" w14:textId="77777777" w:rsidR="002474AB" w:rsidRDefault="00E72674">
      <w:pPr>
        <w:pStyle w:val="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pPr>
        <w:pStyle w:val="3"/>
      </w:pPr>
      <w:r>
        <w:lastRenderedPageBreak/>
        <w:t>RAN1#95 (Nov. 2018)</w:t>
      </w:r>
    </w:p>
    <w:p w14:paraId="2B50A2A1" w14:textId="77777777" w:rsidR="002474AB" w:rsidRDefault="00E72674">
      <w:pPr>
        <w:spacing w:after="0"/>
        <w:rPr>
          <w:rFonts w:ascii="Times" w:eastAsia="바탕" w:hAnsi="Times"/>
          <w:b/>
          <w:szCs w:val="24"/>
          <w:lang w:eastAsia="zh-CN"/>
        </w:rPr>
      </w:pPr>
      <w:r>
        <w:rPr>
          <w:rFonts w:ascii="Times" w:eastAsia="바탕" w:hAnsi="Times"/>
          <w:szCs w:val="24"/>
          <w:highlight w:val="green"/>
          <w:lang w:eastAsia="zh-CN"/>
        </w:rPr>
        <w:t>Agreements</w:t>
      </w:r>
      <w:r>
        <w:rPr>
          <w:rFonts w:ascii="Times" w:eastAsia="바탕" w:hAnsi="Times"/>
          <w:b/>
          <w:szCs w:val="24"/>
          <w:lang w:eastAsia="zh-CN"/>
        </w:rPr>
        <w:t>:</w:t>
      </w:r>
    </w:p>
    <w:p w14:paraId="4F7BBFB9" w14:textId="77777777" w:rsidR="002474AB" w:rsidRDefault="00E72674">
      <w:pPr>
        <w:spacing w:after="0"/>
        <w:rPr>
          <w:rFonts w:ascii="Times" w:eastAsia="바탕" w:hAnsi="Times"/>
          <w:szCs w:val="22"/>
        </w:rPr>
      </w:pPr>
      <w:r>
        <w:rPr>
          <w:rFonts w:ascii="Times" w:eastAsia="바탕"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바탕" w:hAnsi="Times"/>
          <w:szCs w:val="22"/>
          <w:lang w:eastAsia="zh-CN"/>
        </w:rPr>
      </w:pPr>
      <w:r>
        <w:rPr>
          <w:rFonts w:ascii="Times" w:eastAsia="바탕"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바탕" w:hAnsi="Times"/>
          <w:szCs w:val="22"/>
          <w:lang w:eastAsia="zh-CN"/>
        </w:rPr>
        <w:t>FFS the definition of available slots</w:t>
      </w:r>
    </w:p>
    <w:p w14:paraId="422B5780" w14:textId="77777777" w:rsidR="002474AB" w:rsidRDefault="00E72674">
      <w:pPr>
        <w:pStyle w:val="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af8"/>
        <w:numPr>
          <w:ilvl w:val="0"/>
          <w:numId w:val="9"/>
        </w:numPr>
        <w:spacing w:after="0"/>
        <w:jc w:val="both"/>
        <w:rPr>
          <w:lang w:eastAsia="zh-CN"/>
        </w:rPr>
      </w:pPr>
      <w:r>
        <w:rPr>
          <w:lang w:eastAsia="zh-CN"/>
        </w:rPr>
        <w:t>Time domain resource determination</w:t>
      </w:r>
    </w:p>
    <w:p w14:paraId="11263AF5" w14:textId="77777777" w:rsidR="002474AB" w:rsidRDefault="00E72674">
      <w:pPr>
        <w:pStyle w:val="af8"/>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af8"/>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af8"/>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af8"/>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af8"/>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af8"/>
        <w:numPr>
          <w:ilvl w:val="0"/>
          <w:numId w:val="9"/>
        </w:numPr>
        <w:spacing w:after="0"/>
        <w:jc w:val="both"/>
        <w:rPr>
          <w:lang w:eastAsia="zh-CN"/>
        </w:rPr>
      </w:pPr>
      <w:r>
        <w:rPr>
          <w:lang w:eastAsia="zh-CN"/>
        </w:rPr>
        <w:t>Frequency hopping (at least 2 hops)</w:t>
      </w:r>
    </w:p>
    <w:p w14:paraId="192CE32B" w14:textId="77777777" w:rsidR="002474AB" w:rsidRDefault="00E72674">
      <w:pPr>
        <w:pStyle w:val="af8"/>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af8"/>
        <w:numPr>
          <w:ilvl w:val="1"/>
          <w:numId w:val="9"/>
        </w:numPr>
        <w:spacing w:after="0"/>
        <w:jc w:val="both"/>
        <w:rPr>
          <w:lang w:eastAsia="zh-CN"/>
        </w:rPr>
      </w:pPr>
      <w:r>
        <w:rPr>
          <w:lang w:eastAsia="zh-CN"/>
        </w:rPr>
        <w:t>FFS other FH schemes</w:t>
      </w:r>
    </w:p>
    <w:p w14:paraId="0C94C58D" w14:textId="77777777" w:rsidR="002474AB" w:rsidRDefault="00E72674">
      <w:pPr>
        <w:pStyle w:val="af8"/>
        <w:numPr>
          <w:ilvl w:val="1"/>
          <w:numId w:val="9"/>
        </w:numPr>
        <w:spacing w:after="0"/>
        <w:jc w:val="both"/>
        <w:rPr>
          <w:lang w:eastAsia="zh-CN"/>
        </w:rPr>
      </w:pPr>
      <w:r>
        <w:rPr>
          <w:lang w:eastAsia="zh-CN"/>
        </w:rPr>
        <w:t>FFS number of hops larger than 2</w:t>
      </w:r>
    </w:p>
    <w:p w14:paraId="426B70F0" w14:textId="77777777" w:rsidR="002474AB" w:rsidRDefault="00E72674">
      <w:pPr>
        <w:pStyle w:val="af8"/>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af8"/>
        <w:numPr>
          <w:ilvl w:val="0"/>
          <w:numId w:val="9"/>
        </w:numPr>
        <w:spacing w:after="0"/>
        <w:jc w:val="both"/>
        <w:rPr>
          <w:lang w:eastAsia="zh-CN"/>
        </w:rPr>
      </w:pPr>
      <w:r>
        <w:rPr>
          <w:lang w:eastAsia="zh-CN"/>
        </w:rPr>
        <w:t>FFS DMRS sharing</w:t>
      </w:r>
    </w:p>
    <w:p w14:paraId="430B9904" w14:textId="77777777" w:rsidR="002474AB" w:rsidRDefault="00E72674">
      <w:pPr>
        <w:pStyle w:val="af8"/>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af8"/>
        <w:numPr>
          <w:ilvl w:val="0"/>
          <w:numId w:val="10"/>
        </w:numPr>
        <w:spacing w:after="0"/>
        <w:jc w:val="both"/>
        <w:rPr>
          <w:lang w:eastAsia="zh-CN"/>
        </w:rPr>
      </w:pPr>
      <w:r>
        <w:rPr>
          <w:lang w:eastAsia="zh-CN"/>
        </w:rPr>
        <w:t>Time domain resource determination</w:t>
      </w:r>
    </w:p>
    <w:p w14:paraId="0318FDE6" w14:textId="77777777" w:rsidR="002474AB" w:rsidRDefault="00E72674">
      <w:pPr>
        <w:pStyle w:val="af8"/>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af8"/>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af8"/>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af8"/>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af8"/>
        <w:numPr>
          <w:ilvl w:val="0"/>
          <w:numId w:val="10"/>
        </w:numPr>
        <w:spacing w:after="0"/>
        <w:jc w:val="both"/>
        <w:rPr>
          <w:lang w:eastAsia="zh-CN"/>
        </w:rPr>
      </w:pPr>
      <w:r>
        <w:rPr>
          <w:lang w:eastAsia="zh-CN"/>
        </w:rPr>
        <w:t>For the transmission within one slot,</w:t>
      </w:r>
    </w:p>
    <w:p w14:paraId="0BEBC140" w14:textId="77777777" w:rsidR="002474AB" w:rsidRDefault="00E72674">
      <w:pPr>
        <w:pStyle w:val="af8"/>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af8"/>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af8"/>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af8"/>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af8"/>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af8"/>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af8"/>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af8"/>
        <w:numPr>
          <w:ilvl w:val="3"/>
          <w:numId w:val="10"/>
        </w:numPr>
        <w:spacing w:after="0"/>
        <w:jc w:val="both"/>
        <w:rPr>
          <w:lang w:eastAsia="zh-CN"/>
        </w:rPr>
      </w:pPr>
      <w:r>
        <w:rPr>
          <w:lang w:eastAsia="zh-CN"/>
        </w:rPr>
        <w:lastRenderedPageBreak/>
        <w:t xml:space="preserve">Each repetition occupies contiguous symbols </w:t>
      </w:r>
    </w:p>
    <w:p w14:paraId="5BC4142D" w14:textId="77777777" w:rsidR="002474AB" w:rsidRDefault="00E72674">
      <w:pPr>
        <w:pStyle w:val="af8"/>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af8"/>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af8"/>
        <w:numPr>
          <w:ilvl w:val="0"/>
          <w:numId w:val="10"/>
        </w:numPr>
        <w:spacing w:after="0"/>
        <w:jc w:val="both"/>
        <w:rPr>
          <w:lang w:eastAsia="zh-CN"/>
        </w:rPr>
      </w:pPr>
      <w:r>
        <w:rPr>
          <w:lang w:eastAsia="zh-CN"/>
        </w:rPr>
        <w:t>Frequency hopping</w:t>
      </w:r>
    </w:p>
    <w:p w14:paraId="12F4E324" w14:textId="77777777" w:rsidR="002474AB" w:rsidRDefault="00E72674">
      <w:pPr>
        <w:pStyle w:val="af8"/>
        <w:numPr>
          <w:ilvl w:val="1"/>
          <w:numId w:val="10"/>
        </w:numPr>
        <w:spacing w:after="0"/>
        <w:jc w:val="both"/>
        <w:rPr>
          <w:lang w:eastAsia="zh-CN"/>
        </w:rPr>
      </w:pPr>
      <w:r>
        <w:rPr>
          <w:lang w:eastAsia="zh-CN"/>
        </w:rPr>
        <w:t>Support at least inter-slot FH</w:t>
      </w:r>
    </w:p>
    <w:p w14:paraId="57BA8A3C" w14:textId="77777777" w:rsidR="002474AB" w:rsidRDefault="00E72674">
      <w:pPr>
        <w:pStyle w:val="af8"/>
        <w:numPr>
          <w:ilvl w:val="1"/>
          <w:numId w:val="10"/>
        </w:numPr>
        <w:spacing w:after="0"/>
        <w:jc w:val="both"/>
        <w:rPr>
          <w:lang w:eastAsia="zh-CN"/>
        </w:rPr>
      </w:pPr>
      <w:r>
        <w:rPr>
          <w:lang w:eastAsia="zh-CN"/>
        </w:rPr>
        <w:t>FFS other FH schemes</w:t>
      </w:r>
    </w:p>
    <w:p w14:paraId="2A55F571" w14:textId="77777777" w:rsidR="002474AB" w:rsidRDefault="00E72674">
      <w:pPr>
        <w:pStyle w:val="af8"/>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af8"/>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af8"/>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af8"/>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af8"/>
        <w:numPr>
          <w:ilvl w:val="0"/>
          <w:numId w:val="12"/>
        </w:numPr>
        <w:rPr>
          <w:lang w:eastAsia="zh-CN"/>
        </w:rPr>
      </w:pPr>
      <w:r>
        <w:rPr>
          <w:lang w:eastAsia="zh-CN"/>
        </w:rPr>
        <w:t>Details of TBS determination</w:t>
      </w:r>
    </w:p>
    <w:p w14:paraId="6A53D547" w14:textId="77777777" w:rsidR="002474AB" w:rsidRDefault="00E72674">
      <w:pPr>
        <w:pStyle w:val="af8"/>
        <w:numPr>
          <w:ilvl w:val="0"/>
          <w:numId w:val="12"/>
        </w:numPr>
        <w:rPr>
          <w:lang w:eastAsia="zh-CN"/>
        </w:rPr>
      </w:pPr>
      <w:r>
        <w:rPr>
          <w:lang w:eastAsia="zh-CN"/>
        </w:rPr>
        <w:t>What is different for scheduled PUSCH and configured grant?</w:t>
      </w:r>
    </w:p>
    <w:p w14:paraId="2D29FC9B" w14:textId="77777777" w:rsidR="002474AB" w:rsidRDefault="00E72674">
      <w:pPr>
        <w:pStyle w:val="af8"/>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af8"/>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pPr>
        <w:pStyle w:val="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맑은 고딕"/>
          <w:sz w:val="22"/>
          <w:szCs w:val="22"/>
        </w:rPr>
      </w:pPr>
      <w:r>
        <w:rPr>
          <w:rFonts w:eastAsia="맑은 고딕"/>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af8"/>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af8"/>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af8"/>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af8"/>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af8"/>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af8"/>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af8"/>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af8"/>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af8"/>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af8"/>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af8"/>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af8"/>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3969A238" w14:textId="77777777" w:rsidR="002474AB" w:rsidRDefault="00E72674">
      <w:pPr>
        <w:pStyle w:val="af8"/>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lastRenderedPageBreak/>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af8"/>
        <w:numPr>
          <w:ilvl w:val="0"/>
          <w:numId w:val="14"/>
        </w:numPr>
        <w:rPr>
          <w:lang w:val="en-US"/>
        </w:rPr>
      </w:pPr>
      <w:r>
        <w:rPr>
          <w:lang w:eastAsia="zh-CN"/>
        </w:rPr>
        <w:t>Capture the simulation results in Section 3 in the TR.</w:t>
      </w:r>
    </w:p>
    <w:p w14:paraId="1391C81E" w14:textId="77777777" w:rsidR="002474AB" w:rsidRDefault="00E72674">
      <w:pPr>
        <w:pStyle w:val="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af8"/>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af8"/>
        <w:numPr>
          <w:ilvl w:val="0"/>
          <w:numId w:val="17"/>
        </w:numPr>
        <w:spacing w:after="0"/>
        <w:rPr>
          <w:lang w:val="en-US"/>
        </w:rPr>
      </w:pPr>
      <w:r>
        <w:rPr>
          <w:lang w:val="en-US"/>
        </w:rPr>
        <w:t>FFS the exact signaling method</w:t>
      </w:r>
    </w:p>
    <w:p w14:paraId="451562E7" w14:textId="77777777" w:rsidR="002474AB" w:rsidRDefault="00E72674">
      <w:pPr>
        <w:pStyle w:val="af8"/>
        <w:numPr>
          <w:ilvl w:val="0"/>
          <w:numId w:val="17"/>
        </w:numPr>
        <w:spacing w:after="0"/>
        <w:rPr>
          <w:lang w:val="en-US"/>
        </w:rPr>
      </w:pPr>
      <w:r>
        <w:rPr>
          <w:lang w:val="en-US"/>
        </w:rPr>
        <w:t>FFS the exact DCI format(s)</w:t>
      </w:r>
    </w:p>
    <w:p w14:paraId="608014FA" w14:textId="77777777" w:rsidR="002474AB" w:rsidRDefault="00E72674">
      <w:pPr>
        <w:pStyle w:val="af8"/>
        <w:numPr>
          <w:ilvl w:val="0"/>
          <w:numId w:val="17"/>
        </w:numPr>
        <w:spacing w:after="0"/>
        <w:rPr>
          <w:lang w:val="en-US"/>
        </w:rPr>
      </w:pPr>
      <w:r>
        <w:rPr>
          <w:lang w:val="en-US"/>
        </w:rPr>
        <w:t>FFS the exact mechanism to enable or disable</w:t>
      </w:r>
    </w:p>
    <w:p w14:paraId="2CB1AB97" w14:textId="77777777" w:rsidR="002474AB" w:rsidRDefault="00E72674">
      <w:pPr>
        <w:pStyle w:val="af8"/>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af8"/>
        <w:numPr>
          <w:ilvl w:val="0"/>
          <w:numId w:val="18"/>
        </w:numPr>
        <w:spacing w:after="0"/>
        <w:rPr>
          <w:lang w:val="en-US"/>
        </w:rPr>
      </w:pPr>
      <w:r>
        <w:rPr>
          <w:lang w:val="en-US"/>
        </w:rPr>
        <w:t>For dynamic PUSCH</w:t>
      </w:r>
    </w:p>
    <w:p w14:paraId="3E001A95" w14:textId="77777777" w:rsidR="002474AB" w:rsidRDefault="00E72674">
      <w:pPr>
        <w:pStyle w:val="af8"/>
        <w:numPr>
          <w:ilvl w:val="1"/>
          <w:numId w:val="18"/>
        </w:numPr>
        <w:spacing w:after="0"/>
        <w:rPr>
          <w:lang w:val="en-US"/>
        </w:rPr>
      </w:pPr>
      <w:r>
        <w:rPr>
          <w:lang w:val="en-US"/>
        </w:rPr>
        <w:t>For semi-static DL symbol(s), to down-select</w:t>
      </w:r>
    </w:p>
    <w:p w14:paraId="2508AAD6" w14:textId="77777777" w:rsidR="002474AB" w:rsidRDefault="00E72674">
      <w:pPr>
        <w:pStyle w:val="af8"/>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af8"/>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af8"/>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af8"/>
        <w:numPr>
          <w:ilvl w:val="2"/>
          <w:numId w:val="18"/>
        </w:numPr>
        <w:spacing w:after="0"/>
        <w:rPr>
          <w:lang w:val="en-US"/>
        </w:rPr>
      </w:pPr>
      <w:r>
        <w:rPr>
          <w:lang w:val="en-US"/>
        </w:rPr>
        <w:t>Note: this is the same as Rel-15 behavior.</w:t>
      </w:r>
    </w:p>
    <w:p w14:paraId="50D5ACBF" w14:textId="77777777" w:rsidR="002474AB" w:rsidRDefault="00E72674">
      <w:pPr>
        <w:pStyle w:val="af8"/>
        <w:numPr>
          <w:ilvl w:val="0"/>
          <w:numId w:val="18"/>
        </w:numPr>
        <w:spacing w:after="0"/>
        <w:rPr>
          <w:lang w:val="en-US"/>
        </w:rPr>
      </w:pPr>
      <w:r>
        <w:rPr>
          <w:lang w:val="en-US"/>
        </w:rPr>
        <w:t>For configured grant PUSCH,</w:t>
      </w:r>
    </w:p>
    <w:p w14:paraId="3050F2E7" w14:textId="77777777" w:rsidR="002474AB" w:rsidRDefault="00E72674">
      <w:pPr>
        <w:pStyle w:val="af8"/>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af8"/>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af8"/>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af8"/>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af8"/>
        <w:numPr>
          <w:ilvl w:val="0"/>
          <w:numId w:val="19"/>
        </w:numPr>
        <w:rPr>
          <w:lang w:val="en-US"/>
        </w:rPr>
      </w:pPr>
      <w:r>
        <w:rPr>
          <w:lang w:val="en-US"/>
        </w:rPr>
        <w:t>FFS details</w:t>
      </w:r>
    </w:p>
    <w:p w14:paraId="5EA0BF42" w14:textId="77777777" w:rsidR="002474AB" w:rsidRDefault="00E72674">
      <w:pPr>
        <w:pStyle w:val="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pPr>
        <w:pStyle w:val="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lastRenderedPageBreak/>
        <w:t>In terms of how to interpret L and K for all PUSCH transmissions, down-select between the following two:</w:t>
      </w:r>
    </w:p>
    <w:p w14:paraId="4CC8B3B5" w14:textId="77777777" w:rsidR="002474AB" w:rsidRDefault="00E72674">
      <w:pPr>
        <w:pStyle w:val="af8"/>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af8"/>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af8"/>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af8"/>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af8"/>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af8"/>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af8"/>
        <w:numPr>
          <w:ilvl w:val="0"/>
          <w:numId w:val="23"/>
        </w:numPr>
        <w:rPr>
          <w:sz w:val="22"/>
          <w:lang w:val="en-US" w:eastAsia="zh-CN"/>
        </w:rPr>
      </w:pPr>
      <w:r>
        <w:rPr>
          <w:sz w:val="22"/>
          <w:lang w:val="en-US" w:eastAsia="zh-CN"/>
        </w:rPr>
        <w:t>For DG PUSCH</w:t>
      </w:r>
    </w:p>
    <w:p w14:paraId="194245A3" w14:textId="77777777" w:rsidR="002474AB" w:rsidRDefault="00E72674">
      <w:pPr>
        <w:pStyle w:val="af8"/>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af8"/>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af8"/>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af8"/>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af8"/>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af8"/>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af8"/>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af8"/>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af8"/>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af8"/>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af8"/>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af8"/>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af8"/>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af8"/>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af8"/>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af8"/>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af8"/>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af8"/>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af8"/>
        <w:numPr>
          <w:ilvl w:val="4"/>
          <w:numId w:val="23"/>
        </w:numPr>
        <w:rPr>
          <w:sz w:val="22"/>
          <w:lang w:val="en-US" w:eastAsia="zh-CN"/>
        </w:rPr>
      </w:pPr>
      <w:r>
        <w:rPr>
          <w:sz w:val="22"/>
          <w:lang w:val="en-US" w:eastAsia="zh-CN"/>
        </w:rPr>
        <w:lastRenderedPageBreak/>
        <w:t>A repetition is not transmitted if it conflicts with a semi-static flexible symbol.</w:t>
      </w:r>
    </w:p>
    <w:p w14:paraId="3973E5C0" w14:textId="77777777" w:rsidR="002474AB" w:rsidRDefault="00E72674">
      <w:pPr>
        <w:pStyle w:val="af8"/>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af8"/>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af8"/>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af8"/>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af8"/>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af8"/>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af8"/>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af8"/>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af8"/>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af8"/>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af8"/>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af8"/>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af8"/>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af8"/>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af8"/>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af8"/>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af8"/>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af8"/>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af8"/>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af8"/>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af8"/>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af8"/>
        <w:numPr>
          <w:ilvl w:val="1"/>
          <w:numId w:val="23"/>
        </w:numPr>
        <w:rPr>
          <w:sz w:val="22"/>
          <w:lang w:val="en-US" w:eastAsia="zh-CN"/>
        </w:rPr>
      </w:pPr>
      <w:r>
        <w:rPr>
          <w:sz w:val="22"/>
          <w:lang w:val="en-US" w:eastAsia="zh-CN"/>
        </w:rPr>
        <w:t>…</w:t>
      </w:r>
    </w:p>
    <w:p w14:paraId="201049DE" w14:textId="77777777" w:rsidR="002474AB" w:rsidRDefault="00E72674">
      <w:pPr>
        <w:pStyle w:val="af8"/>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af8"/>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af8"/>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af8"/>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af8"/>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af8"/>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pPr>
        <w:pStyle w:val="3"/>
      </w:pPr>
      <w:r>
        <w:lastRenderedPageBreak/>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af8"/>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af8"/>
        <w:numPr>
          <w:ilvl w:val="1"/>
          <w:numId w:val="22"/>
        </w:numPr>
      </w:pPr>
      <w:r>
        <w:t>The maximum TDRA table size is increased to 64</w:t>
      </w:r>
    </w:p>
    <w:p w14:paraId="78F804BE" w14:textId="77777777" w:rsidR="002474AB" w:rsidRDefault="00E72674">
      <w:pPr>
        <w:pStyle w:val="af8"/>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af8"/>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lastRenderedPageBreak/>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af8"/>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af8"/>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af8"/>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af8"/>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pPr>
        <w:pStyle w:val="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af8"/>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lastRenderedPageBreak/>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af8"/>
        <w:numPr>
          <w:ilvl w:val="0"/>
          <w:numId w:val="30"/>
        </w:numPr>
        <w:spacing w:after="0"/>
        <w:rPr>
          <w:lang w:val="en-US"/>
        </w:rPr>
      </w:pPr>
      <w:r>
        <w:rPr>
          <w:lang w:val="en-US"/>
        </w:rPr>
        <w:t>Inter-PUSCH-repetition FH</w:t>
      </w:r>
    </w:p>
    <w:p w14:paraId="0E358A96" w14:textId="77777777" w:rsidR="002474AB" w:rsidRDefault="00E72674">
      <w:pPr>
        <w:pStyle w:val="af8"/>
        <w:numPr>
          <w:ilvl w:val="1"/>
          <w:numId w:val="30"/>
        </w:numPr>
        <w:spacing w:after="0"/>
        <w:rPr>
          <w:lang w:val="en-US"/>
        </w:rPr>
      </w:pPr>
      <w:r>
        <w:rPr>
          <w:lang w:val="en-US"/>
        </w:rPr>
        <w:t>Details FFS</w:t>
      </w:r>
    </w:p>
    <w:p w14:paraId="37125164" w14:textId="77777777" w:rsidR="002474AB" w:rsidRDefault="00E72674">
      <w:pPr>
        <w:pStyle w:val="af8"/>
        <w:numPr>
          <w:ilvl w:val="0"/>
          <w:numId w:val="30"/>
        </w:numPr>
        <w:spacing w:after="0"/>
        <w:rPr>
          <w:lang w:val="en-US"/>
        </w:rPr>
      </w:pPr>
      <w:r>
        <w:rPr>
          <w:lang w:val="en-US"/>
        </w:rPr>
        <w:t>Inter-slot FH</w:t>
      </w:r>
    </w:p>
    <w:p w14:paraId="54C94C4F" w14:textId="77777777" w:rsidR="002474AB" w:rsidRDefault="00E72674">
      <w:pPr>
        <w:pStyle w:val="af8"/>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lastRenderedPageBreak/>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pPr>
        <w:pStyle w:val="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af8"/>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4"/>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af1"/>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af1"/>
                <w:color w:val="0070C0"/>
              </w:rPr>
              <w:t>TP to TS 38.214, Sec. 5.2.1.4 and Sec. 6.1.2.1</w:t>
            </w:r>
          </w:p>
          <w:p w14:paraId="6A6F1156" w14:textId="77777777" w:rsidR="002474AB" w:rsidRDefault="00E72674">
            <w:pPr>
              <w:spacing w:before="120" w:after="0"/>
            </w:pPr>
            <w:r>
              <w:rPr>
                <w:rStyle w:val="af1"/>
                <w:lang w:val="fr-FR"/>
              </w:rPr>
              <w:t>5.2.1.4 Reporting configurations</w:t>
            </w:r>
          </w:p>
          <w:p w14:paraId="41F8F206" w14:textId="77777777" w:rsidR="002474AB" w:rsidRDefault="00E72674">
            <w:pPr>
              <w:keepNext/>
              <w:spacing w:before="120" w:after="0"/>
              <w:ind w:left="1134" w:hanging="1134"/>
              <w:jc w:val="center"/>
            </w:pPr>
            <w:r>
              <w:rPr>
                <w:rStyle w:val="af1"/>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af3"/>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reportSlotOffsetListForDCI-Format0-2 </w:t>
            </w:r>
            <w:r>
              <w:rPr>
                <w:rStyle w:val="af3"/>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af3"/>
                <w:color w:val="FF0000"/>
              </w:rPr>
              <w:t xml:space="preserve">reportSlotOffsetListForDCI-Format0-1 </w:t>
            </w:r>
            <w:r>
              <w:rPr>
                <w:rStyle w:val="af3"/>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reportSlotOffsetListForDCI-Format0-1 </w:t>
            </w:r>
            <w:r>
              <w:rPr>
                <w:rStyle w:val="af3"/>
                <w:strike/>
                <w:color w:val="FF0000"/>
              </w:rPr>
              <w:t>reportSlotOffsetList-r16-ForDCIFormat0_1</w:t>
            </w:r>
            <w:r>
              <w:rPr>
                <w:rStyle w:val="af3"/>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3"/>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af1"/>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af1"/>
                <w:lang w:val="fr-FR"/>
              </w:rPr>
              <w:t>6.1.2.1 Resource allocation in time domain</w:t>
            </w:r>
          </w:p>
          <w:p w14:paraId="544EC353" w14:textId="77777777" w:rsidR="002474AB" w:rsidRDefault="00E72674">
            <w:pPr>
              <w:keepNext/>
              <w:spacing w:before="120" w:after="0"/>
              <w:ind w:left="1134" w:hanging="1134"/>
              <w:jc w:val="center"/>
            </w:pPr>
            <w:r>
              <w:rPr>
                <w:rStyle w:val="af1"/>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af3"/>
              </w:rPr>
              <w:t>CSI request</w:t>
            </w:r>
            <w:r>
              <w:t xml:space="preserve"> field on a DCI, the </w:t>
            </w:r>
            <w:r>
              <w:rPr>
                <w:rStyle w:val="af3"/>
              </w:rPr>
              <w:t>Time domain resource assignment</w:t>
            </w:r>
            <w:r>
              <w:t xml:space="preserve"> field value </w:t>
            </w:r>
            <w:r>
              <w:rPr>
                <w:rStyle w:val="af3"/>
              </w:rPr>
              <w:t>m</w:t>
            </w:r>
            <w:r>
              <w:t xml:space="preserve"> of the DCI provides a row index </w:t>
            </w:r>
            <w:r>
              <w:rPr>
                <w:rStyle w:val="af3"/>
              </w:rPr>
              <w:t xml:space="preserve">m </w:t>
            </w:r>
            <w:r>
              <w:t>+ 1</w:t>
            </w:r>
            <w:r>
              <w:rPr>
                <w:rStyle w:val="af3"/>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3"/>
                <w:strike/>
                <w:color w:val="FF0000"/>
              </w:rPr>
              <w:t>pusch-TimeDomainAllocationList</w:t>
            </w:r>
            <w:r>
              <w:rPr>
                <w:strike/>
                <w:color w:val="FF0000"/>
              </w:rPr>
              <w:t xml:space="preserve"> in </w:t>
            </w:r>
            <w:r>
              <w:rPr>
                <w:rStyle w:val="af3"/>
                <w:strike/>
                <w:color w:val="FF0000"/>
              </w:rPr>
              <w:t>pusch-Config</w:t>
            </w:r>
            <w:r>
              <w:t xml:space="preserve">. The indexed row defines the start and length indicator SLIV, and the PUSCH mapping type to be applied in the PUSCH transmission and the </w:t>
            </w:r>
            <w:r>
              <w:rPr>
                <w:rStyle w:val="af3"/>
              </w:rPr>
              <w:t>K</w:t>
            </w:r>
            <w:r>
              <w:rPr>
                <w:rStyle w:val="af3"/>
                <w:vertAlign w:val="subscript"/>
              </w:rPr>
              <w:t>2</w:t>
            </w:r>
            <w:r>
              <w:t xml:space="preserve"> value is determined as </w:t>
            </w:r>
            <w:r>
              <w:rPr>
                <w:noProof/>
                <w:position w:val="-20"/>
                <w:lang w:val="en-US" w:eastAsia="ko-KR"/>
              </w:rPr>
              <w:drawing>
                <wp:inline distT="0" distB="0" distL="0" distR="0">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ko-KR"/>
              </w:rPr>
              <w:drawing>
                <wp:inline distT="0" distB="0" distL="0" distR="0">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lastRenderedPageBreak/>
              <w:t xml:space="preserve">-     </w:t>
            </w:r>
            <w:r>
              <w:rPr>
                <w:strike/>
                <w:color w:val="FF0000"/>
                <w:highlight w:val="yellow"/>
                <w:lang w:val="fr-FR"/>
              </w:rPr>
              <w:t>[</w:t>
            </w:r>
            <w:r>
              <w:rPr>
                <w:rStyle w:val="af3"/>
                <w:color w:val="FF0000"/>
              </w:rPr>
              <w:t xml:space="preserve">reportSlotOffsetListForDCI-Format0-2 </w:t>
            </w:r>
            <w:r>
              <w:rPr>
                <w:rStyle w:val="af3"/>
                <w:strike/>
                <w:color w:val="FF0000"/>
              </w:rPr>
              <w:t>reportSlotOffsetList-r16-ForDCIFormat0_2</w:t>
            </w:r>
            <w:r>
              <w:t xml:space="preserve">, if PUSCH is scheduled by DCI format 0_2 </w:t>
            </w:r>
            <w:r>
              <w:rPr>
                <w:color w:val="FF0000"/>
              </w:rPr>
              <w:t xml:space="preserve">and </w:t>
            </w:r>
            <w:r>
              <w:rPr>
                <w:rStyle w:val="af3"/>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af3"/>
                <w:color w:val="FF0000"/>
              </w:rPr>
              <w:t xml:space="preserve">reportSlotOffsetListForDCI-Format0-1 </w:t>
            </w:r>
            <w:r>
              <w:rPr>
                <w:rStyle w:val="af3"/>
                <w:strike/>
                <w:color w:val="FF0000"/>
              </w:rPr>
              <w:t>reportSlotOffsetList-r16-ForDCIFormat0_1</w:t>
            </w:r>
            <w:r>
              <w:t xml:space="preserve">, if PUSCH is scheduled by DCI format 0_1 and </w:t>
            </w:r>
            <w:r>
              <w:rPr>
                <w:rStyle w:val="af3"/>
                <w:color w:val="FF0000"/>
              </w:rPr>
              <w:t xml:space="preserve">reportSlotOffsetListForDCI-Format0-1 </w:t>
            </w:r>
            <w:r>
              <w:rPr>
                <w:rStyle w:val="af3"/>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r>
              <w:rPr>
                <w:rStyle w:val="af3"/>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af3"/>
              </w:rPr>
              <w:t xml:space="preserve"> CSI-ReportConfig</w:t>
            </w:r>
            <w:r>
              <w:t xml:space="preserve"> for the </w:t>
            </w:r>
            <w:r>
              <w:rPr>
                <w:noProof/>
                <w:position w:val="-14"/>
                <w:lang w:val="en-US" w:eastAsia="ko-KR"/>
              </w:rPr>
              <w:drawing>
                <wp:inline distT="0" distB="0" distL="0" distR="0">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ko-KR"/>
              </w:rPr>
              <w:drawing>
                <wp:inline distT="0" distB="0" distL="0" distR="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3"/>
              </w:rPr>
              <w:t>(m+1)</w:t>
            </w:r>
            <w:r>
              <w:t xml:space="preserve">th entry of </w:t>
            </w:r>
            <w:r>
              <w:rPr>
                <w:noProof/>
                <w:position w:val="-14"/>
                <w:lang w:val="en-US" w:eastAsia="ko-KR"/>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af1"/>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5" w:name="_Hlk35791164"/>
      <w:r>
        <w:rPr>
          <w:rStyle w:val="af1"/>
          <w:u w:val="single"/>
        </w:rPr>
        <w:t>Conclusion</w:t>
      </w:r>
      <w:r>
        <w:rPr>
          <w:rStyle w:val="af1"/>
        </w:rPr>
        <w:t xml:space="preserve"> on how FH is enabled/disabled for Type 2 CG</w:t>
      </w:r>
      <w:r>
        <w:rPr>
          <w:rStyle w:val="apple-converted-space"/>
        </w:rPr>
        <w:t> </w:t>
      </w:r>
      <w:r>
        <w:rPr>
          <w:rStyle w:val="af1"/>
        </w:rPr>
        <w:t>with DCI format 0_1</w:t>
      </w:r>
      <w:r>
        <w:rPr>
          <w:rStyle w:val="apple-converted-space"/>
        </w:rPr>
        <w:t> </w:t>
      </w:r>
      <w:r>
        <w:rPr>
          <w:rStyle w:val="af1"/>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 xml:space="preserve">is not configured, FH is disabled. If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6"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7" w:name="_Hlk34340676"/>
      <w:bookmarkStart w:id="8" w:name="_Hlk34298937"/>
      <w:bookmarkEnd w:id="6"/>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7"/>
      <w:r>
        <w:t>repetition.</w:t>
      </w:r>
    </w:p>
    <w:bookmarkEnd w:id="8"/>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9" w:name="_Hlk34340744"/>
      <w:bookmarkEnd w:id="5"/>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af7"/>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pPr>
              <w:pStyle w:val="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3"/>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3"/>
                <w:color w:val="FF0000"/>
              </w:rPr>
              <w:t>frequencyHoppingForDCI-Format0-1-r16</w:t>
            </w:r>
            <w:r>
              <w:rPr>
                <w:color w:val="FF0000"/>
              </w:rPr>
              <w:t> is not configured and </w:t>
            </w:r>
            <w:r>
              <w:rPr>
                <w:rStyle w:val="af3"/>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9"/>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10" w:name="_Hlk34340607"/>
      <w:r>
        <w:rPr>
          <w:rStyle w:val="af1"/>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af1"/>
                <w:color w:val="0070C0"/>
                <w:sz w:val="24"/>
                <w:szCs w:val="24"/>
              </w:rPr>
              <w:lastRenderedPageBreak/>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af3"/>
              </w:rPr>
              <w:t>frequencyHopping-ForDCIFormat0_2</w:t>
            </w:r>
            <w:r>
              <w:t xml:space="preserve"> in </w:t>
            </w:r>
            <w:r>
              <w:rPr>
                <w:rStyle w:val="af3"/>
              </w:rPr>
              <w:t>pusch-Config</w:t>
            </w:r>
            <w:r>
              <w:t xml:space="preserve"> for PUSCH transmission scheduled by DCI format 0_2, by </w:t>
            </w:r>
            <w:r>
              <w:rPr>
                <w:rStyle w:val="af3"/>
              </w:rPr>
              <w:t>frequencyHopping-ForDCIFormat0_1</w:t>
            </w:r>
            <w:r>
              <w:t xml:space="preserve"> provided in </w:t>
            </w:r>
            <w:r>
              <w:rPr>
                <w:rStyle w:val="af3"/>
              </w:rPr>
              <w:t>pusch-Config</w:t>
            </w:r>
            <w:r>
              <w:t xml:space="preserve"> for PUSCH transmission scheduled by DCI format 0_1, and by </w:t>
            </w:r>
            <w:r>
              <w:rPr>
                <w:rStyle w:val="af3"/>
              </w:rPr>
              <w:t>frequencyHopping-PUSCHRepTypeB</w:t>
            </w:r>
            <w:r>
              <w:t xml:space="preserve"> provided in </w:t>
            </w:r>
            <w:r>
              <w:rPr>
                <w:rStyle w:val="af3"/>
                <w:color w:val="FF0000"/>
              </w:rPr>
              <w:t>rrc-ConfiguredUplinkGrant</w:t>
            </w:r>
            <w:r>
              <w:rPr>
                <w:color w:val="FF0000"/>
              </w:rPr>
              <w:t xml:space="preserve"> </w:t>
            </w:r>
            <w:r>
              <w:rPr>
                <w:rStyle w:val="af3"/>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3"/>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af1"/>
                <w:color w:val="0070C0"/>
              </w:rPr>
              <w:t>&lt;</w:t>
            </w:r>
            <w:r>
              <w:rPr>
                <w:color w:val="0070C0"/>
                <w:lang w:eastAsia="fr-FR"/>
              </w:rPr>
              <w:t>Unchanged text is omitted&gt;</w:t>
            </w:r>
          </w:p>
        </w:tc>
      </w:tr>
      <w:bookmarkEnd w:id="10"/>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11" w:name="_Hlk34340661"/>
      <w:r>
        <w:rPr>
          <w:rStyle w:val="af1"/>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af1"/>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af1"/>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3"/>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ko-KR"/>
              </w:rPr>
              <w:drawing>
                <wp:inline distT="0" distB="0" distL="0" distR="0">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ko-KR"/>
              </w:rPr>
              <w:drawing>
                <wp:inline distT="0" distB="0" distL="0" distR="0">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ko-KR"/>
              </w:rPr>
              <w:drawing>
                <wp:inline distT="0" distB="0" distL="0" distR="0">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ko-KR"/>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1"/>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12"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lastRenderedPageBreak/>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12"/>
    <w:p w14:paraId="35B9F285" w14:textId="77777777" w:rsidR="002474AB" w:rsidRDefault="00E72674">
      <w:pPr>
        <w:pStyle w:val="3GPPNormalText"/>
        <w:rPr>
          <w:b/>
          <w:bCs/>
          <w:highlight w:val="green"/>
        </w:rPr>
      </w:pPr>
      <w:r>
        <w:rPr>
          <w:rStyle w:val="af1"/>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lastRenderedPageBreak/>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af1"/>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af1"/>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3"/>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3"/>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3"/>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af1"/>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af7"/>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lastRenderedPageBreak/>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pPr>
        <w:pStyle w:val="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ko-KR"/>
              </w:rPr>
              <w:drawing>
                <wp:inline distT="0" distB="0" distL="0" distR="0">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ko-KR"/>
              </w:rPr>
              <w:drawing>
                <wp:inline distT="0" distB="0" distL="0" distR="0">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ko-KR"/>
              </w:rPr>
              <w:drawing>
                <wp:inline distT="0" distB="0" distL="0" distR="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ko-KR"/>
              </w:rPr>
              <w:drawing>
                <wp:inline distT="0" distB="0" distL="0" distR="0">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ko-KR"/>
              </w:rPr>
              <w:drawing>
                <wp:inline distT="0" distB="0" distL="0" distR="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ko-KR"/>
              </w:rPr>
              <w:drawing>
                <wp:inline distT="0" distB="0" distL="0" distR="0">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ko-KR"/>
              </w:rPr>
              <w:drawing>
                <wp:inline distT="0" distB="0" distL="0" distR="0">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ko-KR"/>
              </w:rPr>
              <w:drawing>
                <wp:inline distT="0" distB="0" distL="0" distR="0">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ko-KR"/>
              </w:rPr>
              <w:drawing>
                <wp:inline distT="0" distB="0" distL="0" distR="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ko-KR"/>
              </w:rPr>
              <w:drawing>
                <wp:inline distT="0" distB="0" distL="0" distR="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ko-KR"/>
              </w:rPr>
              <w:drawing>
                <wp:inline distT="0" distB="0" distL="0" distR="0">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ko-KR"/>
              </w:rPr>
              <w:drawing>
                <wp:inline distT="0" distB="0" distL="0" distR="0">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ko-KR"/>
              </w:rPr>
              <w:drawing>
                <wp:inline distT="0" distB="0" distL="0" distR="0">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ko-KR"/>
              </w:rPr>
              <w:drawing>
                <wp:inline distT="0" distB="0" distL="0" distR="0">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ko-KR"/>
              </w:rPr>
              <w:drawing>
                <wp:inline distT="0" distB="0" distL="0" distR="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ko-KR"/>
              </w:rPr>
              <w:drawing>
                <wp:inline distT="0" distB="0" distL="0" distR="0">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ko-KR"/>
              </w:rPr>
              <w:drawing>
                <wp:inline distT="0" distB="0" distL="0" distR="0">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ko-KR"/>
              </w:rPr>
              <w:drawing>
                <wp:inline distT="0" distB="0" distL="0" distR="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ko-KR"/>
              </w:rPr>
              <w:drawing>
                <wp:inline distT="0" distB="0" distL="0" distR="0">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ko-KR"/>
              </w:rPr>
              <w:drawing>
                <wp:inline distT="0" distB="0" distL="0" distR="0">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ko-KR"/>
              </w:rPr>
              <w:drawing>
                <wp:inline distT="0" distB="0" distL="0" distR="0">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ko-KR"/>
              </w:rPr>
              <w:drawing>
                <wp:inline distT="0" distB="0" distL="0" distR="0">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ko-KR"/>
              </w:rPr>
              <w:drawing>
                <wp:inline distT="0" distB="0" distL="0" distR="0">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ko-KR"/>
              </w:rPr>
              <w:drawing>
                <wp:inline distT="0" distB="0" distL="0" distR="0">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ko-KR"/>
              </w:rPr>
              <w:drawing>
                <wp:inline distT="0" distB="0" distL="0" distR="0">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ko-KR"/>
              </w:rPr>
              <w:drawing>
                <wp:inline distT="0" distB="0" distL="0" distR="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lastRenderedPageBreak/>
              <w:t>-</w:t>
            </w:r>
            <w:r w:rsidRPr="002F6FE4">
              <w:rPr>
                <w:rFonts w:eastAsia="Times New Roman"/>
                <w:lang w:val="en-US"/>
              </w:rPr>
              <w:tab/>
            </w:r>
            <w:r>
              <w:rPr>
                <w:rFonts w:eastAsia="Times New Roman"/>
                <w:noProof/>
                <w:position w:val="-24"/>
                <w:lang w:val="en-US" w:eastAsia="ko-KR"/>
              </w:rPr>
              <w:drawing>
                <wp:inline distT="0" distB="0" distL="0" distR="0">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ko-KR"/>
              </w:rPr>
              <w:drawing>
                <wp:inline distT="0" distB="0" distL="0" distR="0">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ko-KR"/>
              </w:rPr>
              <w:drawing>
                <wp:inline distT="0" distB="0" distL="0" distR="0">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ko-KR"/>
              </w:rPr>
              <w:drawing>
                <wp:inline distT="0" distB="0" distL="0" distR="0">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ko-KR"/>
              </w:rPr>
              <w:drawing>
                <wp:inline distT="0" distB="0" distL="0" distR="0">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ko-KR"/>
              </w:rPr>
              <w:drawing>
                <wp:inline distT="0" distB="0" distL="0" distR="0">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ko-KR"/>
              </w:rPr>
              <w:drawing>
                <wp:inline distT="0" distB="0" distL="0" distR="0">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ko-KR"/>
              </w:rPr>
              <w:drawing>
                <wp:inline distT="0" distB="0" distL="0" distR="0">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ko-KR"/>
              </w:rPr>
              <w:drawing>
                <wp:inline distT="0" distB="0" distL="0" distR="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ko-KR"/>
              </w:rPr>
              <w:drawing>
                <wp:inline distT="0" distB="0" distL="0" distR="0">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ko-KR"/>
              </w:rPr>
              <w:drawing>
                <wp:inline distT="0" distB="0" distL="0" distR="0">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ko-KR"/>
              </w:rPr>
              <w:drawing>
                <wp:inline distT="0" distB="0" distL="0" distR="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ko-KR"/>
              </w:rPr>
              <w:drawing>
                <wp:inline distT="0" distB="0" distL="0" distR="0">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ko-KR"/>
              </w:rPr>
              <w:drawing>
                <wp:inline distT="0" distB="0" distL="0" distR="0">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ko-KR"/>
              </w:rPr>
              <w:drawing>
                <wp:inline distT="0" distB="0" distL="0" distR="0">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ko-KR"/>
              </w:rPr>
              <w:drawing>
                <wp:inline distT="0" distB="0" distL="0" distR="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ko-KR"/>
              </w:rPr>
              <w:drawing>
                <wp:inline distT="0" distB="0" distL="0" distR="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lastRenderedPageBreak/>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ko-KR"/>
              </w:rPr>
              <w:drawing>
                <wp:inline distT="0" distB="0" distL="0" distR="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ko-KR"/>
              </w:rPr>
              <w:drawing>
                <wp:inline distT="0" distB="0" distL="0" distR="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ko-KR"/>
              </w:rPr>
              <w:drawing>
                <wp:inline distT="0" distB="0" distL="0" distR="0">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ko-KR"/>
              </w:rPr>
              <w:drawing>
                <wp:inline distT="0" distB="0" distL="0" distR="0">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ko-KR"/>
              </w:rPr>
              <w:drawing>
                <wp:inline distT="0" distB="0" distL="0" distR="0">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ko-KR"/>
              </w:rPr>
              <w:drawing>
                <wp:inline distT="0" distB="0" distL="0" distR="0">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5" w:dyaOrig="435" w14:anchorId="7398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5pt;height:21.9pt" o:ole="">
                  <v:imagedata r:id="rId74" o:title=""/>
                </v:shape>
                <o:OLEObject Type="Embed" ProgID="Equation.DSMT4" ShapeID="_x0000_i1025" DrawAspect="Content" ObjectID="_1652021199" r:id="rId75"/>
              </w:object>
            </w:r>
            <w:r>
              <w:rPr>
                <w:rFonts w:eastAsia="Yu Mincho"/>
                <w:sz w:val="24"/>
                <w:szCs w:val="24"/>
                <w:lang w:val="en-US" w:eastAsia="zh-CN"/>
              </w:rPr>
              <w:t xml:space="preserve">, where </w:t>
            </w:r>
            <w:r>
              <w:rPr>
                <w:rFonts w:eastAsia="Yu Mincho"/>
                <w:position w:val="-14"/>
                <w:sz w:val="24"/>
                <w:szCs w:val="24"/>
                <w:lang w:val="en-US" w:eastAsia="zh-CN"/>
              </w:rPr>
              <w:object w:dxaOrig="1710" w:dyaOrig="300" w14:anchorId="5F826D46">
                <v:shape id="_x0000_i1026" type="#_x0000_t75" style="width:85.25pt;height:15pt" o:ole="">
                  <v:imagedata r:id="rId76" o:title=""/>
                </v:shape>
                <o:OLEObject Type="Embed" ProgID="Equation.3" ShapeID="_x0000_i1026" DrawAspect="Content" ObjectID="_1652021200"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lastRenderedPageBreak/>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바탕"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 (repetition</w:t>
                  </w:r>
                  <w:commentRangeStart w:id="13"/>
                  <w:r>
                    <w:rPr>
                      <w:rFonts w:ascii="Arial" w:eastAsia="바탕" w:hAnsi="Arial"/>
                      <w:color w:val="FF0000"/>
                      <w:sz w:val="18"/>
                      <w:szCs w:val="24"/>
                      <w:lang w:val="en-US" w:eastAsia="zh-CN"/>
                    </w:rPr>
                    <w:t>_</w:t>
                  </w:r>
                  <w:commentRangeEnd w:id="13"/>
                  <w:r>
                    <w:rPr>
                      <w:rFonts w:eastAsia="Times New Roman"/>
                      <w:sz w:val="16"/>
                      <w:szCs w:val="24"/>
                      <w:lang w:val="en-US" w:eastAsia="zh-CN"/>
                    </w:rPr>
                    <w:commentReference w:id="13"/>
                  </w:r>
                  <w:r>
                    <w:rPr>
                      <w:rFonts w:ascii="Arial" w:eastAsia="바탕"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w:t>
                  </w:r>
                </w:p>
                <w:p w14:paraId="1EA6CDEC" w14:textId="77777777" w:rsidR="002474AB" w:rsidRDefault="00E72674">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바탕"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300" w14:anchorId="26A0D522">
                <v:shape id="_x0000_i1027" type="#_x0000_t75" style="width:27.65pt;height:15pt" o:ole="">
                  <v:imagedata r:id="rId80" o:title=""/>
                </v:shape>
                <o:OLEObject Type="Embed" ProgID="Equation.3" ShapeID="_x0000_i1027" DrawAspect="Content" ObjectID="_1652021201" r:id="rId81"/>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5" w:dyaOrig="435" w14:anchorId="2D641D04">
                <v:shape id="_x0000_i1028" type="#_x0000_t75" style="width:150.9pt;height:21.9pt" o:ole="">
                  <v:imagedata r:id="rId82" o:title=""/>
                </v:shape>
                <o:OLEObject Type="Embed" ProgID="Equation.3" ShapeID="_x0000_i1028" DrawAspect="Content" ObjectID="_1652021202" r:id="rId83"/>
              </w:object>
            </w:r>
            <w:r>
              <w:rPr>
                <w:rFonts w:eastAsia="Times New Roman"/>
                <w:sz w:val="24"/>
                <w:szCs w:val="24"/>
                <w:lang w:val="en-US" w:eastAsia="ko-KR"/>
              </w:rPr>
              <w:t>, where</w:t>
            </w:r>
            <w:r>
              <w:rPr>
                <w:rFonts w:eastAsia="Times New Roman"/>
                <w:position w:val="-10"/>
                <w:sz w:val="24"/>
                <w:szCs w:val="24"/>
                <w:lang w:val="en-US" w:eastAsia="ko-KR"/>
              </w:rPr>
              <w:object w:dxaOrig="900" w:dyaOrig="300" w14:anchorId="6F9BB044">
                <v:shape id="_x0000_i1029" type="#_x0000_t75" style="width:44.95pt;height:15pt" o:ole="">
                  <v:imagedata r:id="rId84" o:title=""/>
                </v:shape>
                <o:OLEObject Type="Embed" ProgID="Equation.3" ShapeID="_x0000_i1029" DrawAspect="Content" ObjectID="_1652021203" r:id="rId85"/>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35" w14:anchorId="0E9F6C7A">
                <v:shape id="_x0000_i1030" type="#_x0000_t75" style="width:27.65pt;height:21.9pt" o:ole="">
                  <v:imagedata r:id="rId86" o:title=""/>
                </v:shape>
                <o:OLEObject Type="Embed" ProgID="Equation.3" ShapeID="_x0000_i1030" DrawAspect="Content" ObjectID="_1652021204" r:id="rId8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300" w14:anchorId="5F61F968">
                <v:shape id="_x0000_i1031" type="#_x0000_t75" style="width:27.65pt;height:15pt" o:ole="">
                  <v:imagedata r:id="rId88" o:title=""/>
                </v:shape>
                <o:OLEObject Type="Embed" ProgID="Equation.3" ShapeID="_x0000_i1031" DrawAspect="Content" ObjectID="_1652021205" r:id="rId8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300" w14:anchorId="23753FA1">
                <v:shape id="_x0000_i1032" type="#_x0000_t75" style="width:27.65pt;height:15pt" o:ole="">
                  <v:imagedata r:id="rId90" o:title=""/>
                </v:shape>
                <o:OLEObject Type="Embed" ProgID="Equation.3" ShapeID="_x0000_i1032" DrawAspect="Content" ObjectID="_1652021206" r:id="rId9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35" w14:anchorId="62D798CB">
                <v:shape id="_x0000_i1033" type="#_x0000_t75" style="width:27.65pt;height:21.9pt" o:ole="">
                  <v:imagedata r:id="rId92" o:title=""/>
                </v:shape>
                <o:OLEObject Type="Embed" ProgID="Equation.3" ShapeID="_x0000_i1033" DrawAspect="Content" ObjectID="_1652021207" r:id="rId93"/>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35" w14:anchorId="02491A10">
                <v:shape id="_x0000_i1034" type="#_x0000_t75" style="width:27.65pt;height:21.9pt" o:ole="">
                  <v:imagedata r:id="rId92" o:title=""/>
                </v:shape>
                <o:OLEObject Type="Embed" ProgID="Equation.3" ShapeID="_x0000_i1034" DrawAspect="Content" ObjectID="_1652021208" r:id="rId94"/>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35" w14:anchorId="5AC2B75D">
                <v:shape id="_x0000_i1035" type="#_x0000_t75" style="width:27.65pt;height:21.9pt" o:ole="">
                  <v:imagedata r:id="rId92" o:title=""/>
                </v:shape>
                <o:OLEObject Type="Embed" ProgID="Equation.3" ShapeID="_x0000_i1035" DrawAspect="Content" ObjectID="_1652021209" r:id="rId9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300" w14:anchorId="6244C134">
                <v:shape id="_x0000_i1036" type="#_x0000_t75" style="width:27.65pt;height:15pt" o:ole="">
                  <v:imagedata r:id="rId88" o:title=""/>
                </v:shape>
                <o:OLEObject Type="Embed" ProgID="Equation.3" ShapeID="_x0000_i1036" DrawAspect="Content" ObjectID="_1652021210" r:id="rId9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1"/>
        <w:rPr>
          <w:lang w:val="en-US"/>
        </w:rPr>
      </w:pPr>
      <w:r>
        <w:rPr>
          <w:lang w:val="en-US"/>
        </w:rPr>
        <w:t>Appendix C: PUSCH prioritization rules for UCI multiplexed on PUSCH</w:t>
      </w:r>
    </w:p>
    <w:tbl>
      <w:tblPr>
        <w:tblStyle w:val="af7"/>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7" w:tgtFrame="_blank" w:history="1">
              <w:r>
                <w:rPr>
                  <w:rStyle w:val="af4"/>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lastRenderedPageBreak/>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8"/>
      <w:footerReference w:type="default" r:id="rId9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Sigen-Ye" w:date="2020-04-24T02:16:00Z" w:initials="SY">
    <w:p w14:paraId="46D119A2" w14:textId="77777777" w:rsidR="00C33248" w:rsidRDefault="00C33248">
      <w:pPr>
        <w:pStyle w:val="a5"/>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119A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19FBC" w14:textId="77777777" w:rsidR="00544C74" w:rsidRDefault="00544C74">
      <w:pPr>
        <w:spacing w:after="0"/>
      </w:pPr>
      <w:r>
        <w:separator/>
      </w:r>
    </w:p>
  </w:endnote>
  <w:endnote w:type="continuationSeparator" w:id="0">
    <w:p w14:paraId="1530D207" w14:textId="77777777" w:rsidR="00544C74" w:rsidRDefault="00544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Content>
      <w:p w14:paraId="5D5E7FD4" w14:textId="7D9E08F2" w:rsidR="00C33248" w:rsidRDefault="00C33248">
        <w:pPr>
          <w:pStyle w:val="ac"/>
        </w:pPr>
        <w:r>
          <w:fldChar w:fldCharType="begin"/>
        </w:r>
        <w:r>
          <w:instrText>PAGE   \* MERGEFORMAT</w:instrText>
        </w:r>
        <w:r>
          <w:fldChar w:fldCharType="separate"/>
        </w:r>
        <w:r w:rsidR="000B116D" w:rsidRPr="000B116D">
          <w:rPr>
            <w:noProof/>
            <w:lang w:val="zh-CN" w:eastAsia="zh-CN"/>
          </w:rPr>
          <w:t>21</w:t>
        </w:r>
        <w:r>
          <w:fldChar w:fldCharType="end"/>
        </w:r>
      </w:p>
    </w:sdtContent>
  </w:sdt>
  <w:p w14:paraId="0D5AD8B6" w14:textId="77777777" w:rsidR="00C33248" w:rsidRDefault="00C33248">
    <w:pPr>
      <w:pStyle w:val="ac"/>
    </w:pPr>
  </w:p>
  <w:p w14:paraId="713878C9" w14:textId="77777777" w:rsidR="00C33248" w:rsidRDefault="00C33248"/>
  <w:p w14:paraId="1E7E997A" w14:textId="77777777" w:rsidR="00C33248" w:rsidRDefault="00C332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639AE" w14:textId="77777777" w:rsidR="00544C74" w:rsidRDefault="00544C74">
      <w:pPr>
        <w:spacing w:after="0"/>
      </w:pPr>
      <w:r>
        <w:separator/>
      </w:r>
    </w:p>
  </w:footnote>
  <w:footnote w:type="continuationSeparator" w:id="0">
    <w:p w14:paraId="4BCBBE94" w14:textId="77777777" w:rsidR="00544C74" w:rsidRDefault="00544C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EC58" w14:textId="77777777" w:rsidR="00C33248" w:rsidRDefault="00C33248">
    <w:pPr>
      <w:pStyle w:val="ad"/>
      <w:tabs>
        <w:tab w:val="right" w:pos="9639"/>
      </w:tabs>
    </w:pPr>
    <w:r>
      <w:tab/>
    </w:r>
  </w:p>
  <w:p w14:paraId="498AAB35" w14:textId="77777777" w:rsidR="00C33248" w:rsidRDefault="00C33248"/>
  <w:p w14:paraId="67D6F5C8" w14:textId="77777777" w:rsidR="00C33248" w:rsidRDefault="00C332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3"/>
  </w:num>
  <w:num w:numId="4">
    <w:abstractNumId w:val="24"/>
  </w:num>
  <w:num w:numId="5">
    <w:abstractNumId w:val="19"/>
  </w:num>
  <w:num w:numId="6">
    <w:abstractNumId w:val="34"/>
  </w:num>
  <w:num w:numId="7">
    <w:abstractNumId w:val="38"/>
  </w:num>
  <w:num w:numId="8">
    <w:abstractNumId w:val="11"/>
  </w:num>
  <w:num w:numId="9">
    <w:abstractNumId w:val="33"/>
  </w:num>
  <w:num w:numId="10">
    <w:abstractNumId w:val="29"/>
  </w:num>
  <w:num w:numId="11">
    <w:abstractNumId w:val="21"/>
  </w:num>
  <w:num w:numId="12">
    <w:abstractNumId w:val="17"/>
  </w:num>
  <w:num w:numId="13">
    <w:abstractNumId w:val="6"/>
  </w:num>
  <w:num w:numId="14">
    <w:abstractNumId w:val="20"/>
  </w:num>
  <w:num w:numId="15">
    <w:abstractNumId w:val="25"/>
  </w:num>
  <w:num w:numId="16">
    <w:abstractNumId w:val="12"/>
  </w:num>
  <w:num w:numId="17">
    <w:abstractNumId w:val="28"/>
  </w:num>
  <w:num w:numId="18">
    <w:abstractNumId w:val="7"/>
  </w:num>
  <w:num w:numId="19">
    <w:abstractNumId w:val="4"/>
  </w:num>
  <w:num w:numId="20">
    <w:abstractNumId w:val="18"/>
  </w:num>
  <w:num w:numId="21">
    <w:abstractNumId w:val="27"/>
  </w:num>
  <w:num w:numId="22">
    <w:abstractNumId w:val="5"/>
  </w:num>
  <w:num w:numId="23">
    <w:abstractNumId w:val="31"/>
  </w:num>
  <w:num w:numId="24">
    <w:abstractNumId w:val="10"/>
  </w:num>
  <w:num w:numId="25">
    <w:abstractNumId w:val="9"/>
  </w:num>
  <w:num w:numId="26">
    <w:abstractNumId w:val="15"/>
  </w:num>
  <w:num w:numId="27">
    <w:abstractNumId w:val="8"/>
  </w:num>
  <w:num w:numId="28">
    <w:abstractNumId w:val="30"/>
  </w:num>
  <w:num w:numId="29">
    <w:abstractNumId w:val="2"/>
  </w:num>
  <w:num w:numId="30">
    <w:abstractNumId w:val="39"/>
  </w:num>
  <w:num w:numId="31">
    <w:abstractNumId w:val="1"/>
  </w:num>
  <w:num w:numId="32">
    <w:abstractNumId w:val="14"/>
  </w:num>
  <w:num w:numId="33">
    <w:abstractNumId w:val="0"/>
  </w:num>
  <w:num w:numId="34">
    <w:abstractNumId w:val="13"/>
  </w:num>
  <w:num w:numId="35">
    <w:abstractNumId w:val="37"/>
  </w:num>
  <w:num w:numId="36">
    <w:abstractNumId w:val="36"/>
  </w:num>
  <w:num w:numId="37">
    <w:abstractNumId w:val="35"/>
  </w:num>
  <w:num w:numId="38">
    <w:abstractNumId w:val="16"/>
  </w:num>
  <w:num w:numId="39">
    <w:abstractNumId w:val="26"/>
  </w:num>
  <w:num w:numId="40">
    <w:abstractNumId w:val="3"/>
  </w:num>
  <w:num w:numId="41">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
    <w:name w:val="table of figures"/>
    <w:basedOn w:val="aa"/>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메모 텍스트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캡션 Char"/>
    <w:link w:val="a8"/>
    <w:uiPriority w:val="35"/>
    <w:qFormat/>
    <w:locked/>
    <w:rPr>
      <w:rFonts w:asciiTheme="minorHAnsi" w:eastAsiaTheme="minorEastAsia" w:hAnsiTheme="minorHAnsi" w:cstheme="minorBidi"/>
      <w:b/>
      <w:sz w:val="22"/>
      <w:szCs w:val="22"/>
      <w:lang w:val="en-US"/>
    </w:rPr>
  </w:style>
  <w:style w:type="character" w:customStyle="1" w:styleId="Char1">
    <w:name w:val="본문 Char"/>
    <w:basedOn w:val="a0"/>
    <w:link w:val="aa"/>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목록 단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image" Target="media/image56.wmf"/><Relationship Id="rId89" Type="http://schemas.openxmlformats.org/officeDocument/2006/relationships/oleObject" Target="embeddings/oleObject7.bin"/><Relationship Id="rId16" Type="http://schemas.openxmlformats.org/officeDocument/2006/relationships/image" Target="media/image2.png"/><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image" Target="media/image15.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image" Target="media/image52.wmf"/><Relationship Id="rId79" Type="http://schemas.microsoft.com/office/2011/relationships/commentsExtended" Target="commentsExtended.xml"/><Relationship Id="rId102"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image" Target="media/image59.wmf"/><Relationship Id="rId95" Type="http://schemas.openxmlformats.org/officeDocument/2006/relationships/oleObject" Target="embeddings/oleObject11.bin"/><Relationship Id="rId22" Type="http://schemas.openxmlformats.org/officeDocument/2006/relationships/image" Target="media/image5.png"/><Relationship Id="rId27" Type="http://schemas.openxmlformats.org/officeDocument/2006/relationships/image" Target="cid:image002.png@01D5F28A.796839E0" TargetMode="External"/><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42.wmf"/><Relationship Id="rId69" Type="http://schemas.openxmlformats.org/officeDocument/2006/relationships/image" Target="media/image47.wmf"/><Relationship Id="rId80" Type="http://schemas.openxmlformats.org/officeDocument/2006/relationships/image" Target="media/image54.wmf"/><Relationship Id="rId85" Type="http://schemas.openxmlformats.org/officeDocument/2006/relationships/oleObject" Target="embeddings/oleObject5.bin"/><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oleObject" Target="embeddings/oleObject4.bin"/><Relationship Id="rId88" Type="http://schemas.openxmlformats.org/officeDocument/2006/relationships/image" Target="media/image58.wmf"/><Relationship Id="rId91" Type="http://schemas.openxmlformats.org/officeDocument/2006/relationships/oleObject" Target="embeddings/oleObject8.bin"/><Relationship Id="rId96"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oleObject" Target="embeddings/oleObject3.bin"/><Relationship Id="rId86" Type="http://schemas.openxmlformats.org/officeDocument/2006/relationships/image" Target="media/image57.wmf"/><Relationship Id="rId94" Type="http://schemas.openxmlformats.org/officeDocument/2006/relationships/oleObject" Target="embeddings/oleObject10.bin"/><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hyperlink" Target="x-msg://31/R1-1906302.zip" TargetMode="External"/><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image" Target="media/image60.wmf"/><Relationship Id="rId2" Type="http://schemas.openxmlformats.org/officeDocument/2006/relationships/customXml" Target="../customXml/item1.xml"/><Relationship Id="rId29" Type="http://schemas.openxmlformats.org/officeDocument/2006/relationships/image" Target="cid:image003.png@01D5F28A.796839E0" TargetMode="External"/><Relationship Id="rId24" Type="http://schemas.openxmlformats.org/officeDocument/2006/relationships/image" Target="media/image6.png"/><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oleObject" Target="embeddings/oleObject6.bin"/><Relationship Id="rId61" Type="http://schemas.openxmlformats.org/officeDocument/2006/relationships/image" Target="media/image39.wmf"/><Relationship Id="rId82" Type="http://schemas.openxmlformats.org/officeDocument/2006/relationships/image" Target="media/image55.wmf"/><Relationship Id="rId19" Type="http://schemas.openxmlformats.org/officeDocument/2006/relationships/image" Target="cid:image057.png@01D5F2F7.5F94AA40" TargetMode="External"/><Relationship Id="rId14" Type="http://schemas.openxmlformats.org/officeDocument/2006/relationships/image" Target="media/image1.png"/><Relationship Id="rId30" Type="http://schemas.openxmlformats.org/officeDocument/2006/relationships/image" Target="media/image9.png"/><Relationship Id="rId35" Type="http://schemas.openxmlformats.org/officeDocument/2006/relationships/image" Target="media/image13.wmf"/><Relationship Id="rId56" Type="http://schemas.openxmlformats.org/officeDocument/2006/relationships/image" Target="media/image34.wmf"/><Relationship Id="rId77" Type="http://schemas.openxmlformats.org/officeDocument/2006/relationships/oleObject" Target="embeddings/oleObject2.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oleObject" Target="embeddings/oleObject9.bin"/><Relationship Id="rId98" Type="http://schemas.openxmlformats.org/officeDocument/2006/relationships/header" Target="header1.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C225B0-036B-4EB6-B95D-979FD682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27</Pages>
  <Words>11102</Words>
  <Characters>63287</Characters>
  <Application>Microsoft Office Word</Application>
  <DocSecurity>0</DocSecurity>
  <Lines>527</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74241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Duckhyun Bae</cp:lastModifiedBy>
  <cp:revision>3</cp:revision>
  <cp:lastPrinted>1899-12-31T16:00:00Z</cp:lastPrinted>
  <dcterms:created xsi:type="dcterms:W3CDTF">2020-05-26T05:47:00Z</dcterms:created>
  <dcterms:modified xsi:type="dcterms:W3CDTF">2020-05-26T08:58:00Z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ies>
</file>