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91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1767CBC9"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401A97A" w14:textId="77777777" w:rsidR="006618DF" w:rsidRDefault="006618DF" w:rsidP="00A537B2">
      <w:pPr>
        <w:ind w:left="1800" w:hanging="1800"/>
        <w:rPr>
          <w:rFonts w:ascii="Calibri" w:eastAsia="Calibri" w:hAnsi="Calibri"/>
          <w:b/>
          <w:bCs/>
          <w:sz w:val="22"/>
          <w:szCs w:val="22"/>
        </w:rPr>
      </w:pPr>
    </w:p>
    <w:p w14:paraId="4ECF5D6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043FE99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2F18BF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2793667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CCE8DA3" w14:textId="77777777" w:rsidR="00A64CF7" w:rsidRPr="00A11840" w:rsidRDefault="00A64CF7" w:rsidP="00424124">
      <w:pPr>
        <w:pStyle w:val="NoSpacing"/>
        <w:jc w:val="left"/>
        <w:rPr>
          <w:sz w:val="16"/>
          <w:szCs w:val="16"/>
        </w:rPr>
      </w:pPr>
    </w:p>
    <w:p w14:paraId="7B1C9F12" w14:textId="77777777" w:rsidR="00707D20" w:rsidRPr="00172743" w:rsidRDefault="00424124" w:rsidP="00326FF6">
      <w:pPr>
        <w:pStyle w:val="Heading1"/>
      </w:pPr>
      <w:r w:rsidRPr="00172743">
        <w:t>Introduction</w:t>
      </w:r>
    </w:p>
    <w:p w14:paraId="140F7538" w14:textId="77777777" w:rsidR="0051424F" w:rsidRDefault="003327F3" w:rsidP="003327F3">
      <w:pPr>
        <w:pStyle w:val="BodyText"/>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3010AC9A" w14:textId="77777777" w:rsidR="00DE0E10" w:rsidRPr="00F4616A" w:rsidRDefault="00DE0E10" w:rsidP="00DE0E10">
      <w:pPr>
        <w:rPr>
          <w:rFonts w:ascii="Calibri" w:eastAsia="Malgun Gothic" w:hAnsi="Calibri" w:cs="Batang"/>
          <w:lang w:val="en-GB" w:eastAsia="ko-KR"/>
        </w:rPr>
      </w:pPr>
    </w:p>
    <w:p w14:paraId="0ABA5FD3" w14:textId="77777777" w:rsidR="00C20EA7" w:rsidRPr="009C5B9D" w:rsidRDefault="00AF2A85" w:rsidP="009C5B9D">
      <w:pPr>
        <w:pStyle w:val="Heading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2AFAC6E5"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71ACFD3B" w14:textId="77777777" w:rsidR="00C20EA7" w:rsidRDefault="00C20EA7" w:rsidP="00C20EA7">
      <w:pPr>
        <w:rPr>
          <w:rFonts w:asciiTheme="minorHAnsi" w:hAnsiTheme="minorHAnsi" w:cstheme="minorHAnsi"/>
          <w:b/>
          <w:lang w:val="en-GB"/>
        </w:rPr>
      </w:pPr>
    </w:p>
    <w:p w14:paraId="147BA990"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6724A6CB" w14:textId="77777777" w:rsidR="00C20EA7" w:rsidRDefault="00C20EA7" w:rsidP="00C20EA7">
      <w:pPr>
        <w:rPr>
          <w:rFonts w:ascii="Calibri" w:eastAsia="Calibri" w:hAnsi="Calibri"/>
          <w:sz w:val="22"/>
          <w:szCs w:val="22"/>
        </w:rPr>
      </w:pPr>
    </w:p>
    <w:p w14:paraId="041F9D68"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BE64239" w14:textId="77777777" w:rsidR="00257F6C" w:rsidRPr="00B96F6F" w:rsidRDefault="00257F6C" w:rsidP="00257F6C">
      <w:pPr>
        <w:rPr>
          <w:b/>
          <w:bCs/>
          <w:sz w:val="22"/>
          <w:szCs w:val="22"/>
          <w:highlight w:val="yellow"/>
          <w:lang w:eastAsia="ko-KR"/>
        </w:rPr>
      </w:pPr>
    </w:p>
    <w:p w14:paraId="5B875B53"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2C75817" w14:textId="77777777" w:rsidR="00257F6C" w:rsidRPr="00B96F6F" w:rsidRDefault="00257F6C" w:rsidP="00257F6C">
      <w:pPr>
        <w:rPr>
          <w:sz w:val="22"/>
          <w:szCs w:val="22"/>
        </w:rPr>
      </w:pPr>
      <w:r w:rsidRPr="00B96F6F">
        <w:rPr>
          <w:color w:val="000000"/>
          <w:sz w:val="22"/>
          <w:szCs w:val="22"/>
          <w:lang w:eastAsia="ko-KR"/>
        </w:rPr>
        <w:t> </w:t>
      </w:r>
    </w:p>
    <w:p w14:paraId="648B5B7F"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5141FBC4" w14:textId="77777777" w:rsidR="00B96F6F" w:rsidRDefault="00B96F6F" w:rsidP="00B96F6F">
      <w:pPr>
        <w:rPr>
          <w:rFonts w:ascii="Calibri" w:eastAsia="Calibri" w:hAnsi="Calibri"/>
          <w:sz w:val="22"/>
          <w:szCs w:val="22"/>
        </w:rPr>
      </w:pPr>
    </w:p>
    <w:p w14:paraId="6B6465DE"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05A4E36C" w14:textId="77777777" w:rsidR="009C5B9D" w:rsidRDefault="009C5B9D" w:rsidP="009C5B9D">
      <w:pPr>
        <w:pStyle w:val="Heading2"/>
        <w:numPr>
          <w:ilvl w:val="0"/>
          <w:numId w:val="0"/>
        </w:numPr>
        <w:ind w:left="576"/>
        <w:rPr>
          <w:rFonts w:eastAsia="Calibri"/>
        </w:rPr>
      </w:pPr>
    </w:p>
    <w:p w14:paraId="21B55DC2" w14:textId="77777777" w:rsidR="009C5B9D" w:rsidRDefault="009C5B9D" w:rsidP="009C5B9D">
      <w:pPr>
        <w:pStyle w:val="Heading2"/>
        <w:rPr>
          <w:rFonts w:eastAsia="Calibri"/>
        </w:rPr>
      </w:pPr>
      <w:r>
        <w:rPr>
          <w:rFonts w:eastAsia="Calibri"/>
        </w:rPr>
        <w:t xml:space="preserve">Issue 1: </w:t>
      </w:r>
      <w:r w:rsidR="00CA1915" w:rsidRPr="009C5B9D">
        <w:rPr>
          <w:rFonts w:eastAsia="Calibri"/>
        </w:rPr>
        <w:t xml:space="preserve">Add reference SCSs for soft resource availability indication configuration in the RRC IE </w:t>
      </w:r>
      <w:proofErr w:type="spellStart"/>
      <w:r w:rsidR="00CA1915" w:rsidRPr="009C5B9D">
        <w:rPr>
          <w:rFonts w:eastAsia="Calibri"/>
        </w:rPr>
        <w:t>AvailabilityCombinationPerCell</w:t>
      </w:r>
      <w:proofErr w:type="spellEnd"/>
      <w:r w:rsidR="00CA1915" w:rsidRPr="009C5B9D">
        <w:rPr>
          <w:rFonts w:eastAsia="Calibri"/>
        </w:rPr>
        <w:t xml:space="preserve"> (R1-2003732)</w:t>
      </w:r>
    </w:p>
    <w:p w14:paraId="45DAA5CE" w14:textId="77777777" w:rsidR="009C5B9D" w:rsidRDefault="009C5B9D" w:rsidP="009C5B9D">
      <w:pPr>
        <w:rPr>
          <w:rFonts w:asciiTheme="minorHAnsi" w:eastAsiaTheme="minorEastAsia" w:hAnsiTheme="minorHAnsi" w:cstheme="minorHAnsi"/>
          <w:sz w:val="22"/>
          <w:szCs w:val="22"/>
          <w:lang w:eastAsia="zh-CN"/>
        </w:rPr>
      </w:pPr>
    </w:p>
    <w:p w14:paraId="7017B0DE"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57E9171A" w14:textId="77777777" w:rsidR="00B539DE" w:rsidRPr="00003B22" w:rsidRDefault="00B539DE" w:rsidP="009C5B9D">
      <w:pPr>
        <w:rPr>
          <w:rFonts w:asciiTheme="minorHAnsi" w:eastAsiaTheme="minorEastAsia" w:hAnsiTheme="minorHAnsi" w:cstheme="minorHAnsi"/>
          <w:sz w:val="22"/>
          <w:szCs w:val="22"/>
          <w:lang w:eastAsia="zh-CN"/>
        </w:rPr>
      </w:pPr>
    </w:p>
    <w:p w14:paraId="2428345D"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w:t>
      </w:r>
      <w:proofErr w:type="spellStart"/>
      <w:r w:rsidRPr="00B539DE">
        <w:rPr>
          <w:rFonts w:asciiTheme="minorHAnsi" w:eastAsiaTheme="minorEastAsia" w:hAnsiTheme="minorHAnsi" w:cstheme="minorHAnsi"/>
          <w:sz w:val="22"/>
          <w:szCs w:val="22"/>
          <w:lang w:eastAsia="zh-CN"/>
        </w:rPr>
        <w:t>AvailabilityCombinationPerCell</w:t>
      </w:r>
      <w:proofErr w:type="spellEnd"/>
      <w:r w:rsidRPr="00B539DE">
        <w:rPr>
          <w:rFonts w:asciiTheme="minorHAnsi" w:eastAsiaTheme="minorEastAsia" w:hAnsiTheme="minorHAnsi" w:cstheme="minorHAnsi"/>
          <w:sz w:val="22"/>
          <w:szCs w:val="22"/>
          <w:lang w:eastAsia="zh-CN"/>
        </w:rPr>
        <w:t xml:space="preserve">. </w:t>
      </w:r>
    </w:p>
    <w:p w14:paraId="356D8730" w14:textId="77777777" w:rsidR="00B539DE"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unpaired spectrum operation, a reference SCS configuration µ_AI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-AI and, when a supplementary UL carrier is configured for the serving cell, a reference SCS configuration µ_(</w:t>
      </w:r>
      <w:proofErr w:type="gramStart"/>
      <w:r w:rsidRPr="00530DB5">
        <w:rPr>
          <w:rFonts w:asciiTheme="minorHAnsi" w:eastAsiaTheme="minorEastAsia" w:hAnsiTheme="minorHAnsi" w:cstheme="minorHAnsi"/>
          <w:sz w:val="22"/>
          <w:szCs w:val="22"/>
          <w:lang w:eastAsia="zh-CN"/>
        </w:rPr>
        <w:t>AI,SUL</w:t>
      </w:r>
      <w:proofErr w:type="gramEnd"/>
      <w:r w:rsidRPr="00530DB5">
        <w:rPr>
          <w:rFonts w:asciiTheme="minorHAnsi" w:eastAsiaTheme="minorEastAsia" w:hAnsiTheme="minorHAnsi" w:cstheme="minorHAnsi"/>
          <w:sz w:val="22"/>
          <w:szCs w:val="22"/>
          <w:lang w:eastAsia="zh-CN"/>
        </w:rPr>
        <w:t>) is provided by subcarrierSpacing2-AI for the supplementary UL carrier.</w:t>
      </w:r>
    </w:p>
    <w:p w14:paraId="45E80724" w14:textId="77777777" w:rsidR="009C5B9D"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For paired spectrum operation, a reference SCS configuration µ_(</w:t>
      </w:r>
      <w:proofErr w:type="gramStart"/>
      <w:r w:rsidRPr="00530DB5">
        <w:rPr>
          <w:rFonts w:asciiTheme="minorHAnsi" w:eastAsiaTheme="minorEastAsia" w:hAnsiTheme="minorHAnsi" w:cstheme="minorHAnsi"/>
          <w:sz w:val="22"/>
          <w:szCs w:val="22"/>
          <w:lang w:eastAsia="zh-CN"/>
        </w:rPr>
        <w:t>AI,DL</w:t>
      </w:r>
      <w:proofErr w:type="gramEnd"/>
      <w:r w:rsidRPr="00530DB5">
        <w:rPr>
          <w:rFonts w:asciiTheme="minorHAnsi" w:eastAsiaTheme="minorEastAsia" w:hAnsiTheme="minorHAnsi" w:cstheme="minorHAnsi"/>
          <w:sz w:val="22"/>
          <w:szCs w:val="22"/>
          <w:lang w:eastAsia="zh-CN"/>
        </w:rPr>
        <w:t xml:space="preserve">) for a DL BWP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 xml:space="preserve">-AI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7166CD96" w14:textId="77777777" w:rsidR="009C5B9D" w:rsidRDefault="009C5B9D" w:rsidP="009C5B9D">
      <w:pPr>
        <w:rPr>
          <w:rFonts w:eastAsia="Calibri"/>
        </w:rPr>
      </w:pPr>
    </w:p>
    <w:p w14:paraId="0FE9E7B6"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530DB5" w:rsidRPr="008040F5" w14:paraId="1D669642" w14:textId="77777777" w:rsidTr="00530DB5">
        <w:tc>
          <w:tcPr>
            <w:tcW w:w="1255" w:type="dxa"/>
          </w:tcPr>
          <w:p w14:paraId="1B6ADA1B"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D3DFEFE"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7E6C578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4CD96366" w14:textId="77777777" w:rsidTr="00530DB5">
        <w:tc>
          <w:tcPr>
            <w:tcW w:w="1255" w:type="dxa"/>
          </w:tcPr>
          <w:p w14:paraId="039F2F15"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0CDDE896"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38307F8F"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379A6C36" w14:textId="77777777" w:rsidR="00E1016C" w:rsidRPr="00FC497C" w:rsidRDefault="00E1016C" w:rsidP="0080560A">
            <w:pPr>
              <w:rPr>
                <w:rFonts w:asciiTheme="minorHAnsi" w:eastAsiaTheme="minorEastAsia" w:hAnsiTheme="minorHAnsi" w:cstheme="minorHAnsi"/>
                <w:bCs/>
                <w:sz w:val="22"/>
                <w:szCs w:val="22"/>
                <w:lang w:eastAsia="zh-CN"/>
              </w:rPr>
            </w:pPr>
          </w:p>
          <w:p w14:paraId="3A363699"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54DBB4FC" w14:textId="77777777" w:rsidTr="00530DB5">
        <w:tc>
          <w:tcPr>
            <w:tcW w:w="1255" w:type="dxa"/>
          </w:tcPr>
          <w:p w14:paraId="4AC71566"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528CBF9F"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7CA0213B" w14:textId="77777777"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w:t>
            </w:r>
            <w:proofErr w:type="spellStart"/>
            <w:r w:rsidR="00396F88">
              <w:t>propoed</w:t>
            </w:r>
            <w:proofErr w:type="spellEnd"/>
            <w:r w:rsidR="00396F88">
              <w:t xml:space="preserve"> reference SCS configuration for DCI 2_5 is inherited from </w:t>
            </w:r>
            <w:r>
              <w:t xml:space="preserve">DCI 2_0 </w:t>
            </w:r>
            <w:r w:rsidR="00396F88">
              <w:t xml:space="preserve">configuration. </w:t>
            </w:r>
          </w:p>
          <w:p w14:paraId="2627D8E9" w14:textId="77777777" w:rsidR="00D007A1" w:rsidRDefault="00165A3F" w:rsidP="00994168">
            <w:pPr>
              <w:pStyle w:val="B1"/>
              <w:ind w:left="0" w:firstLine="0"/>
            </w:pPr>
            <w:r>
              <w:t xml:space="preserve">Copied below is </w:t>
            </w:r>
            <w:r w:rsidR="00396F88">
              <w:t xml:space="preserve">DCI 2_0 reference SCS configuration </w:t>
            </w:r>
            <w:r w:rsidR="00D007A1">
              <w:t>in TS38.331</w:t>
            </w:r>
          </w:p>
          <w:p w14:paraId="61B91B83" w14:textId="77777777" w:rsidR="00D007A1" w:rsidRPr="00F537EB" w:rsidRDefault="00D007A1" w:rsidP="00D007A1">
            <w:pPr>
              <w:pStyle w:val="PL"/>
            </w:pPr>
            <w:proofErr w:type="spellStart"/>
            <w:r w:rsidRPr="00F537EB">
              <w:t>SlotFormatCombinationsPerCell</w:t>
            </w:r>
            <w:proofErr w:type="spellEnd"/>
            <w:r w:rsidRPr="00F537EB">
              <w:t xml:space="preserve"> ::=   SEQUENCE {</w:t>
            </w:r>
          </w:p>
          <w:p w14:paraId="15616BA0" w14:textId="77777777" w:rsidR="00D007A1" w:rsidRPr="00F537EB" w:rsidRDefault="00D007A1" w:rsidP="00D007A1">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556A9657" w14:textId="77777777" w:rsidR="00D007A1" w:rsidRPr="00D007A1" w:rsidRDefault="00D007A1" w:rsidP="00D007A1">
            <w:pPr>
              <w:pStyle w:val="PL"/>
              <w:rPr>
                <w:color w:val="00B0F0"/>
              </w:rPr>
            </w:pPr>
            <w:r w:rsidRPr="00F537EB">
              <w:t xml:space="preserve">    </w:t>
            </w:r>
            <w:proofErr w:type="spellStart"/>
            <w:r w:rsidRPr="00D007A1">
              <w:rPr>
                <w:color w:val="00B0F0"/>
              </w:rPr>
              <w:t>subcarrierSpacing</w:t>
            </w:r>
            <w:proofErr w:type="spellEnd"/>
            <w:r w:rsidRPr="00D007A1">
              <w:rPr>
                <w:color w:val="00B0F0"/>
              </w:rPr>
              <w:t xml:space="preserve">     </w:t>
            </w:r>
            <w:proofErr w:type="spellStart"/>
            <w:r w:rsidRPr="00D007A1">
              <w:rPr>
                <w:color w:val="00B0F0"/>
              </w:rPr>
              <w:t>SubcarrierSpacing</w:t>
            </w:r>
            <w:proofErr w:type="spellEnd"/>
            <w:r w:rsidRPr="00D007A1">
              <w:rPr>
                <w:color w:val="00B0F0"/>
              </w:rPr>
              <w:t>,</w:t>
            </w:r>
          </w:p>
          <w:p w14:paraId="751670CD" w14:textId="77777777" w:rsidR="00D007A1" w:rsidRPr="00D007A1" w:rsidRDefault="00D007A1" w:rsidP="00D007A1">
            <w:pPr>
              <w:pStyle w:val="PL"/>
              <w:rPr>
                <w:color w:val="00B0F0"/>
              </w:rPr>
            </w:pPr>
            <w:r w:rsidRPr="00D007A1">
              <w:rPr>
                <w:color w:val="00B0F0"/>
              </w:rPr>
              <w:t xml:space="preserve">    subcarrierSpacing2    </w:t>
            </w:r>
            <w:proofErr w:type="spellStart"/>
            <w:r w:rsidRPr="00D007A1">
              <w:rPr>
                <w:color w:val="00B0F0"/>
              </w:rPr>
              <w:t>SubcarrierSpacing</w:t>
            </w:r>
            <w:proofErr w:type="spellEnd"/>
            <w:r w:rsidRPr="00D007A1">
              <w:rPr>
                <w:color w:val="00B0F0"/>
              </w:rPr>
              <w:t xml:space="preserve">   OPTIONAL, </w:t>
            </w:r>
          </w:p>
          <w:p w14:paraId="78F26992" w14:textId="77777777" w:rsidR="00D007A1" w:rsidRDefault="00D007A1" w:rsidP="00D007A1">
            <w:pPr>
              <w:pStyle w:val="PL"/>
            </w:pPr>
            <w:r w:rsidRPr="00F537EB">
              <w:t xml:space="preserve">    </w:t>
            </w:r>
            <w:proofErr w:type="spellStart"/>
            <w:r w:rsidRPr="00F537EB">
              <w:t>slotFormatCombinations</w:t>
            </w:r>
            <w:proofErr w:type="spellEnd"/>
            <w:r w:rsidRPr="00F537EB">
              <w:t xml:space="preserve">              </w:t>
            </w:r>
          </w:p>
          <w:p w14:paraId="06C9050C" w14:textId="77777777" w:rsidR="00D007A1" w:rsidRPr="00F537EB" w:rsidRDefault="00D007A1" w:rsidP="00D007A1">
            <w:pPr>
              <w:pStyle w:val="PL"/>
            </w:pPr>
            <w:r w:rsidRPr="00F537EB">
              <w:t xml:space="preserve">SEQUENCE (SIZE (1..maxNrofSlotFormatCombinationsPerSet)) OF </w:t>
            </w:r>
            <w:proofErr w:type="spellStart"/>
            <w:r w:rsidRPr="00F537EB">
              <w:t>SlotFormatCombination</w:t>
            </w:r>
            <w:proofErr w:type="spellEnd"/>
            <w:r w:rsidRPr="00F537EB">
              <w:t xml:space="preserve">  OPTIONAL, </w:t>
            </w:r>
          </w:p>
          <w:p w14:paraId="68D34C56" w14:textId="77777777" w:rsidR="00D007A1" w:rsidRPr="00F537EB" w:rsidRDefault="00D007A1" w:rsidP="00D007A1">
            <w:pPr>
              <w:pStyle w:val="PL"/>
            </w:pPr>
            <w:r w:rsidRPr="00F537EB">
              <w:t xml:space="preserve">    </w:t>
            </w:r>
            <w:proofErr w:type="spellStart"/>
            <w:r w:rsidRPr="00F537EB">
              <w:t>positionInDCI</w:t>
            </w:r>
            <w:proofErr w:type="spellEnd"/>
            <w:r w:rsidRPr="00F537EB">
              <w:t xml:space="preserve"> </w:t>
            </w:r>
            <w:r>
              <w:t xml:space="preserve"> </w:t>
            </w:r>
            <w:r w:rsidRPr="00F537EB">
              <w:t xml:space="preserve">INTEGER(0..maxSFI-DCI-PayloadSize-1)                                      OPTIONAL, </w:t>
            </w:r>
          </w:p>
          <w:p w14:paraId="0D247B2D" w14:textId="77777777" w:rsidR="00D007A1" w:rsidRPr="00F537EB" w:rsidRDefault="00D007A1" w:rsidP="00D007A1">
            <w:pPr>
              <w:pStyle w:val="PL"/>
            </w:pPr>
            <w:r w:rsidRPr="00F537EB">
              <w:t xml:space="preserve">    ...,</w:t>
            </w:r>
          </w:p>
          <w:p w14:paraId="4B963175" w14:textId="77777777" w:rsidR="00D007A1" w:rsidRPr="00F537EB" w:rsidRDefault="00D007A1" w:rsidP="00D007A1">
            <w:pPr>
              <w:pStyle w:val="PL"/>
            </w:pPr>
            <w:r w:rsidRPr="00F537EB">
              <w:t xml:space="preserve">    [[</w:t>
            </w:r>
          </w:p>
          <w:p w14:paraId="5BF4339D" w14:textId="77777777" w:rsidR="00D007A1" w:rsidRPr="00F537EB" w:rsidRDefault="00D007A1" w:rsidP="00D007A1">
            <w:pPr>
              <w:pStyle w:val="PL"/>
            </w:pPr>
            <w:r w:rsidRPr="00F537EB">
              <w:t xml:space="preserve">    enableConfiguredUL-r16          ENUMERATED {enabled}                                                          OPTIONAL  </w:t>
            </w:r>
          </w:p>
          <w:p w14:paraId="426CED45" w14:textId="77777777" w:rsidR="00D007A1" w:rsidRPr="00F537EB" w:rsidRDefault="00D007A1" w:rsidP="00D007A1">
            <w:pPr>
              <w:pStyle w:val="PL"/>
            </w:pPr>
            <w:r w:rsidRPr="00F537EB">
              <w:t xml:space="preserve">    ]]</w:t>
            </w:r>
          </w:p>
          <w:p w14:paraId="67D744BC" w14:textId="77777777" w:rsidR="00D007A1" w:rsidRPr="00F537EB" w:rsidRDefault="00D007A1" w:rsidP="00D007A1">
            <w:pPr>
              <w:pStyle w:val="PL"/>
            </w:pPr>
            <w:r w:rsidRPr="00F537EB">
              <w:t>}</w:t>
            </w:r>
          </w:p>
          <w:p w14:paraId="4874C3E0" w14:textId="77777777" w:rsidR="00D007A1" w:rsidRDefault="00D007A1" w:rsidP="00994168">
            <w:pPr>
              <w:pStyle w:val="B1"/>
              <w:ind w:left="0" w:firstLine="0"/>
            </w:pPr>
          </w:p>
          <w:p w14:paraId="428B5193" w14:textId="7777777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75C54F23" w14:textId="77777777" w:rsidR="00994168" w:rsidRPr="00CA657A" w:rsidRDefault="00994168" w:rsidP="00994168">
            <w:pPr>
              <w:pStyle w:val="B1"/>
            </w:pPr>
            <w:r>
              <w:lastRenderedPageBreak/>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zh-CN"/>
              </w:rPr>
              <w:drawing>
                <wp:inline distT="0" distB="0" distL="0" distR="0" wp14:anchorId="51B940B5" wp14:editId="4AF452D8">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t>configuration</w:t>
            </w:r>
            <w:r w:rsidRPr="00CA657A">
              <w:t xml:space="preserve"> </w:t>
            </w:r>
            <w:r>
              <w:rPr>
                <w:noProof/>
                <w:position w:val="-12"/>
                <w:lang w:eastAsia="zh-CN"/>
              </w:rPr>
              <w:drawing>
                <wp:inline distT="0" distB="0" distL="0" distR="0" wp14:anchorId="1A1B024F" wp14:editId="19346260">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2D79F0A5" w14:textId="77777777"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proofErr w:type="spellStart"/>
            <w:r w:rsidRPr="00994168">
              <w:rPr>
                <w:i/>
              </w:rPr>
              <w:t>subcarrierSpacing</w:t>
            </w:r>
            <w:proofErr w:type="spellEnd"/>
            <w:r w:rsidRPr="00994168">
              <w:rPr>
                <w:lang w:eastAsia="zh-CN"/>
              </w:rPr>
              <w:t xml:space="preserve"> a reference SCS configuration </w:t>
            </w:r>
            <w:r w:rsidRPr="00994168">
              <w:rPr>
                <w:noProof/>
                <w:position w:val="-10"/>
                <w:lang w:eastAsia="zh-CN"/>
              </w:rPr>
              <w:drawing>
                <wp:inline distT="0" distB="0" distL="0" distR="0" wp14:anchorId="09AEAFE8" wp14:editId="0D9EFF2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w:t>
            </w:r>
            <w:proofErr w:type="gramStart"/>
            <w:r w:rsidRPr="00994168">
              <w:rPr>
                <w:lang w:eastAsia="zh-CN"/>
              </w:rPr>
              <w:t>a</w:t>
            </w:r>
            <w:proofErr w:type="gramEnd"/>
            <w:r w:rsidRPr="00994168">
              <w:rPr>
                <w:lang w:eastAsia="zh-CN"/>
              </w:rPr>
              <w:t xml:space="preserve"> SFI-index field value in DCI format 2_0. The UE expects that for a reference SCS configuration </w:t>
            </w:r>
            <w:r w:rsidRPr="00994168">
              <w:rPr>
                <w:noProof/>
                <w:position w:val="-10"/>
                <w:lang w:eastAsia="zh-CN"/>
              </w:rPr>
              <w:drawing>
                <wp:inline distT="0" distB="0" distL="0" distR="0" wp14:anchorId="27AEFA32" wp14:editId="7EC11C23">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zh-CN"/>
              </w:rPr>
              <w:drawing>
                <wp:inline distT="0" distB="0" distL="0" distR="0" wp14:anchorId="516171F6" wp14:editId="225DBEF7">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zh-CN"/>
              </w:rPr>
              <w:drawing>
                <wp:inline distT="0" distB="0" distL="0" distR="0" wp14:anchorId="0173BFFC" wp14:editId="5098C724">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zh-CN"/>
              </w:rPr>
              <w:drawing>
                <wp:inline distT="0" distB="0" distL="0" distR="0" wp14:anchorId="101C8A72" wp14:editId="31F7F89A">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zh-CN"/>
              </w:rPr>
              <w:drawing>
                <wp:inline distT="0" distB="0" distL="0" distR="0" wp14:anchorId="110906D6" wp14:editId="2257FFE2">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zh-CN"/>
              </w:rPr>
              <w:drawing>
                <wp:inline distT="0" distB="0" distL="0" distR="0" wp14:anchorId="25004729" wp14:editId="16B6C35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zh-CN"/>
              </w:rPr>
              <w:drawing>
                <wp:inline distT="0" distB="0" distL="0" distR="0" wp14:anchorId="7C71ADF5" wp14:editId="302B94C7">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zh-CN"/>
              </w:rPr>
              <w:drawing>
                <wp:inline distT="0" distB="0" distL="0" distR="0" wp14:anchorId="12F76B0A" wp14:editId="38D222D1">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3A11B864" w14:textId="77777777" w:rsidR="003F124B" w:rsidRPr="003F124B" w:rsidRDefault="003F124B" w:rsidP="00396F88">
            <w:pPr>
              <w:pStyle w:val="B1"/>
              <w:ind w:left="0" w:firstLine="0"/>
              <w:rPr>
                <w:rFonts w:eastAsiaTheme="minorEastAsia"/>
                <w:bCs/>
                <w:lang w:eastAsia="zh-CN"/>
              </w:rPr>
            </w:pPr>
            <w:r>
              <w:t xml:space="preserve">The </w:t>
            </w:r>
            <w:proofErr w:type="spellStart"/>
            <w:r>
              <w:t>propoed</w:t>
            </w:r>
            <w:proofErr w:type="spellEnd"/>
            <w:r>
              <w:t xml:space="preserve"> reference SCS configuration for DCI 2_5 is </w:t>
            </w:r>
            <w:proofErr w:type="gramStart"/>
            <w:r>
              <w:t>similar to</w:t>
            </w:r>
            <w:proofErr w:type="gramEnd"/>
            <w:r>
              <w:t xml:space="preserve">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9378F4D" w14:textId="77777777" w:rsidTr="00530DB5">
        <w:tc>
          <w:tcPr>
            <w:tcW w:w="1255" w:type="dxa"/>
          </w:tcPr>
          <w:p w14:paraId="0BBB0D87" w14:textId="77777777"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2202AFB0" w14:textId="77777777"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5C1ABCE4" w14:textId="77777777" w:rsidR="00162B52" w:rsidRDefault="00162B52" w:rsidP="00994168">
            <w:pPr>
              <w:pStyle w:val="B1"/>
              <w:ind w:left="0" w:firstLine="0"/>
            </w:pPr>
            <w:r>
              <w:t xml:space="preserve">Tend to agree with Intel. </w:t>
            </w:r>
          </w:p>
          <w:p w14:paraId="08CD5B63" w14:textId="77777777" w:rsidR="000403CA" w:rsidRDefault="000403CA" w:rsidP="000403CA">
            <w:pPr>
              <w:pStyle w:val="B1"/>
              <w:ind w:left="0" w:firstLine="0"/>
            </w:pPr>
            <w:r>
              <w:t xml:space="preserve">DCI 2-5 was introduced mainly following the same framework as DCI 2-0, and AvailabilityCombinationsPerCell-r16 contained similar parameter set as </w:t>
            </w:r>
            <w:proofErr w:type="spellStart"/>
            <w:r w:rsidRPr="00F537EB">
              <w:t>SlotFormatCombinationsPerCell</w:t>
            </w:r>
            <w:proofErr w:type="spellEnd"/>
            <w:r>
              <w:t xml:space="preserve">. We think that introducing </w:t>
            </w:r>
            <w:proofErr w:type="spellStart"/>
            <w:r w:rsidRPr="000403CA">
              <w:t>subcarrierSpacing</w:t>
            </w:r>
            <w:proofErr w:type="spellEnd"/>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7B0976CD" w14:textId="77777777" w:rsidTr="00530DB5">
        <w:tc>
          <w:tcPr>
            <w:tcW w:w="1255" w:type="dxa"/>
          </w:tcPr>
          <w:p w14:paraId="7381487F" w14:textId="77777777"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41C733F0" w14:textId="77777777"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04526" w14:textId="77777777"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 xml:space="preserve">As another alternative, DCI format 2_5 is a </w:t>
            </w:r>
            <w:proofErr w:type="gramStart"/>
            <w:r w:rsidR="00003B22">
              <w:rPr>
                <w:lang w:eastAsia="zh-CN"/>
              </w:rPr>
              <w:t>group-common</w:t>
            </w:r>
            <w:proofErr w:type="gramEnd"/>
            <w:r w:rsidR="00003B22">
              <w:rPr>
                <w:lang w:eastAsia="zh-CN"/>
              </w:rPr>
              <w:t xml:space="preserve"> PDCCH, one can always group the IAB nodes with same SCS together at cost of the control signaling overhead at the gNB.</w:t>
            </w:r>
          </w:p>
        </w:tc>
      </w:tr>
      <w:tr w:rsidR="00E75EA1" w:rsidRPr="008040F5" w14:paraId="17742DBB" w14:textId="77777777" w:rsidTr="00530DB5">
        <w:tc>
          <w:tcPr>
            <w:tcW w:w="1255" w:type="dxa"/>
          </w:tcPr>
          <w:p w14:paraId="351F98EC" w14:textId="77777777"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183A78B8" w14:textId="77777777" w:rsidR="00E75EA1" w:rsidRDefault="00DF23F6" w:rsidP="00154BBA">
            <w:pPr>
              <w:rPr>
                <w:rFonts w:ascii="Calibri" w:eastAsia="Calibri" w:hAnsi="Calibri"/>
                <w:bCs/>
                <w:sz w:val="22"/>
                <w:szCs w:val="22"/>
              </w:rPr>
            </w:pPr>
            <w:proofErr w:type="gramStart"/>
            <w:r>
              <w:rPr>
                <w:rFonts w:ascii="Calibri" w:eastAsia="Calibri" w:hAnsi="Calibri"/>
                <w:bCs/>
                <w:sz w:val="22"/>
                <w:szCs w:val="22"/>
              </w:rPr>
              <w:t>Yes</w:t>
            </w:r>
            <w:proofErr w:type="gramEnd"/>
            <w:r>
              <w:rPr>
                <w:rFonts w:ascii="Calibri" w:eastAsia="Calibri" w:hAnsi="Calibri"/>
                <w:bCs/>
                <w:sz w:val="22"/>
                <w:szCs w:val="22"/>
              </w:rPr>
              <w:t xml:space="preserve"> to the first question.</w:t>
            </w:r>
          </w:p>
          <w:p w14:paraId="1635DC4D" w14:textId="77777777"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2B5124F4" w14:textId="77777777" w:rsidR="00E75EA1" w:rsidRDefault="00DF23F6" w:rsidP="00003B22">
            <w:pPr>
              <w:pStyle w:val="B1"/>
              <w:ind w:left="0" w:firstLine="0"/>
              <w:rPr>
                <w:lang w:eastAsia="zh-CN"/>
              </w:rPr>
            </w:pPr>
            <w:r>
              <w:rPr>
                <w:lang w:eastAsia="zh-CN"/>
              </w:rPr>
              <w:t xml:space="preserve">We acknowledge there is a potential issue. </w:t>
            </w:r>
            <w:proofErr w:type="gramStart"/>
            <w:r>
              <w:rPr>
                <w:lang w:eastAsia="zh-CN"/>
              </w:rPr>
              <w:t>However</w:t>
            </w:r>
            <w:proofErr w:type="gramEnd"/>
            <w:r>
              <w:rPr>
                <w:lang w:eastAsia="zh-CN"/>
              </w:rPr>
              <w:t xml:space="preserve"> it is questionable, particularly when sending an AI with sub-slot resolution, whether grouping IAB-nodes with different IAD-DU SCS has any value. </w:t>
            </w:r>
            <w:proofErr w:type="gramStart"/>
            <w:r>
              <w:rPr>
                <w:lang w:eastAsia="zh-CN"/>
              </w:rPr>
              <w:t>So</w:t>
            </w:r>
            <w:proofErr w:type="gramEnd"/>
            <w:r>
              <w:rPr>
                <w:lang w:eastAsia="zh-CN"/>
              </w:rPr>
              <w:t xml:space="preserve"> the issue can be avoided by grouping IAB-nodes with the same IAB-DU SCS</w:t>
            </w:r>
            <w:r w:rsidR="00924BF1">
              <w:rPr>
                <w:lang w:eastAsia="zh-CN"/>
              </w:rPr>
              <w:t>, as Huawei suggested</w:t>
            </w:r>
            <w:r>
              <w:rPr>
                <w:lang w:eastAsia="zh-CN"/>
              </w:rPr>
              <w:t>.</w:t>
            </w:r>
          </w:p>
          <w:p w14:paraId="63037A35" w14:textId="77777777" w:rsidR="00DF23F6" w:rsidRDefault="00DF23F6" w:rsidP="00003B22">
            <w:pPr>
              <w:pStyle w:val="B1"/>
              <w:ind w:left="0" w:firstLine="0"/>
              <w:rPr>
                <w:lang w:eastAsia="zh-CN"/>
              </w:rPr>
            </w:pPr>
            <w:r>
              <w:rPr>
                <w:lang w:eastAsia="zh-CN"/>
              </w:rPr>
              <w:lastRenderedPageBreak/>
              <w:t xml:space="preserve">We think this is acceptable in Rel-16. At this point we do not want to introduce any signaling change except to address a critical issue. This </w:t>
            </w:r>
            <w:proofErr w:type="gramStart"/>
            <w:r>
              <w:rPr>
                <w:lang w:eastAsia="zh-CN"/>
              </w:rPr>
              <w:t>particular one</w:t>
            </w:r>
            <w:proofErr w:type="gramEnd"/>
            <w:r>
              <w:rPr>
                <w:lang w:eastAsia="zh-CN"/>
              </w:rPr>
              <w:t xml:space="preserve"> does not seem to </w:t>
            </w:r>
            <w:r w:rsidR="00924BF1">
              <w:rPr>
                <w:lang w:eastAsia="zh-CN"/>
              </w:rPr>
              <w:t>raise to that level.</w:t>
            </w:r>
          </w:p>
        </w:tc>
      </w:tr>
      <w:tr w:rsidR="00792292" w14:paraId="2C4F7B36" w14:textId="77777777" w:rsidTr="0073572E">
        <w:tc>
          <w:tcPr>
            <w:tcW w:w="1255" w:type="dxa"/>
          </w:tcPr>
          <w:p w14:paraId="5F0B16AE" w14:textId="77777777"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4771F072"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79221A14" w14:textId="77777777"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proofErr w:type="spellStart"/>
            <w:r w:rsidR="00533D83">
              <w:rPr>
                <w:i/>
                <w:iCs/>
              </w:rPr>
              <w:t>availabilityCombinations</w:t>
            </w:r>
            <w:proofErr w:type="spellEnd"/>
            <w:r w:rsidR="00533D83">
              <w:rPr>
                <w:i/>
                <w:iCs/>
              </w:rPr>
              <w:t xml:space="preserve">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4FD0F639" w14:textId="77777777" w:rsidTr="0073572E">
        <w:tc>
          <w:tcPr>
            <w:tcW w:w="1255" w:type="dxa"/>
          </w:tcPr>
          <w:p w14:paraId="00368988" w14:textId="7777777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4746E1C0" w14:textId="77777777"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54F5733" w14:textId="77777777" w:rsidR="002531D5" w:rsidRPr="00B217E1" w:rsidRDefault="00B217E1" w:rsidP="00BD1B36">
            <w:pPr>
              <w:pStyle w:val="B1"/>
              <w:ind w:left="0" w:firstLine="0"/>
              <w:rPr>
                <w:rFonts w:ascii="Calibri" w:eastAsia="Malgun Gothic"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636570E" w14:textId="77777777" w:rsidTr="0073572E">
        <w:tc>
          <w:tcPr>
            <w:tcW w:w="1255" w:type="dxa"/>
          </w:tcPr>
          <w:p w14:paraId="1E82D97A" w14:textId="77777777"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1CDDDEF6" w14:textId="77777777"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06BF3B58"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71544661" w14:textId="77777777" w:rsidR="00433193" w:rsidRPr="00433193" w:rsidRDefault="00433193" w:rsidP="00433193">
            <w:pPr>
              <w:pStyle w:val="B1"/>
              <w:ind w:left="0" w:firstLine="0"/>
            </w:pPr>
            <w:r>
              <w:rPr>
                <w:rFonts w:hint="eastAsia"/>
              </w:rPr>
              <w:t xml:space="preserve">It seems most companies suggest </w:t>
            </w:r>
            <w:proofErr w:type="gramStart"/>
            <w:r>
              <w:rPr>
                <w:rFonts w:hint="eastAsia"/>
              </w:rPr>
              <w:t>to resolve</w:t>
            </w:r>
            <w:proofErr w:type="gramEnd"/>
            <w:r>
              <w:rPr>
                <w:rFonts w:hint="eastAsia"/>
              </w:rPr>
              <w:t xml:space="preserve"> the issue by sending DCI2_5 in CSS to a group of IAB nodes with a same IAB DU SCS. We are ok with this solution and propose to mention the following </w:t>
            </w:r>
            <w:r w:rsidRPr="00433193">
              <w:rPr>
                <w:rFonts w:hint="eastAsia"/>
              </w:rPr>
              <w:t xml:space="preserve">in the spec: </w:t>
            </w:r>
          </w:p>
          <w:p w14:paraId="491CE5E8"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4ACDA0F" w14:textId="77777777" w:rsidR="00433193" w:rsidRPr="00B217E1" w:rsidRDefault="00433193" w:rsidP="00433193"/>
        </w:tc>
      </w:tr>
      <w:tr w:rsidR="006706A0" w14:paraId="39D6A10B" w14:textId="77777777" w:rsidTr="0073572E">
        <w:tc>
          <w:tcPr>
            <w:tcW w:w="1255" w:type="dxa"/>
          </w:tcPr>
          <w:p w14:paraId="0DB67341" w14:textId="77777777"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2B703CD0" w14:textId="77777777"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0BD9B3E2" w14:textId="77777777"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9ED08D2" w14:textId="77777777" w:rsidR="009C5B9D" w:rsidRDefault="009C5B9D" w:rsidP="009C5B9D">
      <w:pPr>
        <w:rPr>
          <w:rFonts w:eastAsia="Calibri"/>
        </w:rPr>
      </w:pPr>
    </w:p>
    <w:p w14:paraId="15785ABA" w14:textId="77777777"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w:t>
      </w:r>
      <w:proofErr w:type="gramStart"/>
      <w:r>
        <w:rPr>
          <w:rFonts w:asciiTheme="minorHAnsi" w:eastAsiaTheme="minorEastAsia" w:hAnsiTheme="minorHAnsi" w:cstheme="minorHAnsi"/>
          <w:b/>
          <w:bCs/>
          <w:sz w:val="22"/>
          <w:szCs w:val="22"/>
          <w:lang w:eastAsia="zh-CN"/>
        </w:rPr>
        <w:t>and also</w:t>
      </w:r>
      <w:proofErr w:type="gramEnd"/>
      <w:r>
        <w:rPr>
          <w:rFonts w:asciiTheme="minorHAnsi" w:eastAsiaTheme="minorEastAsia" w:hAnsiTheme="minorHAnsi" w:cstheme="minorHAnsi"/>
          <w:b/>
          <w:bCs/>
          <w:sz w:val="22"/>
          <w:szCs w:val="22"/>
          <w:lang w:eastAsia="zh-CN"/>
        </w:rPr>
        <w:t xml:space="preserve">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453D3D8E" w14:textId="77777777" w:rsidR="00AA3088" w:rsidRPr="00AA3088" w:rsidRDefault="00AA3088" w:rsidP="009C5B9D">
      <w:pPr>
        <w:rPr>
          <w:rFonts w:asciiTheme="minorHAnsi" w:eastAsiaTheme="minorEastAsia" w:hAnsiTheme="minorHAnsi" w:cstheme="minorHAnsi"/>
          <w:b/>
          <w:bCs/>
          <w:sz w:val="22"/>
          <w:szCs w:val="22"/>
          <w:lang w:eastAsia="zh-CN"/>
        </w:rPr>
      </w:pPr>
    </w:p>
    <w:p w14:paraId="596F3BF6" w14:textId="77777777" w:rsidR="005606F5" w:rsidRDefault="005606F5" w:rsidP="005606F5">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w:t>
      </w:r>
      <w:r>
        <w:rPr>
          <w:rFonts w:asciiTheme="minorHAnsi" w:eastAsiaTheme="minorEastAsia" w:hAnsiTheme="minorHAnsi" w:cstheme="minorHAnsi"/>
          <w:b/>
          <w:bCs/>
          <w:iCs/>
          <w:sz w:val="22"/>
          <w:szCs w:val="22"/>
          <w:highlight w:val="yellow"/>
          <w:lang w:eastAsia="zh-CN"/>
        </w:rPr>
        <w:t>1</w:t>
      </w:r>
      <w:r w:rsidRPr="005606F5">
        <w:rPr>
          <w:rFonts w:asciiTheme="minorHAnsi" w:eastAsiaTheme="minorEastAsia" w:hAnsiTheme="minorHAnsi" w:cstheme="minorHAnsi"/>
          <w:b/>
          <w:bCs/>
          <w:iCs/>
          <w:sz w:val="22"/>
          <w:szCs w:val="22"/>
          <w:highlight w:val="yellow"/>
          <w:lang w:eastAsia="zh-CN"/>
        </w:rPr>
        <w:t>.2</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r w:rsidR="001358D1">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1B5C423B" w14:textId="77777777" w:rsidR="005606F5" w:rsidRDefault="005606F5" w:rsidP="005606F5">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5606F5" w:rsidRPr="00EF0778" w14:paraId="12097720" w14:textId="77777777" w:rsidTr="00B162C1">
        <w:tc>
          <w:tcPr>
            <w:tcW w:w="1255" w:type="dxa"/>
          </w:tcPr>
          <w:p w14:paraId="3D65A08F"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7ECD6097" w14:textId="77777777"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27FF8E79"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5BD005B1" w14:textId="77777777" w:rsidTr="0096646A">
        <w:tc>
          <w:tcPr>
            <w:tcW w:w="1255" w:type="dxa"/>
          </w:tcPr>
          <w:p w14:paraId="102BBED3"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794460F7"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 xml:space="preserve">Yes, but some modification is needed. </w:t>
            </w:r>
          </w:p>
        </w:tc>
        <w:tc>
          <w:tcPr>
            <w:tcW w:w="5665" w:type="dxa"/>
          </w:tcPr>
          <w:p w14:paraId="4F48EC66" w14:textId="77777777" w:rsidR="0096646A" w:rsidRDefault="0096646A" w:rsidP="00A05037">
            <w:pPr>
              <w:rPr>
                <w:rFonts w:ascii="Calibri" w:eastAsia="Malgun Gothic" w:hAnsi="Calibri"/>
                <w:bCs/>
                <w:sz w:val="22"/>
                <w:szCs w:val="22"/>
                <w:lang w:eastAsia="ko-KR"/>
              </w:rPr>
            </w:pPr>
            <w:r>
              <w:rPr>
                <w:rFonts w:ascii="Calibri" w:eastAsia="Malgun Gothic" w:hAnsi="Calibri" w:hint="eastAsia"/>
                <w:bCs/>
                <w:sz w:val="22"/>
                <w:szCs w:val="22"/>
                <w:lang w:eastAsia="ko-KR"/>
              </w:rPr>
              <w:t>We are generally fine with the FL</w:t>
            </w:r>
            <w:r>
              <w:rPr>
                <w:rFonts w:ascii="Calibri" w:eastAsia="Malgun Gothic" w:hAnsi="Calibri"/>
                <w:bCs/>
                <w:sz w:val="22"/>
                <w:szCs w:val="22"/>
                <w:lang w:eastAsia="ko-KR"/>
              </w:rPr>
              <w:t xml:space="preserve">’s conclusion.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suggest some modification as: </w:t>
            </w:r>
          </w:p>
          <w:p w14:paraId="3BA1EAE2" w14:textId="77777777" w:rsidR="0096646A" w:rsidRDefault="0096646A" w:rsidP="00A05037">
            <w:pPr>
              <w:rPr>
                <w:rFonts w:ascii="Calibri" w:eastAsia="Malgun Gothic" w:hAnsi="Calibri"/>
                <w:bCs/>
                <w:sz w:val="22"/>
                <w:szCs w:val="22"/>
                <w:lang w:eastAsia="ko-KR"/>
              </w:rPr>
            </w:pPr>
          </w:p>
          <w:p w14:paraId="4DBCB42C" w14:textId="77777777"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In case DCI Format </w:t>
            </w:r>
            <w:r>
              <w:rPr>
                <w:rFonts w:asciiTheme="minorHAnsi" w:eastAsiaTheme="minorEastAsia" w:hAnsiTheme="minorHAnsi" w:cstheme="minorHAnsi"/>
                <w:b/>
                <w:bCs/>
                <w:iCs/>
                <w:sz w:val="22"/>
                <w:szCs w:val="22"/>
                <w:lang w:eastAsia="zh-CN"/>
              </w:rPr>
              <w:lastRenderedPageBreak/>
              <w:t xml:space="preserve">2_5 is transmitted to multiple IAB nodes in the CSS, it is expected that the same reference SCS is applied by all IAB-DU </w:t>
            </w:r>
            <w:r w:rsidRPr="0096646A">
              <w:rPr>
                <w:rFonts w:asciiTheme="minorHAnsi" w:eastAsiaTheme="minorEastAsia" w:hAnsiTheme="minorHAnsi" w:cstheme="minorHAnsi"/>
                <w:b/>
                <w:bCs/>
                <w:iCs/>
                <w:color w:val="FF0000"/>
                <w:sz w:val="22"/>
                <w:szCs w:val="22"/>
                <w:lang w:eastAsia="zh-CN"/>
              </w:rPr>
              <w:t>cells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5B58CE2E" w14:textId="77777777" w:rsidR="0096646A" w:rsidRDefault="0096646A" w:rsidP="0096646A">
            <w:pPr>
              <w:rPr>
                <w:rFonts w:asciiTheme="minorHAnsi" w:eastAsiaTheme="minorEastAsia" w:hAnsiTheme="minorHAnsi" w:cstheme="minorHAnsi"/>
                <w:b/>
                <w:bCs/>
                <w:iCs/>
                <w:sz w:val="22"/>
                <w:szCs w:val="22"/>
                <w:lang w:eastAsia="zh-CN"/>
              </w:rPr>
            </w:pPr>
          </w:p>
          <w:p w14:paraId="78EA9E83" w14:textId="77777777" w:rsidR="0096646A" w:rsidRPr="0096646A" w:rsidRDefault="0096646A" w:rsidP="0096646A">
            <w:pPr>
              <w:rPr>
                <w:rFonts w:ascii="Calibri" w:eastAsia="Malgun Gothic" w:hAnsi="Calibri"/>
                <w:bCs/>
                <w:sz w:val="22"/>
                <w:szCs w:val="22"/>
                <w:lang w:eastAsia="ko-KR"/>
              </w:rPr>
            </w:pPr>
            <w:r w:rsidRPr="0096646A">
              <w:rPr>
                <w:rFonts w:asciiTheme="minorHAnsi" w:eastAsia="Malgun Gothic" w:hAnsiTheme="minorHAnsi" w:cstheme="minorHAnsi" w:hint="eastAsia"/>
                <w:bCs/>
                <w:iCs/>
                <w:sz w:val="22"/>
                <w:szCs w:val="22"/>
                <w:lang w:eastAsia="ko-KR"/>
              </w:rPr>
              <w:t>And we don</w:t>
            </w:r>
            <w:r w:rsidRPr="0096646A">
              <w:rPr>
                <w:rFonts w:asciiTheme="minorHAnsi" w:eastAsia="Malgun Gothic" w:hAnsiTheme="minorHAnsi" w:cstheme="minorHAnsi"/>
                <w:bCs/>
                <w:iCs/>
                <w:sz w:val="22"/>
                <w:szCs w:val="22"/>
                <w:lang w:eastAsia="ko-KR"/>
              </w:rPr>
              <w:t xml:space="preserve">’t think above conclusion needs to be captured in the spec.  </w:t>
            </w:r>
          </w:p>
        </w:tc>
      </w:tr>
      <w:tr w:rsidR="0029366E" w:rsidRPr="0029366E" w14:paraId="79F973EC" w14:textId="77777777" w:rsidTr="0029366E">
        <w:tc>
          <w:tcPr>
            <w:tcW w:w="1255" w:type="dxa"/>
          </w:tcPr>
          <w:p w14:paraId="56774C1D" w14:textId="77777777" w:rsidR="0029366E" w:rsidRPr="0029366E" w:rsidRDefault="0029366E" w:rsidP="0029366E">
            <w:pPr>
              <w:rPr>
                <w:rFonts w:ascii="Calibri" w:hAnsi="Calibri"/>
                <w:bCs/>
                <w:sz w:val="22"/>
                <w:szCs w:val="22"/>
              </w:rPr>
            </w:pPr>
            <w:r w:rsidRPr="0029366E">
              <w:rPr>
                <w:rFonts w:ascii="Calibri" w:hAnsi="Calibri"/>
                <w:bCs/>
                <w:sz w:val="22"/>
                <w:szCs w:val="22"/>
              </w:rPr>
              <w:lastRenderedPageBreak/>
              <w:t xml:space="preserve">ZTE, </w:t>
            </w:r>
            <w:proofErr w:type="spellStart"/>
            <w:r w:rsidRPr="0029366E">
              <w:rPr>
                <w:rFonts w:ascii="Calibri" w:hAnsi="Calibri"/>
                <w:bCs/>
                <w:sz w:val="22"/>
                <w:szCs w:val="22"/>
              </w:rPr>
              <w:t>Sanechips</w:t>
            </w:r>
            <w:proofErr w:type="spellEnd"/>
          </w:p>
        </w:tc>
        <w:tc>
          <w:tcPr>
            <w:tcW w:w="3150" w:type="dxa"/>
          </w:tcPr>
          <w:p w14:paraId="39AFD532" w14:textId="77777777" w:rsidR="0029366E" w:rsidRPr="0029366E" w:rsidRDefault="0029366E" w:rsidP="0029366E">
            <w:pPr>
              <w:rPr>
                <w:rFonts w:ascii="Calibri" w:hAnsi="Calibri"/>
                <w:bCs/>
                <w:sz w:val="22"/>
                <w:szCs w:val="22"/>
              </w:rPr>
            </w:pPr>
            <w:r w:rsidRPr="0029366E">
              <w:rPr>
                <w:rFonts w:ascii="Calibri" w:hAnsi="Calibri"/>
                <w:bCs/>
                <w:sz w:val="22"/>
                <w:szCs w:val="22"/>
              </w:rPr>
              <w:t>Agree the 1</w:t>
            </w:r>
            <w:r w:rsidRPr="0029366E">
              <w:rPr>
                <w:rFonts w:ascii="Calibri" w:hAnsi="Calibri"/>
                <w:bCs/>
                <w:sz w:val="22"/>
                <w:szCs w:val="22"/>
                <w:vertAlign w:val="superscript"/>
              </w:rPr>
              <w:t>st</w:t>
            </w:r>
            <w:r w:rsidRPr="0029366E">
              <w:rPr>
                <w:rFonts w:ascii="Calibri" w:hAnsi="Calibri"/>
                <w:bCs/>
                <w:sz w:val="22"/>
                <w:szCs w:val="22"/>
              </w:rPr>
              <w:t xml:space="preserve"> sentence, but the 2</w:t>
            </w:r>
            <w:r w:rsidRPr="0029366E">
              <w:rPr>
                <w:rFonts w:ascii="Calibri" w:hAnsi="Calibri"/>
                <w:bCs/>
                <w:sz w:val="22"/>
                <w:szCs w:val="22"/>
                <w:vertAlign w:val="superscript"/>
              </w:rPr>
              <w:t>nd</w:t>
            </w:r>
            <w:r w:rsidRPr="0029366E">
              <w:rPr>
                <w:rFonts w:ascii="Calibri" w:hAnsi="Calibri"/>
                <w:bCs/>
                <w:sz w:val="22"/>
                <w:szCs w:val="22"/>
              </w:rPr>
              <w:t xml:space="preserve"> is not necessary.</w:t>
            </w:r>
          </w:p>
        </w:tc>
        <w:tc>
          <w:tcPr>
            <w:tcW w:w="5665" w:type="dxa"/>
          </w:tcPr>
          <w:p w14:paraId="29929EC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Assume two IAB nodes, A and B, are configured to monitor DCI 2_5 in CSS.  </w:t>
            </w:r>
          </w:p>
          <w:p w14:paraId="78E21A4C"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node-A</w:t>
            </w:r>
            <w:proofErr w:type="gramEnd"/>
            <w:r w:rsidRPr="0029366E">
              <w:rPr>
                <w:rFonts w:ascii="Calibri" w:hAnsi="Calibri"/>
                <w:bCs/>
                <w:sz w:val="22"/>
                <w:szCs w:val="22"/>
              </w:rPr>
              <w:t xml:space="preserve">: </w:t>
            </w:r>
          </w:p>
          <w:p w14:paraId="1517C5EE"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u1; and </w:t>
            </w:r>
          </w:p>
          <w:p w14:paraId="4C10F9BA"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is configured as N1</w:t>
            </w:r>
          </w:p>
          <w:p w14:paraId="42492C3D"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node-B</w:t>
            </w:r>
            <w:proofErr w:type="gramEnd"/>
            <w:r w:rsidRPr="0029366E">
              <w:rPr>
                <w:rFonts w:ascii="Calibri" w:hAnsi="Calibri"/>
                <w:bCs/>
                <w:sz w:val="22"/>
                <w:szCs w:val="22"/>
              </w:rPr>
              <w:t xml:space="preserve">: </w:t>
            </w:r>
          </w:p>
          <w:p w14:paraId="0C32E792"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u2; and </w:t>
            </w:r>
          </w:p>
          <w:p w14:paraId="17EA837D"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xml:space="preserve">” is configured as N2. </w:t>
            </w:r>
          </w:p>
          <w:p w14:paraId="1AC315C6" w14:textId="77777777" w:rsidR="0029366E" w:rsidRPr="0029366E" w:rsidRDefault="0029366E" w:rsidP="0029366E">
            <w:pPr>
              <w:rPr>
                <w:rFonts w:ascii="Calibri" w:hAnsi="Calibri"/>
                <w:bCs/>
                <w:sz w:val="22"/>
                <w:szCs w:val="22"/>
              </w:rPr>
            </w:pPr>
            <w:r w:rsidRPr="0029366E">
              <w:rPr>
                <w:rFonts w:ascii="Calibri" w:hAnsi="Calibri"/>
                <w:bCs/>
                <w:sz w:val="22"/>
                <w:szCs w:val="22"/>
              </w:rPr>
              <w:t>By setting proper (u</w:t>
            </w:r>
            <w:proofErr w:type="gramStart"/>
            <w:r w:rsidRPr="0029366E">
              <w:rPr>
                <w:rFonts w:ascii="Calibri" w:hAnsi="Calibri"/>
                <w:bCs/>
                <w:sz w:val="22"/>
                <w:szCs w:val="22"/>
              </w:rPr>
              <w:t>1,N</w:t>
            </w:r>
            <w:proofErr w:type="gramEnd"/>
            <w:r w:rsidRPr="0029366E">
              <w:rPr>
                <w:rFonts w:ascii="Calibri" w:hAnsi="Calibri"/>
                <w:bCs/>
                <w:sz w:val="22"/>
                <w:szCs w:val="22"/>
              </w:rPr>
              <w:t xml:space="preserve">1) for IAB node-A and (u2, N2) for IAB node-B, the two nodes can have the same time length for the availability indications coming from the same DCI 2_5. </w:t>
            </w:r>
          </w:p>
          <w:p w14:paraId="49270BB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Therefore, u1=u2 is not necessarily required. It should be noted even DCI 2_0 does not have such requirement. </w:t>
            </w:r>
          </w:p>
        </w:tc>
      </w:tr>
      <w:tr w:rsidR="00875EE0" w:rsidRPr="0029366E" w14:paraId="79B280AB" w14:textId="77777777" w:rsidTr="0029366E">
        <w:tc>
          <w:tcPr>
            <w:tcW w:w="1255" w:type="dxa"/>
          </w:tcPr>
          <w:p w14:paraId="49155FDC" w14:textId="72C49448" w:rsidR="00875EE0" w:rsidRPr="0029366E" w:rsidRDefault="00875EE0" w:rsidP="0029366E">
            <w:pPr>
              <w:rPr>
                <w:rFonts w:ascii="Calibri" w:hAnsi="Calibri"/>
                <w:bCs/>
                <w:sz w:val="22"/>
                <w:szCs w:val="22"/>
              </w:rPr>
            </w:pPr>
            <w:r>
              <w:rPr>
                <w:rFonts w:ascii="Calibri" w:hAnsi="Calibri"/>
                <w:bCs/>
                <w:sz w:val="22"/>
                <w:szCs w:val="22"/>
              </w:rPr>
              <w:t>Ericsson</w:t>
            </w:r>
          </w:p>
        </w:tc>
        <w:tc>
          <w:tcPr>
            <w:tcW w:w="3150" w:type="dxa"/>
          </w:tcPr>
          <w:p w14:paraId="540B5A74" w14:textId="6E867F71" w:rsidR="00875EE0" w:rsidRPr="0029366E" w:rsidRDefault="00875EE0" w:rsidP="0029366E">
            <w:pPr>
              <w:rPr>
                <w:rFonts w:ascii="Calibri" w:hAnsi="Calibri"/>
                <w:bCs/>
                <w:sz w:val="22"/>
                <w:szCs w:val="22"/>
              </w:rPr>
            </w:pPr>
            <w:r>
              <w:rPr>
                <w:rFonts w:ascii="Calibri" w:hAnsi="Calibri"/>
                <w:bCs/>
                <w:sz w:val="22"/>
                <w:szCs w:val="22"/>
              </w:rPr>
              <w:t>Agree</w:t>
            </w:r>
            <w:r w:rsidR="00DB793A">
              <w:rPr>
                <w:rFonts w:ascii="Calibri" w:hAnsi="Calibri"/>
                <w:bCs/>
                <w:sz w:val="22"/>
                <w:szCs w:val="22"/>
              </w:rPr>
              <w:t xml:space="preserve"> to 1</w:t>
            </w:r>
            <w:r w:rsidR="00DB793A" w:rsidRPr="00DB793A">
              <w:rPr>
                <w:rFonts w:ascii="Calibri" w:hAnsi="Calibri"/>
                <w:bCs/>
                <w:sz w:val="22"/>
                <w:szCs w:val="22"/>
                <w:vertAlign w:val="superscript"/>
              </w:rPr>
              <w:t>st</w:t>
            </w:r>
            <w:r w:rsidR="00DB793A">
              <w:rPr>
                <w:rFonts w:ascii="Calibri" w:hAnsi="Calibri"/>
                <w:bCs/>
                <w:sz w:val="22"/>
                <w:szCs w:val="22"/>
              </w:rPr>
              <w:t xml:space="preserve"> sentence</w:t>
            </w:r>
            <w:r w:rsidR="002A0C0A">
              <w:rPr>
                <w:rFonts w:ascii="Calibri" w:hAnsi="Calibri"/>
                <w:bCs/>
                <w:sz w:val="22"/>
                <w:szCs w:val="22"/>
              </w:rPr>
              <w:t>.</w:t>
            </w:r>
            <w:r w:rsidR="00DE050C">
              <w:rPr>
                <w:rFonts w:ascii="Calibri" w:hAnsi="Calibri"/>
                <w:bCs/>
                <w:sz w:val="22"/>
                <w:szCs w:val="22"/>
              </w:rPr>
              <w:t xml:space="preserve"> Not captured in spec.</w:t>
            </w:r>
          </w:p>
        </w:tc>
        <w:tc>
          <w:tcPr>
            <w:tcW w:w="5665" w:type="dxa"/>
          </w:tcPr>
          <w:p w14:paraId="529A04AF" w14:textId="52C94AB5" w:rsidR="00875EE0" w:rsidRPr="0029366E" w:rsidRDefault="00DE050C" w:rsidP="0029366E">
            <w:pPr>
              <w:rPr>
                <w:rFonts w:ascii="Calibri" w:hAnsi="Calibri"/>
                <w:bCs/>
                <w:sz w:val="22"/>
                <w:szCs w:val="22"/>
              </w:rPr>
            </w:pPr>
            <w:r>
              <w:rPr>
                <w:rFonts w:ascii="Calibri" w:hAnsi="Calibri"/>
                <w:bCs/>
                <w:sz w:val="22"/>
                <w:szCs w:val="22"/>
              </w:rPr>
              <w:t>We agree with LG that this does not need to be captured in the specification</w:t>
            </w:r>
          </w:p>
        </w:tc>
      </w:tr>
      <w:tr w:rsidR="009944AE" w:rsidRPr="0029366E" w14:paraId="599F78A3" w14:textId="77777777" w:rsidTr="0029366E">
        <w:tc>
          <w:tcPr>
            <w:tcW w:w="1255" w:type="dxa"/>
          </w:tcPr>
          <w:p w14:paraId="48790C8B" w14:textId="24EFFC29" w:rsidR="009944AE" w:rsidRDefault="009944AE" w:rsidP="009944AE">
            <w:pPr>
              <w:rPr>
                <w:rFonts w:ascii="Calibri" w:hAnsi="Calibri"/>
                <w:bCs/>
                <w:sz w:val="22"/>
                <w:szCs w:val="22"/>
              </w:rPr>
            </w:pPr>
            <w:r>
              <w:rPr>
                <w:rFonts w:ascii="Calibri" w:hAnsi="Calibri"/>
                <w:bCs/>
                <w:sz w:val="22"/>
                <w:szCs w:val="22"/>
              </w:rPr>
              <w:t>Nokia</w:t>
            </w:r>
          </w:p>
        </w:tc>
        <w:tc>
          <w:tcPr>
            <w:tcW w:w="3150" w:type="dxa"/>
          </w:tcPr>
          <w:p w14:paraId="66E3193E" w14:textId="25A97648" w:rsidR="009944AE" w:rsidRDefault="009944AE" w:rsidP="009944AE">
            <w:pPr>
              <w:rPr>
                <w:rFonts w:ascii="Calibri" w:hAnsi="Calibri"/>
                <w:bCs/>
                <w:sz w:val="22"/>
                <w:szCs w:val="22"/>
              </w:rPr>
            </w:pPr>
            <w:r>
              <w:rPr>
                <w:rFonts w:ascii="Calibri" w:hAnsi="Calibri"/>
                <w:bCs/>
                <w:sz w:val="22"/>
                <w:szCs w:val="22"/>
              </w:rPr>
              <w:t xml:space="preserve">Yes, partially. </w:t>
            </w:r>
          </w:p>
        </w:tc>
        <w:tc>
          <w:tcPr>
            <w:tcW w:w="5665" w:type="dxa"/>
          </w:tcPr>
          <w:p w14:paraId="712B6346" w14:textId="77777777" w:rsidR="009944AE" w:rsidRDefault="009944AE" w:rsidP="009944AE">
            <w:pPr>
              <w:rPr>
                <w:rFonts w:ascii="Calibri" w:hAnsi="Calibri"/>
                <w:bCs/>
                <w:sz w:val="22"/>
                <w:szCs w:val="22"/>
              </w:rPr>
            </w:pPr>
            <w:r>
              <w:rPr>
                <w:rFonts w:ascii="Calibri" w:hAnsi="Calibri"/>
                <w:bCs/>
                <w:sz w:val="22"/>
                <w:szCs w:val="22"/>
              </w:rPr>
              <w:t xml:space="preserve">We are ok with the majority view even though having SCS in the RRC configuration is cleaner which can avoid many other considerations required in other methods. For example, as illustrated by ZTE, careful consideration is needed on which slots that DCI 2_5 can be sent if the IAB DUs have different SCS. </w:t>
            </w:r>
          </w:p>
          <w:p w14:paraId="288C5A55" w14:textId="77777777" w:rsidR="009944AE" w:rsidRDefault="009944AE" w:rsidP="009944AE">
            <w:pPr>
              <w:rPr>
                <w:rFonts w:ascii="Calibri" w:hAnsi="Calibri"/>
                <w:bCs/>
                <w:sz w:val="22"/>
                <w:szCs w:val="22"/>
              </w:rPr>
            </w:pPr>
          </w:p>
          <w:p w14:paraId="5DF5A4AF" w14:textId="77777777" w:rsidR="009944AE" w:rsidRDefault="009944AE" w:rsidP="009944AE">
            <w:pPr>
              <w:rPr>
                <w:rFonts w:ascii="Calibri" w:hAnsi="Calibri"/>
                <w:bCs/>
                <w:sz w:val="22"/>
                <w:szCs w:val="22"/>
              </w:rPr>
            </w:pPr>
            <w:r>
              <w:rPr>
                <w:rFonts w:ascii="Calibri" w:hAnsi="Calibri"/>
                <w:bCs/>
                <w:sz w:val="22"/>
                <w:szCs w:val="22"/>
              </w:rPr>
              <w:t xml:space="preserve">We think as ZTE suggested, it is enough to agree on the first sentence only. </w:t>
            </w:r>
          </w:p>
          <w:p w14:paraId="440C1CE9" w14:textId="77777777" w:rsidR="009944AE" w:rsidRDefault="009944AE" w:rsidP="009944AE">
            <w:pPr>
              <w:rPr>
                <w:rFonts w:ascii="Calibri" w:hAnsi="Calibri"/>
                <w:bCs/>
                <w:sz w:val="22"/>
                <w:szCs w:val="22"/>
              </w:rPr>
            </w:pPr>
          </w:p>
          <w:p w14:paraId="314C5D2E" w14:textId="1088DE5F" w:rsidR="009944AE" w:rsidRDefault="009944AE" w:rsidP="009944AE">
            <w:pPr>
              <w:rPr>
                <w:rFonts w:ascii="Calibri" w:hAnsi="Calibri"/>
                <w:bCs/>
                <w:sz w:val="22"/>
                <w:szCs w:val="22"/>
              </w:rPr>
            </w:pPr>
            <w:r>
              <w:rPr>
                <w:rFonts w:ascii="Calibri" w:hAnsi="Calibri"/>
                <w:bCs/>
                <w:sz w:val="22"/>
                <w:szCs w:val="22"/>
              </w:rPr>
              <w:t xml:space="preserve">As this is a conclusion, we agree that there is no spec impact. </w:t>
            </w:r>
          </w:p>
        </w:tc>
      </w:tr>
    </w:tbl>
    <w:p w14:paraId="71E11C04" w14:textId="77777777" w:rsidR="009C5B9D" w:rsidRPr="009C5B9D" w:rsidRDefault="009C5B9D" w:rsidP="009C5B9D">
      <w:pPr>
        <w:rPr>
          <w:rFonts w:eastAsia="Calibri"/>
        </w:rPr>
      </w:pPr>
    </w:p>
    <w:p w14:paraId="63FCCC3F" w14:textId="77777777" w:rsidR="005606F5" w:rsidRDefault="005606F5">
      <w:pPr>
        <w:rPr>
          <w:rFonts w:ascii="Arial" w:eastAsia="Calibri" w:hAnsi="Arial"/>
          <w:b/>
          <w:i/>
          <w:sz w:val="28"/>
          <w:szCs w:val="20"/>
        </w:rPr>
      </w:pPr>
      <w:r>
        <w:rPr>
          <w:rFonts w:eastAsia="Calibri"/>
        </w:rPr>
        <w:br w:type="page"/>
      </w:r>
    </w:p>
    <w:p w14:paraId="74348465" w14:textId="77777777" w:rsidR="00CA1915" w:rsidRPr="009C5B9D" w:rsidRDefault="009C5B9D" w:rsidP="009C5B9D">
      <w:pPr>
        <w:pStyle w:val="Heading2"/>
        <w:rPr>
          <w:rFonts w:eastAsia="Calibri"/>
        </w:rPr>
      </w:pPr>
      <w:r>
        <w:rPr>
          <w:rFonts w:eastAsia="Calibri"/>
        </w:rPr>
        <w:lastRenderedPageBreak/>
        <w:t xml:space="preserve">Issue 2: </w:t>
      </w:r>
      <w:proofErr w:type="spellStart"/>
      <w:r w:rsidR="00CA1915" w:rsidRPr="009C5B9D">
        <w:rPr>
          <w:rFonts w:eastAsia="Calibri"/>
        </w:rPr>
        <w:t>p</w:t>
      </w:r>
      <w:r w:rsidR="00CA1915" w:rsidRPr="009C5B9D">
        <w:rPr>
          <w:rFonts w:eastAsia="Calibri" w:hint="eastAsia"/>
        </w:rPr>
        <w:t>ositionInDCI</w:t>
      </w:r>
      <w:proofErr w:type="spellEnd"/>
      <w:r w:rsidR="00CA1915" w:rsidRPr="009C5B9D">
        <w:rPr>
          <w:rFonts w:eastAsia="Calibri" w:hint="eastAsia"/>
        </w:rPr>
        <w:t>-AI/dci-</w:t>
      </w:r>
      <w:proofErr w:type="spellStart"/>
      <w:r w:rsidR="00CA1915" w:rsidRPr="009C5B9D">
        <w:rPr>
          <w:rFonts w:eastAsia="Calibri" w:hint="eastAsia"/>
        </w:rPr>
        <w:t>PayloadSize</w:t>
      </w:r>
      <w:proofErr w:type="spellEnd"/>
      <w:r w:rsidR="00CA1915" w:rsidRPr="009C5B9D">
        <w:rPr>
          <w:rFonts w:eastAsia="Calibri" w:hint="eastAsia"/>
        </w:rPr>
        <w:t>-AI used for U</w:t>
      </w:r>
      <w:r w:rsidR="00CA1915" w:rsidRPr="009C5B9D">
        <w:rPr>
          <w:rFonts w:eastAsia="Calibri"/>
        </w:rPr>
        <w:t>SS (R1-2004133)</w:t>
      </w:r>
    </w:p>
    <w:p w14:paraId="1DC80C08"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proofErr w:type="spellStart"/>
      <w:r w:rsidRPr="00035D9D">
        <w:rPr>
          <w:rFonts w:asciiTheme="minorHAnsi" w:eastAsiaTheme="minorEastAsia" w:hAnsiTheme="minorHAnsi" w:cstheme="minorHAnsi"/>
          <w:i/>
          <w:iCs/>
          <w:sz w:val="22"/>
          <w:szCs w:val="22"/>
          <w:lang w:eastAsia="zh-CN"/>
        </w:rPr>
        <w:t>positionInDCI</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w:t>
      </w:r>
      <w:proofErr w:type="spellStart"/>
      <w:r w:rsidRPr="00035D9D">
        <w:rPr>
          <w:rFonts w:asciiTheme="minorHAnsi" w:eastAsiaTheme="minorEastAsia" w:hAnsiTheme="minorHAnsi" w:cstheme="minorHAnsi"/>
          <w:i/>
          <w:iCs/>
          <w:sz w:val="22"/>
          <w:szCs w:val="22"/>
          <w:lang w:eastAsia="zh-CN"/>
        </w:rPr>
        <w:t>PayloadSize</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1E8253C5"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In addition to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-AI used for CSS, introduce new RRC parameters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-AI-MSS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 xml:space="preserve">-AI-MSS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08D45D46" w14:textId="77777777" w:rsidR="00035D9D" w:rsidRDefault="00035D9D" w:rsidP="00530DB5">
      <w:pPr>
        <w:rPr>
          <w:rFonts w:asciiTheme="minorHAnsi" w:eastAsiaTheme="minorEastAsia" w:hAnsiTheme="minorHAnsi" w:cstheme="minorHAnsi"/>
          <w:sz w:val="22"/>
          <w:szCs w:val="22"/>
          <w:lang w:eastAsia="zh-CN"/>
        </w:rPr>
      </w:pPr>
    </w:p>
    <w:p w14:paraId="560AFC74" w14:textId="77777777" w:rsidR="00035D9D" w:rsidRDefault="00035D9D" w:rsidP="00035D9D">
      <w:pPr>
        <w:jc w:val="center"/>
      </w:pPr>
      <w:r w:rsidRPr="009D2F49">
        <w:rPr>
          <w:noProof/>
          <w:lang w:eastAsia="zh-CN"/>
        </w:rPr>
        <w:drawing>
          <wp:inline distT="0" distB="0" distL="0" distR="0" wp14:anchorId="708E9100" wp14:editId="285DAE7A">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7E83C68D"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20651C51" w14:textId="77777777" w:rsidR="009C5B9D" w:rsidRDefault="009C5B9D" w:rsidP="009C5B9D"/>
    <w:p w14:paraId="61FC0419"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035D9D" w:rsidRPr="008040F5" w14:paraId="66AB1431" w14:textId="77777777" w:rsidTr="00154BBA">
        <w:tc>
          <w:tcPr>
            <w:tcW w:w="1255" w:type="dxa"/>
          </w:tcPr>
          <w:p w14:paraId="1C362786"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496FD7E"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 xml:space="preserve">CSS and USS </w:t>
            </w:r>
            <w:proofErr w:type="gramStart"/>
            <w:r w:rsidR="005A2002">
              <w:rPr>
                <w:rFonts w:ascii="Calibri" w:eastAsia="Calibri" w:hAnsi="Calibri"/>
                <w:b/>
                <w:bCs/>
                <w:sz w:val="22"/>
                <w:szCs w:val="22"/>
              </w:rPr>
              <w:t>is(</w:t>
            </w:r>
            <w:proofErr w:type="gramEnd"/>
            <w:r w:rsidR="005A2002">
              <w:rPr>
                <w:rFonts w:ascii="Calibri" w:eastAsia="Calibri" w:hAnsi="Calibri"/>
                <w:b/>
                <w:bCs/>
                <w:sz w:val="22"/>
                <w:szCs w:val="22"/>
              </w:rPr>
              <w:t>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0F87C55C"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21CEAF14" w14:textId="77777777" w:rsidTr="00154BBA">
        <w:tc>
          <w:tcPr>
            <w:tcW w:w="1255" w:type="dxa"/>
          </w:tcPr>
          <w:p w14:paraId="4C32775D"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471A0346"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BFC8220"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3118DC78"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w:t>
            </w:r>
            <w:proofErr w:type="gramStart"/>
            <w:r w:rsidRPr="00FC497C">
              <w:rPr>
                <w:rFonts w:ascii="Calibri" w:eastAsia="Calibri" w:hAnsi="Calibri"/>
                <w:bCs/>
                <w:sz w:val="22"/>
                <w:szCs w:val="22"/>
              </w:rPr>
              <w:t>an</w:t>
            </w:r>
            <w:proofErr w:type="gramEnd"/>
            <w:r w:rsidRPr="00FC497C">
              <w:rPr>
                <w:rFonts w:ascii="Calibri" w:eastAsia="Calibri" w:hAnsi="Calibri"/>
                <w:bCs/>
                <w:sz w:val="22"/>
                <w:szCs w:val="22"/>
              </w:rPr>
              <w:t xml:space="preserve"> LS or a note in higher layer signaling spreadsheet. </w:t>
            </w:r>
          </w:p>
        </w:tc>
      </w:tr>
      <w:tr w:rsidR="00F25039" w:rsidRPr="008040F5" w14:paraId="7C993153" w14:textId="77777777" w:rsidTr="00154BBA">
        <w:tc>
          <w:tcPr>
            <w:tcW w:w="1255" w:type="dxa"/>
          </w:tcPr>
          <w:p w14:paraId="111F50A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796708C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00C9F918"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5F65C5FD" w14:textId="77777777" w:rsid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proofErr w:type="spellStart"/>
            <w:r w:rsidRPr="00C4723E">
              <w:rPr>
                <w:rFonts w:asciiTheme="minorHAnsi" w:eastAsiaTheme="minorEastAsia" w:hAnsiTheme="minorHAnsi" w:cstheme="minorHAnsi"/>
                <w:i/>
                <w:iCs/>
                <w:sz w:val="22"/>
                <w:szCs w:val="22"/>
                <w:lang w:eastAsia="zh-CN"/>
              </w:rPr>
              <w:t>iabDuCellId</w:t>
            </w:r>
            <w:proofErr w:type="spellEnd"/>
            <w:r w:rsidRPr="00C4723E">
              <w:rPr>
                <w:rFonts w:asciiTheme="minorHAnsi" w:eastAsiaTheme="minorEastAsia" w:hAnsiTheme="minorHAnsi" w:cstheme="minorHAnsi"/>
                <w:i/>
                <w:iCs/>
                <w:sz w:val="22"/>
                <w:szCs w:val="22"/>
                <w:lang w:eastAsia="zh-CN"/>
              </w:rPr>
              <w:t>-AI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 xml:space="preserve">-AI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C4723E">
              <w:rPr>
                <w:rFonts w:asciiTheme="minorHAnsi" w:eastAsiaTheme="minorEastAsia" w:hAnsiTheme="minorHAnsi" w:cstheme="minorHAnsi"/>
                <w:sz w:val="22"/>
                <w:szCs w:val="22"/>
                <w:lang w:eastAsia="zh-CN"/>
              </w:rPr>
              <w:t>MTs.</w:t>
            </w:r>
            <w:proofErr w:type="spellEnd"/>
            <w:r w:rsidRPr="00C4723E">
              <w:rPr>
                <w:rFonts w:asciiTheme="minorHAnsi" w:eastAsiaTheme="minorEastAsia" w:hAnsiTheme="minorHAnsi" w:cstheme="minorHAnsi"/>
                <w:sz w:val="22"/>
                <w:szCs w:val="22"/>
                <w:lang w:eastAsia="zh-CN"/>
              </w:rPr>
              <w:t xml:space="preserve"> </w:t>
            </w:r>
          </w:p>
          <w:p w14:paraId="5E69648F" w14:textId="77777777" w:rsidR="00C4723E" w:rsidRDefault="00C4723E" w:rsidP="00C4723E">
            <w:pPr>
              <w:pStyle w:val="ListParagraph"/>
              <w:rPr>
                <w:rFonts w:asciiTheme="minorHAnsi" w:eastAsiaTheme="minorEastAsia" w:hAnsiTheme="minorHAnsi" w:cstheme="minorHAnsi"/>
                <w:sz w:val="22"/>
                <w:szCs w:val="22"/>
                <w:lang w:eastAsia="zh-CN"/>
              </w:rPr>
            </w:pPr>
          </w:p>
          <w:p w14:paraId="0C43AB9A" w14:textId="77777777" w:rsidR="00C4723E" w:rsidRP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sidRPr="00C4723E">
              <w:rPr>
                <w:rFonts w:asciiTheme="minorHAnsi" w:eastAsiaTheme="minorEastAsia" w:hAnsiTheme="minorHAnsi" w:cstheme="minorHAnsi"/>
                <w:sz w:val="22"/>
                <w:szCs w:val="22"/>
                <w:lang w:eastAsia="zh-CN"/>
              </w:rPr>
              <w:t>So</w:t>
            </w:r>
            <w:proofErr w:type="gramEnd"/>
            <w:r w:rsidRPr="00C4723E">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53629EC2" w14:textId="77777777" w:rsidR="009944AE" w:rsidRDefault="009944AE" w:rsidP="009944AE">
            <w:pPr>
              <w:pStyle w:val="ListParagraph"/>
              <w:rPr>
                <w:rFonts w:ascii="Calibri" w:eastAsia="Calibri" w:hAnsi="Calibri"/>
                <w:bCs/>
                <w:sz w:val="22"/>
                <w:szCs w:val="22"/>
              </w:rPr>
            </w:pPr>
          </w:p>
          <w:p w14:paraId="1B1AEAC5" w14:textId="77777777" w:rsidR="00C4723E" w:rsidRDefault="00C4723E" w:rsidP="00C4723E">
            <w:pPr>
              <w:rPr>
                <w:rFonts w:ascii="Calibri" w:eastAsia="Calibri" w:hAnsi="Calibri"/>
                <w:bCs/>
                <w:sz w:val="22"/>
                <w:szCs w:val="22"/>
              </w:rPr>
            </w:pPr>
          </w:p>
          <w:p w14:paraId="72AD4767" w14:textId="77777777"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w:t>
            </w:r>
            <w:proofErr w:type="spellStart"/>
            <w:r w:rsidRPr="00C4723E">
              <w:rPr>
                <w:rFonts w:asciiTheme="minorHAnsi" w:eastAsiaTheme="minorEastAsia" w:hAnsiTheme="minorHAnsi" w:cstheme="minorHAnsi"/>
                <w:i/>
                <w:iCs/>
                <w:sz w:val="22"/>
                <w:szCs w:val="22"/>
                <w:lang w:eastAsia="zh-CN"/>
              </w:rPr>
              <w:t>PayloadSize</w:t>
            </w:r>
            <w:proofErr w:type="spellEnd"/>
            <w:r w:rsidRPr="00C4723E">
              <w:rPr>
                <w:rFonts w:asciiTheme="minorHAnsi" w:eastAsiaTheme="minorEastAsia" w:hAnsiTheme="minorHAnsi" w:cstheme="minorHAnsi"/>
                <w:i/>
                <w:iCs/>
                <w:sz w:val="22"/>
                <w:szCs w:val="22"/>
                <w:lang w:eastAsia="zh-CN"/>
              </w:rPr>
              <w:t>-AI</w:t>
            </w:r>
            <w:r w:rsidRPr="005A2002">
              <w:rPr>
                <w:rFonts w:asciiTheme="minorHAnsi" w:eastAsiaTheme="minorEastAsia" w:hAnsiTheme="minorHAnsi" w:cstheme="minorHAnsi"/>
                <w:sz w:val="22"/>
                <w:szCs w:val="22"/>
                <w:lang w:eastAsia="zh-CN"/>
              </w:rPr>
              <w:t xml:space="preserve"> and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470D8BD8" w14:textId="77777777" w:rsidTr="00154BBA">
        <w:tc>
          <w:tcPr>
            <w:tcW w:w="1255" w:type="dxa"/>
          </w:tcPr>
          <w:p w14:paraId="1C06478C" w14:textId="77777777" w:rsidR="00342D61" w:rsidRDefault="00342D61"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37F38C38" w14:textId="77777777"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5570954" w14:textId="77777777"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F4DC870" w14:textId="77777777" w:rsidTr="00154BBA">
        <w:tc>
          <w:tcPr>
            <w:tcW w:w="1255" w:type="dxa"/>
          </w:tcPr>
          <w:p w14:paraId="6DBABD6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150" w:type="dxa"/>
          </w:tcPr>
          <w:p w14:paraId="2FFFF8E6"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09FC4E2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4FAE9190" w14:textId="77777777" w:rsidTr="00154BBA">
        <w:tc>
          <w:tcPr>
            <w:tcW w:w="1255" w:type="dxa"/>
          </w:tcPr>
          <w:p w14:paraId="560F4DF9"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42F28C5"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403BC2D7"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172AD608" w14:textId="77777777" w:rsidTr="00800F98">
        <w:tc>
          <w:tcPr>
            <w:tcW w:w="1255" w:type="dxa"/>
          </w:tcPr>
          <w:p w14:paraId="77132AE2"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35611DAF"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69BC8688" w14:textId="77777777" w:rsidR="00BF272C" w:rsidRDefault="00800F98" w:rsidP="00BF272C">
            <w:pPr>
              <w:rPr>
                <w:rFonts w:asciiTheme="minorHAnsi" w:eastAsiaTheme="minorEastAsia" w:hAnsiTheme="minorHAnsi" w:cstheme="minorHAnsi"/>
                <w:iCs/>
                <w:sz w:val="22"/>
                <w:szCs w:val="22"/>
                <w:lang w:eastAsia="zh-CN"/>
              </w:rPr>
            </w:pPr>
            <w:r>
              <w:rPr>
                <w:rFonts w:ascii="Calibri" w:eastAsia="Malgun Gothic" w:hAnsi="Calibri"/>
                <w:bCs/>
                <w:sz w:val="22"/>
                <w:szCs w:val="22"/>
                <w:lang w:eastAsia="ko-KR"/>
              </w:rPr>
              <w:t>As we expressed in the preparation phase, a</w:t>
            </w:r>
            <w:r>
              <w:rPr>
                <w:rFonts w:ascii="Calibri" w:eastAsia="Malgun Gothic" w:hAnsi="Calibri" w:hint="eastAsia"/>
                <w:bCs/>
                <w:sz w:val="22"/>
                <w:szCs w:val="22"/>
                <w:lang w:eastAsia="ko-KR"/>
              </w:rPr>
              <w:t xml:space="preserve">ccording to current </w:t>
            </w:r>
            <w:r>
              <w:rPr>
                <w:rFonts w:ascii="Calibri" w:eastAsia="Malgun Gothic" w:hAnsi="Calibri"/>
                <w:bCs/>
                <w:sz w:val="22"/>
                <w:szCs w:val="22"/>
                <w:lang w:eastAsia="ko-KR"/>
              </w:rPr>
              <w:t>specification</w:t>
            </w:r>
            <w:r>
              <w:rPr>
                <w:rFonts w:ascii="Calibri" w:eastAsia="Malgun Gothic" w:hAnsi="Calibri" w:hint="eastAsia"/>
                <w:bCs/>
                <w:sz w:val="22"/>
                <w:szCs w:val="22"/>
                <w:lang w:eastAsia="ko-KR"/>
              </w:rPr>
              <w:t>,</w:t>
            </w:r>
            <w:r w:rsidRPr="00526B2C">
              <w:rPr>
                <w:rFonts w:asciiTheme="minorHAnsi" w:eastAsia="Malgun Gothic" w:hAnsiTheme="minorHAnsi" w:cstheme="minorHAnsi"/>
                <w:sz w:val="22"/>
                <w:szCs w:val="22"/>
                <w:lang w:eastAsia="ko-KR"/>
              </w:rPr>
              <w:t xml:space="preserve">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proofErr w:type="spellStart"/>
            <w:r w:rsidR="00A84F46" w:rsidRPr="00526B2C">
              <w:rPr>
                <w:rFonts w:asciiTheme="minorHAnsi" w:eastAsiaTheme="minorEastAsia" w:hAnsiTheme="minorHAnsi" w:cstheme="minorHAnsi"/>
                <w:i/>
                <w:iCs/>
                <w:sz w:val="22"/>
                <w:szCs w:val="22"/>
                <w:lang w:eastAsia="zh-CN"/>
              </w:rPr>
              <w:t>positionInDCI</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Malgun Gothic" w:eastAsia="Malgun Gothic" w:hAnsi="Malgun Gothic"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w:t>
            </w:r>
            <w:proofErr w:type="spellStart"/>
            <w:r w:rsidR="00A84F46">
              <w:rPr>
                <w:rFonts w:asciiTheme="minorHAnsi" w:eastAsiaTheme="minorEastAsia" w:hAnsiTheme="minorHAnsi" w:cstheme="minorHAnsi"/>
                <w:i/>
                <w:iCs/>
                <w:sz w:val="22"/>
                <w:szCs w:val="22"/>
                <w:lang w:eastAsia="zh-CN"/>
              </w:rPr>
              <w:t>PayloadSize</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008205F2" w14:textId="77777777" w:rsidR="00BF272C" w:rsidRPr="00800F98" w:rsidRDefault="00BF272C" w:rsidP="00C60544">
            <w:pPr>
              <w:rPr>
                <w:rFonts w:ascii="Calibri" w:eastAsia="Malgun Gothic"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34F52FCC" w14:textId="77777777" w:rsidTr="00800F98">
        <w:tc>
          <w:tcPr>
            <w:tcW w:w="1255" w:type="dxa"/>
          </w:tcPr>
          <w:p w14:paraId="61619E76"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150" w:type="dxa"/>
          </w:tcPr>
          <w:p w14:paraId="79090AFD"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665" w:type="dxa"/>
          </w:tcPr>
          <w:p w14:paraId="6AF786A4" w14:textId="77777777" w:rsidR="002531D5" w:rsidRDefault="000525F4" w:rsidP="0047661B">
            <w:pPr>
              <w:rPr>
                <w:rFonts w:ascii="Calibri" w:eastAsia="Malgun Gothic" w:hAnsi="Calibri"/>
                <w:bCs/>
                <w:sz w:val="22"/>
                <w:szCs w:val="22"/>
                <w:lang w:eastAsia="ko-KR"/>
              </w:rPr>
            </w:pPr>
            <w:r>
              <w:rPr>
                <w:rFonts w:ascii="Calibri" w:eastAsia="Malgun Gothic" w:hAnsi="Calibri"/>
                <w:bCs/>
                <w:sz w:val="22"/>
                <w:szCs w:val="22"/>
                <w:lang w:eastAsia="ko-KR"/>
              </w:rPr>
              <w:t xml:space="preserve">Share a similar view with ZTE and </w:t>
            </w:r>
            <w:r w:rsidR="0047661B">
              <w:rPr>
                <w:rFonts w:ascii="Calibri" w:eastAsia="Malgun Gothic" w:hAnsi="Calibri"/>
                <w:bCs/>
                <w:sz w:val="22"/>
                <w:szCs w:val="22"/>
                <w:lang w:eastAsia="ko-KR"/>
              </w:rPr>
              <w:t>Intel. But, OK with having RAN1 conclusion as LG suggested.</w:t>
            </w:r>
          </w:p>
        </w:tc>
      </w:tr>
      <w:tr w:rsidR="006706A0" w14:paraId="3388E2A0" w14:textId="77777777" w:rsidTr="00800F98">
        <w:tc>
          <w:tcPr>
            <w:tcW w:w="1255" w:type="dxa"/>
          </w:tcPr>
          <w:p w14:paraId="3D378671"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Ericsson</w:t>
            </w:r>
          </w:p>
        </w:tc>
        <w:tc>
          <w:tcPr>
            <w:tcW w:w="3150" w:type="dxa"/>
          </w:tcPr>
          <w:p w14:paraId="162D7505"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5665" w:type="dxa"/>
          </w:tcPr>
          <w:p w14:paraId="68EEFDBB" w14:textId="77777777" w:rsidR="006706A0" w:rsidRDefault="006706A0" w:rsidP="006706A0">
            <w:pPr>
              <w:rPr>
                <w:rFonts w:ascii="Calibri" w:eastAsia="Malgun Gothic" w:hAnsi="Calibri"/>
                <w:bCs/>
                <w:sz w:val="22"/>
                <w:szCs w:val="22"/>
                <w:lang w:eastAsia="ko-KR"/>
              </w:rPr>
            </w:pPr>
            <w:r>
              <w:rPr>
                <w:rFonts w:ascii="Calibri" w:eastAsia="Malgun Gothic" w:hAnsi="Calibri"/>
                <w:bCs/>
                <w:sz w:val="22"/>
                <w:szCs w:val="22"/>
                <w:lang w:eastAsia="ko-KR"/>
              </w:rPr>
              <w:t>We agree with ZTE that the need to support simultaneous monitoring of DCI 2_5 in both CSS and USS is not motivated.</w:t>
            </w:r>
          </w:p>
        </w:tc>
      </w:tr>
    </w:tbl>
    <w:p w14:paraId="256AD8FC" w14:textId="77777777" w:rsidR="00035D9D" w:rsidRDefault="00035D9D" w:rsidP="009C5B9D"/>
    <w:p w14:paraId="0F13129E" w14:textId="77777777" w:rsidR="00AA3088" w:rsidRDefault="00AA3088" w:rsidP="009C5B9D">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2.2</w:t>
      </w:r>
      <w:r w:rsidR="005606F5" w:rsidRPr="005606F5">
        <w:rPr>
          <w:rFonts w:asciiTheme="minorHAnsi" w:eastAsiaTheme="minorEastAsia" w:hAnsiTheme="minorHAnsi" w:cstheme="minorHAnsi"/>
          <w:b/>
          <w:bCs/>
          <w:iCs/>
          <w:sz w:val="22"/>
          <w:szCs w:val="22"/>
          <w:highlight w:val="yellow"/>
          <w:lang w:eastAsia="zh-CN"/>
        </w:rPr>
        <w:t>.1</w:t>
      </w:r>
      <w:r w:rsidRPr="00AA3088">
        <w:rPr>
          <w:rFonts w:asciiTheme="minorHAnsi" w:eastAsiaTheme="minorEastAsia" w:hAnsiTheme="minorHAnsi" w:cstheme="minorHAnsi"/>
          <w:b/>
          <w:bCs/>
          <w:iCs/>
          <w:sz w:val="22"/>
          <w:szCs w:val="22"/>
          <w:lang w:eastAsia="zh-CN"/>
        </w:rPr>
        <w:t xml:space="preserve">: In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69BDED6B" w14:textId="77777777" w:rsidR="00AA3088" w:rsidRDefault="00AA3088" w:rsidP="009C5B9D">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AA3088" w:rsidRPr="00EF0778" w14:paraId="0B3DCA1F" w14:textId="77777777" w:rsidTr="00B162C1">
        <w:tc>
          <w:tcPr>
            <w:tcW w:w="1255" w:type="dxa"/>
          </w:tcPr>
          <w:p w14:paraId="364A20A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54D36708" w14:textId="77777777"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4D2478DE"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30DF006D" w14:textId="77777777" w:rsidTr="0096646A">
        <w:tc>
          <w:tcPr>
            <w:tcW w:w="1255" w:type="dxa"/>
          </w:tcPr>
          <w:p w14:paraId="5C7FC932"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2D567D60" w14:textId="77777777" w:rsidR="0096646A" w:rsidRPr="0096646A" w:rsidRDefault="0096646A" w:rsidP="0096646A">
            <w:pPr>
              <w:rPr>
                <w:rFonts w:ascii="Calibri" w:eastAsia="Malgun Gothic" w:hAnsi="Calibri"/>
                <w:bCs/>
                <w:sz w:val="22"/>
                <w:szCs w:val="22"/>
                <w:lang w:eastAsia="ko-KR"/>
              </w:rPr>
            </w:pPr>
            <w:proofErr w:type="gramStart"/>
            <w:r>
              <w:rPr>
                <w:rFonts w:ascii="Calibri" w:eastAsia="Malgun Gothic" w:hAnsi="Calibri"/>
                <w:bCs/>
                <w:sz w:val="22"/>
                <w:szCs w:val="22"/>
                <w:lang w:eastAsia="ko-KR"/>
              </w:rPr>
              <w:t xml:space="preserve">Yes </w:t>
            </w:r>
            <w:r w:rsidRPr="0096646A">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to</w:t>
            </w:r>
            <w:proofErr w:type="gramEnd"/>
            <w:r>
              <w:rPr>
                <w:rFonts w:ascii="Calibri" w:eastAsia="Malgun Gothic" w:hAnsi="Calibri"/>
                <w:bCs/>
                <w:sz w:val="22"/>
                <w:szCs w:val="22"/>
                <w:lang w:eastAsia="ko-KR"/>
              </w:rPr>
              <w:t xml:space="preserve"> first one, and No to second one</w:t>
            </w:r>
          </w:p>
        </w:tc>
        <w:tc>
          <w:tcPr>
            <w:tcW w:w="5665" w:type="dxa"/>
          </w:tcPr>
          <w:p w14:paraId="6A14892A" w14:textId="77777777" w:rsidR="0096646A" w:rsidRPr="0096646A" w:rsidRDefault="0096646A" w:rsidP="008E0F66">
            <w:pPr>
              <w:rPr>
                <w:rFonts w:ascii="Calibri" w:eastAsia="Malgun Gothic" w:hAnsi="Calibri"/>
                <w:bCs/>
                <w:sz w:val="22"/>
                <w:szCs w:val="22"/>
                <w:lang w:eastAsia="ko-KR"/>
              </w:rPr>
            </w:pPr>
            <w:r>
              <w:rPr>
                <w:rFonts w:asciiTheme="minorHAnsi" w:eastAsia="Malgun Gothic" w:hAnsiTheme="minorHAnsi" w:cstheme="minorHAnsi"/>
                <w:bCs/>
                <w:iCs/>
                <w:sz w:val="22"/>
                <w:szCs w:val="22"/>
                <w:lang w:eastAsia="ko-KR"/>
              </w:rPr>
              <w:t>As we expressed previous discussion, we could accept the FL’s conclusion</w:t>
            </w:r>
            <w:r w:rsidRPr="0096646A">
              <w:rPr>
                <w:rFonts w:asciiTheme="minorHAnsi" w:eastAsia="Malgun Gothic" w:hAnsiTheme="minorHAnsi" w:cstheme="minorHAnsi"/>
                <w:bCs/>
                <w:iCs/>
                <w:sz w:val="22"/>
                <w:szCs w:val="22"/>
                <w:lang w:eastAsia="ko-KR"/>
              </w:rPr>
              <w:t xml:space="preserve"> </w:t>
            </w:r>
            <w:r>
              <w:rPr>
                <w:rFonts w:asciiTheme="minorHAnsi" w:eastAsia="Malgun Gothic" w:hAnsiTheme="minorHAnsi" w:cstheme="minorHAnsi"/>
                <w:bCs/>
                <w:iCs/>
                <w:sz w:val="22"/>
                <w:szCs w:val="22"/>
                <w:lang w:eastAsia="ko-KR"/>
              </w:rPr>
              <w:t>since majority companies does not</w:t>
            </w:r>
            <w:r w:rsidR="008E0F66">
              <w:rPr>
                <w:rFonts w:asciiTheme="minorHAnsi" w:eastAsia="Malgun Gothic" w:hAnsiTheme="minorHAnsi" w:cstheme="minorHAnsi"/>
                <w:bCs/>
                <w:iCs/>
                <w:sz w:val="22"/>
                <w:szCs w:val="22"/>
                <w:lang w:eastAsia="ko-KR"/>
              </w:rPr>
              <w:t xml:space="preserve"> want to</w:t>
            </w:r>
            <w:r>
              <w:rPr>
                <w:rFonts w:asciiTheme="minorHAnsi" w:eastAsia="Malgun Gothic" w:hAnsiTheme="minorHAnsi" w:cstheme="minorHAnsi"/>
                <w:bCs/>
                <w:iCs/>
                <w:sz w:val="22"/>
                <w:szCs w:val="22"/>
                <w:lang w:eastAsia="ko-KR"/>
              </w:rPr>
              <w:t xml:space="preserve"> optimize the configuration of DCI format 2_5 according to </w:t>
            </w:r>
            <w:r w:rsidR="008E0F66">
              <w:rPr>
                <w:rFonts w:asciiTheme="minorHAnsi" w:eastAsia="Malgun Gothic" w:hAnsiTheme="minorHAnsi" w:cstheme="minorHAnsi"/>
                <w:bCs/>
                <w:iCs/>
                <w:sz w:val="22"/>
                <w:szCs w:val="22"/>
                <w:lang w:eastAsia="ko-KR"/>
              </w:rPr>
              <w:t xml:space="preserve">monitoring search space. So, we think making some conclusion is enough, and capturing in the spec is not needed. </w:t>
            </w:r>
          </w:p>
        </w:tc>
      </w:tr>
      <w:tr w:rsidR="0029366E" w:rsidRPr="005D3327" w14:paraId="155F0FF1" w14:textId="77777777" w:rsidTr="0029366E">
        <w:tc>
          <w:tcPr>
            <w:tcW w:w="1255" w:type="dxa"/>
          </w:tcPr>
          <w:p w14:paraId="76202C3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 xml:space="preserve">ZTE, </w:t>
            </w:r>
            <w:proofErr w:type="spellStart"/>
            <w:r w:rsidRPr="005D3327">
              <w:rPr>
                <w:rFonts w:ascii="Calibri" w:eastAsia="Calibri" w:hAnsi="Calibri"/>
                <w:bCs/>
                <w:sz w:val="22"/>
                <w:szCs w:val="22"/>
              </w:rPr>
              <w:t>Sanechips</w:t>
            </w:r>
            <w:proofErr w:type="spellEnd"/>
          </w:p>
        </w:tc>
        <w:tc>
          <w:tcPr>
            <w:tcW w:w="3150" w:type="dxa"/>
          </w:tcPr>
          <w:p w14:paraId="4B4D12EC"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Agree. Nothing to be additionally specif</w:t>
            </w:r>
            <w:r>
              <w:rPr>
                <w:rFonts w:ascii="Calibri" w:eastAsia="Calibri" w:hAnsi="Calibri"/>
                <w:bCs/>
                <w:sz w:val="22"/>
                <w:szCs w:val="22"/>
              </w:rPr>
              <w:t>ied in either RAN1 or RAN2 spec</w:t>
            </w:r>
            <w:r w:rsidRPr="005D3327">
              <w:rPr>
                <w:rFonts w:ascii="Calibri" w:eastAsia="Calibri" w:hAnsi="Calibri"/>
                <w:bCs/>
                <w:sz w:val="22"/>
                <w:szCs w:val="22"/>
              </w:rPr>
              <w:t xml:space="preserve">. </w:t>
            </w:r>
          </w:p>
        </w:tc>
        <w:tc>
          <w:tcPr>
            <w:tcW w:w="5665" w:type="dxa"/>
          </w:tcPr>
          <w:p w14:paraId="66DBB29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As we mentioned in email thread, the simultaneous monitoring of DCI 2_5 in both CSS and USS based on a single pair of &lt;</w:t>
            </w:r>
            <w:r w:rsidRPr="005D3327">
              <w:rPr>
                <w:rFonts w:asciiTheme="minorHAnsi" w:eastAsiaTheme="minorEastAsia" w:hAnsiTheme="minorHAnsi" w:cstheme="minorHAnsi"/>
                <w:i/>
                <w:iCs/>
                <w:sz w:val="22"/>
                <w:szCs w:val="22"/>
                <w:lang w:eastAsia="zh-CN"/>
              </w:rPr>
              <w:t xml:space="preserve"> </w:t>
            </w:r>
            <w:proofErr w:type="spellStart"/>
            <w:r w:rsidRPr="005D3327">
              <w:rPr>
                <w:rFonts w:asciiTheme="minorHAnsi" w:eastAsiaTheme="minorEastAsia" w:hAnsiTheme="minorHAnsi" w:cstheme="minorHAnsi"/>
                <w:i/>
                <w:iCs/>
                <w:sz w:val="22"/>
                <w:szCs w:val="22"/>
                <w:lang w:eastAsia="zh-CN"/>
              </w:rPr>
              <w:t>PayloadSize</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 </w:t>
            </w:r>
            <w:proofErr w:type="spellStart"/>
            <w:r w:rsidRPr="005D3327">
              <w:rPr>
                <w:rFonts w:asciiTheme="minorHAnsi" w:eastAsiaTheme="minorEastAsia" w:hAnsiTheme="minorHAnsi" w:cstheme="minorHAnsi"/>
                <w:i/>
                <w:iCs/>
                <w:sz w:val="22"/>
                <w:szCs w:val="22"/>
                <w:lang w:eastAsia="zh-CN"/>
              </w:rPr>
              <w:t>positionInDCI</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w:t>
            </w:r>
            <w:r w:rsidRPr="005D3327">
              <w:rPr>
                <w:rFonts w:ascii="Calibri" w:eastAsia="Calibri" w:hAnsi="Calibri"/>
                <w:bCs/>
                <w:sz w:val="22"/>
                <w:szCs w:val="22"/>
              </w:rPr>
              <w:t xml:space="preserve">&gt; is still possible, just resulting with possibly quite an amount of resource waste in one of search space, which usually discourages the network to configure the simultaneous monitoring in both SS. </w:t>
            </w:r>
            <w:r>
              <w:rPr>
                <w:rFonts w:ascii="Calibri" w:eastAsia="Calibri" w:hAnsi="Calibri"/>
                <w:bCs/>
                <w:sz w:val="22"/>
                <w:szCs w:val="22"/>
              </w:rPr>
              <w:t xml:space="preserve"> But it is just a matter of “not optimized”, rather than “not supported”. </w:t>
            </w:r>
          </w:p>
        </w:tc>
      </w:tr>
      <w:tr w:rsidR="00381D28" w:rsidRPr="005D3327" w14:paraId="68B38B58" w14:textId="77777777" w:rsidTr="0029366E">
        <w:tc>
          <w:tcPr>
            <w:tcW w:w="1255" w:type="dxa"/>
          </w:tcPr>
          <w:p w14:paraId="0B0D1D55" w14:textId="5889351C" w:rsidR="00381D28" w:rsidRPr="005D3327" w:rsidRDefault="00381D28" w:rsidP="006042DD">
            <w:pPr>
              <w:rPr>
                <w:rFonts w:ascii="Calibri" w:eastAsia="Calibri" w:hAnsi="Calibri"/>
                <w:bCs/>
                <w:sz w:val="22"/>
                <w:szCs w:val="22"/>
              </w:rPr>
            </w:pPr>
            <w:r>
              <w:rPr>
                <w:rFonts w:ascii="Calibri" w:eastAsia="Calibri" w:hAnsi="Calibri"/>
                <w:bCs/>
                <w:sz w:val="22"/>
                <w:szCs w:val="22"/>
              </w:rPr>
              <w:lastRenderedPageBreak/>
              <w:t>Ericsson</w:t>
            </w:r>
          </w:p>
        </w:tc>
        <w:tc>
          <w:tcPr>
            <w:tcW w:w="3150" w:type="dxa"/>
          </w:tcPr>
          <w:p w14:paraId="112AEC52" w14:textId="33BD28DE" w:rsidR="00381D28" w:rsidRPr="005D3327" w:rsidRDefault="00F60B4C" w:rsidP="006042DD">
            <w:pPr>
              <w:rPr>
                <w:rFonts w:ascii="Calibri" w:eastAsia="Calibri" w:hAnsi="Calibri"/>
                <w:bCs/>
                <w:sz w:val="22"/>
                <w:szCs w:val="22"/>
              </w:rPr>
            </w:pPr>
            <w:r>
              <w:rPr>
                <w:rFonts w:ascii="Calibri" w:eastAsia="Calibri" w:hAnsi="Calibri"/>
                <w:bCs/>
                <w:sz w:val="22"/>
                <w:szCs w:val="22"/>
              </w:rPr>
              <w:t>Agree to conclusion, disagree to capture in spec.</w:t>
            </w:r>
          </w:p>
        </w:tc>
        <w:tc>
          <w:tcPr>
            <w:tcW w:w="5665" w:type="dxa"/>
          </w:tcPr>
          <w:p w14:paraId="36B8C03C" w14:textId="77777777" w:rsidR="00381D28" w:rsidRPr="005D3327" w:rsidRDefault="00381D28" w:rsidP="006042DD">
            <w:pPr>
              <w:rPr>
                <w:rFonts w:ascii="Calibri" w:eastAsia="Calibri" w:hAnsi="Calibri"/>
                <w:bCs/>
                <w:sz w:val="22"/>
                <w:szCs w:val="22"/>
              </w:rPr>
            </w:pPr>
          </w:p>
        </w:tc>
      </w:tr>
      <w:tr w:rsidR="009944AE" w:rsidRPr="005D3327" w14:paraId="5779AE33" w14:textId="77777777" w:rsidTr="0029366E">
        <w:tc>
          <w:tcPr>
            <w:tcW w:w="1255" w:type="dxa"/>
          </w:tcPr>
          <w:p w14:paraId="50A1081A" w14:textId="1FECADC9" w:rsidR="009944AE" w:rsidRDefault="009944AE" w:rsidP="006042DD">
            <w:pPr>
              <w:rPr>
                <w:rFonts w:ascii="Calibri" w:eastAsia="Calibri" w:hAnsi="Calibri"/>
                <w:bCs/>
                <w:sz w:val="22"/>
                <w:szCs w:val="22"/>
              </w:rPr>
            </w:pPr>
            <w:r>
              <w:rPr>
                <w:rFonts w:ascii="Calibri" w:eastAsia="Calibri" w:hAnsi="Calibri"/>
                <w:bCs/>
                <w:sz w:val="22"/>
                <w:szCs w:val="22"/>
              </w:rPr>
              <w:t>Nokia</w:t>
            </w:r>
          </w:p>
        </w:tc>
        <w:tc>
          <w:tcPr>
            <w:tcW w:w="3150" w:type="dxa"/>
          </w:tcPr>
          <w:p w14:paraId="4CC0BA77" w14:textId="39D20A5F" w:rsidR="009944AE" w:rsidRDefault="009944AE" w:rsidP="006042DD">
            <w:pPr>
              <w:rPr>
                <w:rFonts w:ascii="Calibri" w:eastAsia="Calibri" w:hAnsi="Calibri"/>
                <w:bCs/>
                <w:sz w:val="22"/>
                <w:szCs w:val="22"/>
              </w:rPr>
            </w:pPr>
            <w:r>
              <w:rPr>
                <w:rFonts w:ascii="Calibri" w:eastAsia="Calibri" w:hAnsi="Calibri"/>
                <w:bCs/>
                <w:sz w:val="22"/>
                <w:szCs w:val="22"/>
              </w:rPr>
              <w:t xml:space="preserve">Agree, no spec impact. </w:t>
            </w:r>
            <w:bookmarkStart w:id="2" w:name="_GoBack"/>
            <w:bookmarkEnd w:id="2"/>
          </w:p>
        </w:tc>
        <w:tc>
          <w:tcPr>
            <w:tcW w:w="5665" w:type="dxa"/>
          </w:tcPr>
          <w:p w14:paraId="18BE4C16" w14:textId="5E668F6F" w:rsidR="009944AE" w:rsidRPr="005D3327" w:rsidRDefault="009944AE" w:rsidP="006042DD">
            <w:pPr>
              <w:rPr>
                <w:rFonts w:ascii="Calibri" w:eastAsia="Calibri" w:hAnsi="Calibri"/>
                <w:bCs/>
                <w:sz w:val="22"/>
                <w:szCs w:val="22"/>
              </w:rPr>
            </w:pPr>
            <w:r>
              <w:rPr>
                <w:rFonts w:ascii="Calibri" w:eastAsia="Calibri" w:hAnsi="Calibri"/>
                <w:bCs/>
                <w:sz w:val="22"/>
                <w:szCs w:val="22"/>
              </w:rPr>
              <w:t xml:space="preserve">We also do not expect any spec impact on this. </w:t>
            </w:r>
          </w:p>
        </w:tc>
      </w:tr>
    </w:tbl>
    <w:p w14:paraId="7AF35628" w14:textId="77777777" w:rsidR="00AA3088" w:rsidRPr="0096646A" w:rsidRDefault="00AA3088" w:rsidP="009C5B9D">
      <w:pPr>
        <w:rPr>
          <w:rFonts w:asciiTheme="minorHAnsi" w:eastAsiaTheme="minorEastAsia" w:hAnsiTheme="minorHAnsi" w:cstheme="minorHAnsi"/>
          <w:b/>
          <w:bCs/>
          <w:iCs/>
          <w:sz w:val="22"/>
          <w:szCs w:val="22"/>
          <w:lang w:eastAsia="zh-CN"/>
        </w:rPr>
      </w:pPr>
    </w:p>
    <w:p w14:paraId="643D32EB" w14:textId="77777777" w:rsidR="002F634C" w:rsidRPr="00156B89" w:rsidRDefault="002F634C" w:rsidP="002F634C">
      <w:pPr>
        <w:pStyle w:val="Heading1"/>
      </w:pPr>
      <w:r>
        <w:t>Summary</w:t>
      </w:r>
    </w:p>
    <w:p w14:paraId="1AD73AEA"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4DFBD8CE"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20D9" w14:textId="77777777" w:rsidR="007E0DD5" w:rsidRDefault="007E0DD5" w:rsidP="00424124">
      <w:r>
        <w:separator/>
      </w:r>
    </w:p>
  </w:endnote>
  <w:endnote w:type="continuationSeparator" w:id="0">
    <w:p w14:paraId="551B8B29" w14:textId="77777777" w:rsidR="007E0DD5" w:rsidRDefault="007E0DD5" w:rsidP="00424124">
      <w:r>
        <w:continuationSeparator/>
      </w:r>
    </w:p>
  </w:endnote>
  <w:endnote w:type="continuationNotice" w:id="1">
    <w:p w14:paraId="22248E66" w14:textId="77777777" w:rsidR="007E0DD5" w:rsidRDefault="007E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06FAD" w14:textId="77777777" w:rsidR="007E0DD5" w:rsidRDefault="007E0DD5" w:rsidP="00424124">
      <w:r>
        <w:separator/>
      </w:r>
    </w:p>
  </w:footnote>
  <w:footnote w:type="continuationSeparator" w:id="0">
    <w:p w14:paraId="77533E54" w14:textId="77777777" w:rsidR="007E0DD5" w:rsidRDefault="007E0DD5" w:rsidP="00424124">
      <w:r>
        <w:continuationSeparator/>
      </w:r>
    </w:p>
  </w:footnote>
  <w:footnote w:type="continuationNotice" w:id="1">
    <w:p w14:paraId="27804917" w14:textId="77777777" w:rsidR="007E0DD5" w:rsidRDefault="007E0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A632A94"/>
    <w:multiLevelType w:val="hybridMultilevel"/>
    <w:tmpl w:val="730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12"/>
  </w:num>
  <w:num w:numId="6">
    <w:abstractNumId w:val="17"/>
  </w:num>
  <w:num w:numId="7">
    <w:abstractNumId w:val="1"/>
  </w:num>
  <w:num w:numId="8">
    <w:abstractNumId w:val="18"/>
  </w:num>
  <w:num w:numId="9">
    <w:abstractNumId w:val="3"/>
  </w:num>
  <w:num w:numId="10">
    <w:abstractNumId w:val="2"/>
  </w:num>
  <w:num w:numId="11">
    <w:abstractNumId w:val="11"/>
  </w:num>
  <w:num w:numId="12">
    <w:abstractNumId w:val="21"/>
  </w:num>
  <w:num w:numId="13">
    <w:abstractNumId w:val="19"/>
  </w:num>
  <w:num w:numId="14">
    <w:abstractNumId w:val="15"/>
  </w:num>
  <w:num w:numId="15">
    <w:abstractNumId w:val="5"/>
  </w:num>
  <w:num w:numId="16">
    <w:abstractNumId w:val="22"/>
  </w:num>
  <w:num w:numId="17">
    <w:abstractNumId w:val="8"/>
  </w:num>
  <w:num w:numId="18">
    <w:abstractNumId w:val="16"/>
  </w:num>
  <w:num w:numId="19">
    <w:abstractNumId w:val="0"/>
  </w:num>
  <w:num w:numId="20">
    <w:abstractNumId w:val="14"/>
  </w:num>
  <w:num w:numId="21">
    <w:abstractNumId w:val="20"/>
  </w:num>
  <w:num w:numId="22">
    <w:abstractNumId w:val="7"/>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rAUA4X49Dy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2716"/>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6E"/>
    <w:rsid w:val="00293693"/>
    <w:rsid w:val="00295696"/>
    <w:rsid w:val="00295735"/>
    <w:rsid w:val="002962AD"/>
    <w:rsid w:val="00296384"/>
    <w:rsid w:val="0029672E"/>
    <w:rsid w:val="002970D6"/>
    <w:rsid w:val="00297225"/>
    <w:rsid w:val="002A005E"/>
    <w:rsid w:val="002A0270"/>
    <w:rsid w:val="002A0C0A"/>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E7"/>
    <w:rsid w:val="003744D1"/>
    <w:rsid w:val="00374852"/>
    <w:rsid w:val="003756AE"/>
    <w:rsid w:val="00375961"/>
    <w:rsid w:val="00376333"/>
    <w:rsid w:val="003764A9"/>
    <w:rsid w:val="003801B6"/>
    <w:rsid w:val="00381D28"/>
    <w:rsid w:val="00382A5F"/>
    <w:rsid w:val="00382CB2"/>
    <w:rsid w:val="00383B16"/>
    <w:rsid w:val="003860FA"/>
    <w:rsid w:val="00386642"/>
    <w:rsid w:val="003910ED"/>
    <w:rsid w:val="0039127F"/>
    <w:rsid w:val="003912E6"/>
    <w:rsid w:val="00392176"/>
    <w:rsid w:val="003921D6"/>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0DD5"/>
    <w:rsid w:val="007E1389"/>
    <w:rsid w:val="007E2456"/>
    <w:rsid w:val="007E4FA4"/>
    <w:rsid w:val="007E546F"/>
    <w:rsid w:val="007E5B13"/>
    <w:rsid w:val="007E5F22"/>
    <w:rsid w:val="007E6B6F"/>
    <w:rsid w:val="007E6C65"/>
    <w:rsid w:val="007E7AE3"/>
    <w:rsid w:val="007F0AF3"/>
    <w:rsid w:val="007F1928"/>
    <w:rsid w:val="007F38AA"/>
    <w:rsid w:val="007F38DD"/>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1B6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5EE0"/>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168"/>
    <w:rsid w:val="009944AE"/>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3A"/>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50C"/>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0B4C"/>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FE07A"/>
  <w15:docId w15:val="{8836B334-EE6B-4B1B-8C21-F4654A8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510F-C829-4E29-B803-97D2DC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F0425-F0CC-4278-9404-FDC450146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26D67-21D5-4CEE-B0AD-914A7789F4C9}">
  <ds:schemaRefs>
    <ds:schemaRef ds:uri="http://schemas.microsoft.com/sharepoint/v3/contenttype/forms"/>
  </ds:schemaRefs>
</ds:datastoreItem>
</file>

<file path=customXml/itemProps4.xml><?xml version="1.0" encoding="utf-8"?>
<ds:datastoreItem xmlns:ds="http://schemas.openxmlformats.org/officeDocument/2006/customXml" ds:itemID="{B8411F85-F288-4AA5-B95A-B1BD43D4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2520</Words>
  <Characters>14368</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3</cp:revision>
  <cp:lastPrinted>2016-02-23T10:51:00Z</cp:lastPrinted>
  <dcterms:created xsi:type="dcterms:W3CDTF">2020-05-28T11:28:00Z</dcterms:created>
  <dcterms:modified xsi:type="dcterms:W3CDTF">2020-05-28T11:31:00Z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2020-05-27 15:48:47Z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ies>
</file>