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May – 5th June,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rsidRPr="00761D88">
        <w:rPr>
          <w:lang w:val="en-US"/>
        </w:rPr>
        <w:t xml:space="preserve">This document </w:t>
      </w:r>
      <w:r w:rsidR="00D53C26">
        <w:rPr>
          <w:lang w:val="en-US"/>
        </w:rPr>
        <w:t xml:space="preserve">contains a high level </w:t>
      </w:r>
      <w:r w:rsidRPr="00761D88">
        <w:rPr>
          <w:lang w:val="en-US"/>
        </w:rPr>
        <w:t>summar</w:t>
      </w:r>
      <w:r w:rsidR="00D53C26">
        <w:rPr>
          <w:lang w:val="en-US"/>
        </w:rPr>
        <w:t>y of</w:t>
      </w:r>
      <w:r w:rsidRPr="00761D88">
        <w:rPr>
          <w:lang w:val="en-US"/>
        </w:rP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Heading1"/>
      </w:pPr>
      <w:r>
        <w:t>2</w:t>
      </w:r>
      <w:r>
        <w:tab/>
      </w:r>
      <w:r w:rsidR="004C6470">
        <w:t>Identified</w:t>
      </w:r>
      <w:r>
        <w:t xml:space="preserve"> Issues</w:t>
      </w:r>
    </w:p>
    <w:tbl>
      <w:tblPr>
        <w:tblStyle w:val="TableGri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BodyText"/>
              <w:spacing w:after="0"/>
              <w:jc w:val="center"/>
              <w:rPr>
                <w:b/>
                <w:lang w:val="de-DE"/>
              </w:rPr>
            </w:pPr>
            <w:r>
              <w:rPr>
                <w:b/>
                <w:lang w:val="de-DE"/>
              </w:rPr>
              <w:t>Issue</w:t>
            </w:r>
          </w:p>
          <w:p w14:paraId="022781D9" w14:textId="01B73AB1" w:rsidR="004C6470" w:rsidRDefault="004C6470" w:rsidP="004C6470">
            <w:pPr>
              <w:pStyle w:val="BodyText"/>
              <w:spacing w:after="0"/>
              <w:jc w:val="center"/>
              <w:rPr>
                <w:b/>
                <w:lang w:val="de-DE"/>
              </w:rPr>
            </w:pPr>
            <w:r>
              <w:rPr>
                <w:b/>
                <w:lang w:val="de-DE"/>
              </w:rPr>
              <w:t>#</w:t>
            </w:r>
          </w:p>
        </w:tc>
        <w:tc>
          <w:tcPr>
            <w:tcW w:w="5400" w:type="dxa"/>
          </w:tcPr>
          <w:p w14:paraId="5F83DB3B" w14:textId="48E4874D" w:rsidR="004C6470" w:rsidRDefault="004C6470" w:rsidP="00AE1D27">
            <w:pPr>
              <w:pStyle w:val="BodyText"/>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BodyText"/>
              <w:spacing w:after="0"/>
              <w:jc w:val="left"/>
              <w:rPr>
                <w:b/>
                <w:lang w:val="de-DE"/>
              </w:rPr>
            </w:pPr>
            <w:r>
              <w:rPr>
                <w:b/>
                <w:lang w:val="de-DE"/>
              </w:rPr>
              <w:t>Tdoc</w:t>
            </w:r>
          </w:p>
          <w:p w14:paraId="67ADE101" w14:textId="77777777" w:rsidR="004C6470" w:rsidRDefault="004C6470" w:rsidP="00AE1D27">
            <w:pPr>
              <w:pStyle w:val="BodyText"/>
              <w:spacing w:after="0"/>
              <w:jc w:val="left"/>
              <w:rPr>
                <w:b/>
                <w:lang w:val="de-DE"/>
              </w:rPr>
            </w:pPr>
            <w:r>
              <w:rPr>
                <w:b/>
                <w:lang w:val="de-DE"/>
              </w:rPr>
              <w:t>References</w:t>
            </w:r>
          </w:p>
        </w:tc>
        <w:tc>
          <w:tcPr>
            <w:tcW w:w="995" w:type="dxa"/>
          </w:tcPr>
          <w:p w14:paraId="149DC7EC" w14:textId="51A59BDD" w:rsidR="004C6470" w:rsidRDefault="005C0484" w:rsidP="00AE1D27">
            <w:pPr>
              <w:pStyle w:val="BodyText"/>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BodyText"/>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BodyText"/>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BodyText"/>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BodyText"/>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BodyText"/>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BodyText"/>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BodyText"/>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BodyText"/>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BodyText"/>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BodyText"/>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BodyText"/>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BodyText"/>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BodyText"/>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BodyText"/>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BodyText"/>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BodyText"/>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BodyText"/>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BodyText"/>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BodyText"/>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BodyText"/>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BodyText"/>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BodyText"/>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BodyText"/>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BodyText"/>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BodyText"/>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BodyText"/>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BodyText"/>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BodyText"/>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BodyText"/>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BodyText"/>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BodyText"/>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BodyText"/>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BodyText"/>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BodyText"/>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BodyText"/>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BodyText"/>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BodyText"/>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BodyText"/>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BodyText"/>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BodyText"/>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BodyText"/>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BodyText"/>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BodyText"/>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BodyText"/>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ListParagraph"/>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ListParagraph"/>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761D88"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lang w:val="en-US"/>
        </w:rPr>
      </w:pPr>
      <w:r w:rsidRPr="00761D88">
        <w:rPr>
          <w:rFonts w:ascii="Arial" w:eastAsia="Times New Roman" w:hAnsi="Arial" w:cs="Arial"/>
          <w:sz w:val="20"/>
          <w:szCs w:val="20"/>
          <w:lang w:val="en-US"/>
        </w:rPr>
        <w:t>N</w:t>
      </w:r>
      <w:r w:rsidR="005C0484">
        <w:rPr>
          <w:rFonts w:ascii="Arial" w:eastAsia="Times New Roman" w:hAnsi="Arial" w:cs="Arial"/>
          <w:sz w:val="20"/>
          <w:szCs w:val="20"/>
          <w:lang w:val="en-US"/>
        </w:rPr>
        <w:t xml:space="preserve">: </w:t>
      </w:r>
      <w:r w:rsidRPr="00761D88">
        <w:rPr>
          <w:rFonts w:ascii="Arial" w:eastAsia="Times New Roman" w:hAnsi="Arial" w:cs="Arial"/>
          <w:sz w:val="20"/>
          <w:szCs w:val="20"/>
          <w:lang w:val="en-US"/>
        </w:rPr>
        <w:t>Not needed/disagree that this is an issue</w:t>
      </w:r>
      <w:bookmarkStart w:id="14" w:name="_GoBack"/>
      <w:bookmarkEnd w:id="14"/>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TableGrid"/>
        <w:tblW w:w="0" w:type="auto"/>
        <w:tblLook w:val="04A0" w:firstRow="1" w:lastRow="0" w:firstColumn="1" w:lastColumn="0" w:noHBand="0" w:noVBand="1"/>
      </w:tblPr>
      <w:tblGrid>
        <w:gridCol w:w="1196"/>
        <w:gridCol w:w="794"/>
        <w:gridCol w:w="793"/>
        <w:gridCol w:w="779"/>
        <w:gridCol w:w="779"/>
        <w:gridCol w:w="779"/>
        <w:gridCol w:w="777"/>
        <w:gridCol w:w="777"/>
        <w:gridCol w:w="779"/>
        <w:gridCol w:w="779"/>
        <w:gridCol w:w="785"/>
      </w:tblGrid>
      <w:tr w:rsidR="009E02A2" w14:paraId="36277579" w14:textId="77BEF913" w:rsidTr="00A3217B">
        <w:tc>
          <w:tcPr>
            <w:tcW w:w="1196"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821"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A3217B">
        <w:tc>
          <w:tcPr>
            <w:tcW w:w="1196"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94"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93"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79"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79"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79"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77"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77"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79"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79"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85"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A3217B">
        <w:tc>
          <w:tcPr>
            <w:tcW w:w="1196"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94"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93"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9"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7"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7"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9"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5"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A3217B">
        <w:tc>
          <w:tcPr>
            <w:tcW w:w="1196"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94"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93"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7"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9"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5"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A3217B">
        <w:tc>
          <w:tcPr>
            <w:tcW w:w="1196"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94"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93"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9"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7"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7"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85"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33874325" w14:textId="5777C465" w:rsidTr="00A3217B">
        <w:tc>
          <w:tcPr>
            <w:tcW w:w="1196" w:type="dxa"/>
          </w:tcPr>
          <w:p w14:paraId="1E4D8B3F" w14:textId="2AC7FE26" w:rsidR="00A3217B" w:rsidRPr="00761D88" w:rsidRDefault="00761D88" w:rsidP="00A3217B">
            <w:pPr>
              <w:overflowPunct/>
              <w:autoSpaceDE/>
              <w:autoSpaceDN/>
              <w:adjustRightInd/>
              <w:spacing w:after="0" w:line="240" w:lineRule="auto"/>
              <w:jc w:val="center"/>
              <w:textAlignment w:val="auto"/>
              <w:rPr>
                <w:rFonts w:ascii="Arial" w:eastAsiaTheme="minorEastAsia" w:hAnsi="Arial" w:cs="Arial"/>
                <w:sz w:val="20"/>
                <w:szCs w:val="20"/>
                <w:lang w:eastAsia="zh-CN"/>
              </w:rPr>
            </w:pPr>
            <w:r>
              <w:rPr>
                <w:rFonts w:ascii="Arial" w:eastAsiaTheme="minorEastAsia" w:hAnsi="Arial" w:cs="Arial" w:hint="eastAsia"/>
                <w:sz w:val="20"/>
                <w:szCs w:val="20"/>
                <w:lang w:eastAsia="zh-CN"/>
              </w:rPr>
              <w:t>Samsung</w:t>
            </w:r>
          </w:p>
        </w:tc>
        <w:tc>
          <w:tcPr>
            <w:tcW w:w="794" w:type="dxa"/>
          </w:tcPr>
          <w:p w14:paraId="1FE3A3AA" w14:textId="28C52A0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93" w:type="dxa"/>
          </w:tcPr>
          <w:p w14:paraId="7B0A77F0" w14:textId="61F73B90"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9" w:type="dxa"/>
          </w:tcPr>
          <w:p w14:paraId="5BA82174" w14:textId="3EA486F5"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5C18554D" w14:textId="100D0E92"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2C8D55F9" w14:textId="75B59804"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4527F39E" w14:textId="480018D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sz w:val="20"/>
                <w:szCs w:val="20"/>
              </w:rPr>
              <w:t>L</w:t>
            </w:r>
          </w:p>
        </w:tc>
        <w:tc>
          <w:tcPr>
            <w:tcW w:w="777" w:type="dxa"/>
          </w:tcPr>
          <w:p w14:paraId="28B9DD26" w14:textId="49330EA9"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L</w:t>
            </w:r>
          </w:p>
        </w:tc>
        <w:tc>
          <w:tcPr>
            <w:tcW w:w="779" w:type="dxa"/>
          </w:tcPr>
          <w:p w14:paraId="7D65D218" w14:textId="439EFDF7"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H</w:t>
            </w:r>
          </w:p>
        </w:tc>
        <w:tc>
          <w:tcPr>
            <w:tcW w:w="779" w:type="dxa"/>
          </w:tcPr>
          <w:p w14:paraId="4639D403" w14:textId="315E0BED"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c>
          <w:tcPr>
            <w:tcW w:w="785" w:type="dxa"/>
          </w:tcPr>
          <w:p w14:paraId="28B62AD6" w14:textId="19ECED73" w:rsidR="00A3217B" w:rsidRPr="005C0484" w:rsidRDefault="00761D88"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Yu Mincho" w:hAnsi="Arial" w:cs="Arial" w:hint="eastAsia"/>
                <w:sz w:val="20"/>
                <w:szCs w:val="20"/>
              </w:rPr>
              <w:t>N</w:t>
            </w:r>
          </w:p>
        </w:tc>
      </w:tr>
      <w:tr w:rsidR="00A3217B" w14:paraId="5F0F3D65" w14:textId="77777777" w:rsidTr="00A3217B">
        <w:tc>
          <w:tcPr>
            <w:tcW w:w="1196" w:type="dxa"/>
          </w:tcPr>
          <w:p w14:paraId="063D9491" w14:textId="409F320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O</w:t>
            </w:r>
            <w:r>
              <w:rPr>
                <w:rFonts w:ascii="Arial" w:eastAsia="Yu Mincho" w:hAnsi="Arial" w:cs="Arial"/>
              </w:rPr>
              <w:t>PPO</w:t>
            </w:r>
          </w:p>
        </w:tc>
        <w:tc>
          <w:tcPr>
            <w:tcW w:w="794" w:type="dxa"/>
          </w:tcPr>
          <w:p w14:paraId="0379341B" w14:textId="364FF1EB"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93" w:type="dxa"/>
          </w:tcPr>
          <w:p w14:paraId="5BD0907A" w14:textId="34008C0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H</w:t>
            </w:r>
          </w:p>
        </w:tc>
        <w:tc>
          <w:tcPr>
            <w:tcW w:w="779" w:type="dxa"/>
          </w:tcPr>
          <w:p w14:paraId="6B4379A6" w14:textId="7BC092BA"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rPr>
              <w:t>L</w:t>
            </w:r>
          </w:p>
        </w:tc>
        <w:tc>
          <w:tcPr>
            <w:tcW w:w="779" w:type="dxa"/>
          </w:tcPr>
          <w:p w14:paraId="169ED3A3" w14:textId="25C9F610"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79" w:type="dxa"/>
          </w:tcPr>
          <w:p w14:paraId="6629D148" w14:textId="4FF18D7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N</w:t>
            </w:r>
          </w:p>
        </w:tc>
        <w:tc>
          <w:tcPr>
            <w:tcW w:w="777" w:type="dxa"/>
          </w:tcPr>
          <w:p w14:paraId="6D4E926B" w14:textId="00CCFD47"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7" w:type="dxa"/>
          </w:tcPr>
          <w:p w14:paraId="7A53F5D9" w14:textId="531D479C"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9" w:type="dxa"/>
          </w:tcPr>
          <w:p w14:paraId="020B8417" w14:textId="33AE88CD"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79" w:type="dxa"/>
          </w:tcPr>
          <w:p w14:paraId="0ED71C62" w14:textId="49C2E508"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c>
          <w:tcPr>
            <w:tcW w:w="785" w:type="dxa"/>
          </w:tcPr>
          <w:p w14:paraId="6D688DA7" w14:textId="25511C11" w:rsidR="00A3217B" w:rsidRPr="00E270ED" w:rsidRDefault="00E270ED" w:rsidP="00A3217B">
            <w:pPr>
              <w:overflowPunct/>
              <w:autoSpaceDE/>
              <w:autoSpaceDN/>
              <w:adjustRightInd/>
              <w:spacing w:after="0" w:line="240" w:lineRule="auto"/>
              <w:jc w:val="center"/>
              <w:textAlignment w:val="auto"/>
              <w:rPr>
                <w:rFonts w:ascii="Arial" w:eastAsia="Yu Mincho" w:hAnsi="Arial" w:cs="Arial"/>
              </w:rPr>
            </w:pPr>
            <w:r>
              <w:rPr>
                <w:rFonts w:ascii="Arial" w:eastAsia="Yu Mincho" w:hAnsi="Arial" w:cs="Arial" w:hint="eastAsia"/>
              </w:rPr>
              <w:t>L</w:t>
            </w:r>
          </w:p>
        </w:tc>
      </w:tr>
      <w:tr w:rsidR="005E5F00" w14:paraId="4C94D7E9" w14:textId="77777777" w:rsidTr="00A3217B">
        <w:tc>
          <w:tcPr>
            <w:tcW w:w="1196" w:type="dxa"/>
          </w:tcPr>
          <w:p w14:paraId="3512D586" w14:textId="0FDBF07F"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ZTE</w:t>
            </w:r>
          </w:p>
        </w:tc>
        <w:tc>
          <w:tcPr>
            <w:tcW w:w="794" w:type="dxa"/>
          </w:tcPr>
          <w:p w14:paraId="2E9638BE" w14:textId="03A5F1C3"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H</w:t>
            </w:r>
          </w:p>
        </w:tc>
        <w:tc>
          <w:tcPr>
            <w:tcW w:w="793" w:type="dxa"/>
          </w:tcPr>
          <w:p w14:paraId="540B9A4D" w14:textId="10386D1B"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H</w:t>
            </w:r>
          </w:p>
        </w:tc>
        <w:tc>
          <w:tcPr>
            <w:tcW w:w="779" w:type="dxa"/>
          </w:tcPr>
          <w:p w14:paraId="5C2B6E89" w14:textId="5FBE5F2D" w:rsidR="005E5F00" w:rsidRDefault="005E5F00" w:rsidP="005E5F00">
            <w:pPr>
              <w:overflowPunct/>
              <w:autoSpaceDE/>
              <w:autoSpaceDN/>
              <w:adjustRightInd/>
              <w:spacing w:after="0" w:line="240" w:lineRule="auto"/>
              <w:jc w:val="center"/>
              <w:textAlignment w:val="auto"/>
              <w:rPr>
                <w:rFonts w:ascii="Arial" w:eastAsia="Yu Mincho" w:hAnsi="Arial" w:cs="Arial"/>
              </w:rPr>
            </w:pPr>
            <w:r>
              <w:rPr>
                <w:rFonts w:ascii="Arial" w:eastAsia="宋体" w:hAnsi="Arial" w:cs="Arial" w:hint="eastAsia"/>
                <w:sz w:val="20"/>
                <w:szCs w:val="20"/>
                <w:lang w:val="en-US" w:eastAsia="zh-CN"/>
              </w:rPr>
              <w:t>L</w:t>
            </w:r>
          </w:p>
        </w:tc>
        <w:tc>
          <w:tcPr>
            <w:tcW w:w="779" w:type="dxa"/>
          </w:tcPr>
          <w:p w14:paraId="093C738F" w14:textId="25562E4C"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N</w:t>
            </w:r>
          </w:p>
        </w:tc>
        <w:tc>
          <w:tcPr>
            <w:tcW w:w="779" w:type="dxa"/>
          </w:tcPr>
          <w:p w14:paraId="6F29FD1A" w14:textId="763AD121"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N</w:t>
            </w:r>
          </w:p>
        </w:tc>
        <w:tc>
          <w:tcPr>
            <w:tcW w:w="777" w:type="dxa"/>
          </w:tcPr>
          <w:p w14:paraId="38DFCB94" w14:textId="4975CFAE"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L</w:t>
            </w:r>
          </w:p>
        </w:tc>
        <w:tc>
          <w:tcPr>
            <w:tcW w:w="777" w:type="dxa"/>
          </w:tcPr>
          <w:p w14:paraId="7C91AD6D" w14:textId="47AD273E"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L</w:t>
            </w:r>
          </w:p>
        </w:tc>
        <w:tc>
          <w:tcPr>
            <w:tcW w:w="779" w:type="dxa"/>
          </w:tcPr>
          <w:p w14:paraId="7BB7256E" w14:textId="58C757FA"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N</w:t>
            </w:r>
          </w:p>
        </w:tc>
        <w:tc>
          <w:tcPr>
            <w:tcW w:w="779" w:type="dxa"/>
          </w:tcPr>
          <w:p w14:paraId="3C23F076" w14:textId="72870595"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N</w:t>
            </w:r>
          </w:p>
        </w:tc>
        <w:tc>
          <w:tcPr>
            <w:tcW w:w="785" w:type="dxa"/>
          </w:tcPr>
          <w:p w14:paraId="49CCB050" w14:textId="40EE1752" w:rsidR="005E5F00" w:rsidRDefault="005E5F00" w:rsidP="005E5F00">
            <w:pPr>
              <w:overflowPunct/>
              <w:autoSpaceDE/>
              <w:autoSpaceDN/>
              <w:adjustRightInd/>
              <w:spacing w:after="0" w:line="240" w:lineRule="auto"/>
              <w:jc w:val="center"/>
              <w:textAlignment w:val="auto"/>
              <w:rPr>
                <w:rFonts w:ascii="Arial" w:eastAsia="Yu Mincho" w:hAnsi="Arial" w:cs="Arial" w:hint="eastAsia"/>
              </w:rPr>
            </w:pPr>
            <w:r>
              <w:rPr>
                <w:rFonts w:ascii="Arial" w:eastAsia="宋体" w:hAnsi="Arial" w:cs="Arial" w:hint="eastAsia"/>
                <w:sz w:val="20"/>
                <w:szCs w:val="20"/>
                <w:lang w:val="en-US" w:eastAsia="zh-CN"/>
              </w:rPr>
              <w:t>N</w:t>
            </w:r>
          </w:p>
        </w:tc>
      </w:tr>
      <w:tr w:rsidR="005E5F00" w14:paraId="78602CA6" w14:textId="77777777" w:rsidTr="00A3217B">
        <w:tc>
          <w:tcPr>
            <w:tcW w:w="1196" w:type="dxa"/>
          </w:tcPr>
          <w:p w14:paraId="3A70FB54"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94" w:type="dxa"/>
          </w:tcPr>
          <w:p w14:paraId="1B669923"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93" w:type="dxa"/>
          </w:tcPr>
          <w:p w14:paraId="4A0DA277"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9" w:type="dxa"/>
          </w:tcPr>
          <w:p w14:paraId="081E8567"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9" w:type="dxa"/>
          </w:tcPr>
          <w:p w14:paraId="15F06F8D"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9" w:type="dxa"/>
          </w:tcPr>
          <w:p w14:paraId="43F4315D"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7" w:type="dxa"/>
          </w:tcPr>
          <w:p w14:paraId="0A169F05"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7" w:type="dxa"/>
          </w:tcPr>
          <w:p w14:paraId="20DF3B51"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9" w:type="dxa"/>
          </w:tcPr>
          <w:p w14:paraId="2EF34441"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79" w:type="dxa"/>
          </w:tcPr>
          <w:p w14:paraId="458E436F"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c>
          <w:tcPr>
            <w:tcW w:w="785" w:type="dxa"/>
          </w:tcPr>
          <w:p w14:paraId="7DBDE0A6" w14:textId="77777777" w:rsidR="005E5F00" w:rsidRDefault="005E5F00" w:rsidP="005E5F00">
            <w:pPr>
              <w:overflowPunct/>
              <w:autoSpaceDE/>
              <w:autoSpaceDN/>
              <w:adjustRightInd/>
              <w:spacing w:after="0" w:line="240" w:lineRule="auto"/>
              <w:jc w:val="center"/>
              <w:textAlignment w:val="auto"/>
              <w:rPr>
                <w:rFonts w:ascii="Arial" w:eastAsia="宋体" w:hAnsi="Arial" w:cs="Arial" w:hint="eastAsia"/>
                <w:lang w:val="en-US" w:eastAsia="zh-CN"/>
              </w:rPr>
            </w:pP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TableGrid"/>
        <w:tblW w:w="0" w:type="auto"/>
        <w:tblLook w:val="04A0" w:firstRow="1" w:lastRow="0" w:firstColumn="1" w:lastColumn="0" w:noHBand="0" w:noVBand="1"/>
      </w:tblPr>
      <w:tblGrid>
        <w:gridCol w:w="1525"/>
        <w:gridCol w:w="7492"/>
      </w:tblGrid>
      <w:tr w:rsidR="00807160" w:rsidRPr="00B223D8" w14:paraId="685BD9CF" w14:textId="77777777" w:rsidTr="00075249">
        <w:tc>
          <w:tcPr>
            <w:tcW w:w="1525" w:type="dxa"/>
          </w:tcPr>
          <w:p w14:paraId="7AB2C764"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075249">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075249">
        <w:tc>
          <w:tcPr>
            <w:tcW w:w="1525" w:type="dxa"/>
          </w:tcPr>
          <w:p w14:paraId="26BFC50D" w14:textId="1D037956"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075249">
            <w:pPr>
              <w:spacing w:after="0"/>
              <w:rPr>
                <w:rFonts w:ascii="Arial" w:eastAsia="Yu Mincho" w:hAnsi="Arial" w:cs="Arial"/>
                <w:sz w:val="20"/>
                <w:szCs w:val="20"/>
              </w:rPr>
            </w:pPr>
            <w:r w:rsidRPr="005C0484">
              <w:rPr>
                <w:rFonts w:ascii="Arial" w:eastAsia="Yu Mincho" w:hAnsi="Arial" w:cs="Arial"/>
                <w:sz w:val="20"/>
                <w:szCs w:val="20"/>
              </w:rPr>
              <w:lastRenderedPageBreak/>
              <w:t>Issues #8,9 are better suited to the Channel Access AI</w:t>
            </w:r>
          </w:p>
        </w:tc>
      </w:tr>
      <w:tr w:rsidR="00FD12E5" w:rsidRPr="007D0264" w14:paraId="20864E07" w14:textId="77777777" w:rsidTr="00075249">
        <w:tc>
          <w:tcPr>
            <w:tcW w:w="1525" w:type="dxa"/>
          </w:tcPr>
          <w:p w14:paraId="257CADD3" w14:textId="58E1BDE2"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lastRenderedPageBreak/>
              <w:t>LG Electronics</w:t>
            </w:r>
          </w:p>
        </w:tc>
        <w:tc>
          <w:tcPr>
            <w:tcW w:w="7492" w:type="dxa"/>
          </w:tcPr>
          <w:p w14:paraId="673E667C" w14:textId="7777777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Yu Mincho" w:hAnsi="Arial" w:cs="Arial"/>
                <w:sz w:val="20"/>
                <w:szCs w:val="20"/>
              </w:rPr>
            </w:pPr>
            <w:r w:rsidRPr="00FD12E5">
              <w:rPr>
                <w:rFonts w:ascii="Arial" w:eastAsia="Yu Mincho" w:hAnsi="Arial" w:cs="Arial"/>
                <w:sz w:val="20"/>
                <w:szCs w:val="20"/>
              </w:rPr>
              <w:t>Issue #9 is better to be handled under Channel access AI (agree with FL)</w:t>
            </w:r>
          </w:p>
        </w:tc>
      </w:tr>
      <w:tr w:rsidR="00807160" w:rsidRPr="007D0264" w14:paraId="745D32D1" w14:textId="77777777" w:rsidTr="00075249">
        <w:tc>
          <w:tcPr>
            <w:tcW w:w="1525" w:type="dxa"/>
          </w:tcPr>
          <w:p w14:paraId="5B6C2048" w14:textId="44812AFA" w:rsidR="00807160" w:rsidRPr="00A3217B" w:rsidRDefault="00A3217B" w:rsidP="00075249">
            <w:pPr>
              <w:spacing w:after="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harp</w:t>
            </w:r>
          </w:p>
        </w:tc>
        <w:tc>
          <w:tcPr>
            <w:tcW w:w="7492" w:type="dxa"/>
          </w:tcPr>
          <w:p w14:paraId="5E1F5DC5" w14:textId="48B9BC34" w:rsidR="001048A8" w:rsidRPr="001048A8" w:rsidRDefault="00A3217B" w:rsidP="00075249">
            <w:pPr>
              <w:spacing w:after="0"/>
              <w:rPr>
                <w:rFonts w:ascii="Arial" w:eastAsia="Yu Mincho" w:hAnsi="Arial" w:cs="Arial"/>
                <w:sz w:val="20"/>
                <w:szCs w:val="20"/>
              </w:rPr>
            </w:pPr>
            <w:r>
              <w:rPr>
                <w:rFonts w:ascii="Arial" w:eastAsia="Yu Mincho" w:hAnsi="Arial" w:cs="Arial"/>
                <w:sz w:val="20"/>
                <w:szCs w:val="20"/>
              </w:rPr>
              <w:t>We are fine for Issue#5 to be discussed in wideband AI or UL AI.</w:t>
            </w:r>
          </w:p>
        </w:tc>
      </w:tr>
      <w:tr w:rsidR="00807160" w:rsidRPr="007D0264" w14:paraId="5BBAB1AF" w14:textId="77777777" w:rsidTr="00075249">
        <w:tc>
          <w:tcPr>
            <w:tcW w:w="1525" w:type="dxa"/>
          </w:tcPr>
          <w:p w14:paraId="36737D7A" w14:textId="3494DC18" w:rsidR="00807160" w:rsidRPr="00761D88" w:rsidRDefault="00761D88" w:rsidP="00075249">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Sa</w:t>
            </w:r>
            <w:r>
              <w:rPr>
                <w:rFonts w:ascii="Arial" w:eastAsiaTheme="minorEastAsia" w:hAnsi="Arial" w:cs="Arial"/>
                <w:sz w:val="20"/>
                <w:szCs w:val="20"/>
                <w:lang w:eastAsia="zh-CN"/>
              </w:rPr>
              <w:t xml:space="preserve">msung </w:t>
            </w:r>
          </w:p>
        </w:tc>
        <w:tc>
          <w:tcPr>
            <w:tcW w:w="7492" w:type="dxa"/>
          </w:tcPr>
          <w:p w14:paraId="07A18D69" w14:textId="263C65B4" w:rsidR="00807160" w:rsidRPr="00761D88" w:rsidRDefault="00761D88" w:rsidP="00075249">
            <w:pPr>
              <w:spacing w:after="0"/>
              <w:rPr>
                <w:rFonts w:ascii="Arial" w:eastAsiaTheme="minorEastAsia" w:hAnsi="Arial" w:cs="Arial"/>
                <w:sz w:val="20"/>
                <w:szCs w:val="20"/>
                <w:lang w:eastAsia="zh-CN"/>
              </w:rPr>
            </w:pPr>
            <w:r w:rsidRPr="00761D88">
              <w:rPr>
                <w:rFonts w:ascii="Arial" w:eastAsia="Yu Mincho" w:hAnsi="Arial" w:cs="Arial" w:hint="eastAsia"/>
                <w:sz w:val="20"/>
                <w:szCs w:val="20"/>
              </w:rPr>
              <w:t>W</w:t>
            </w:r>
            <w:r w:rsidRPr="00761D88">
              <w:rPr>
                <w:rFonts w:ascii="Arial" w:eastAsia="Yu Mincho" w:hAnsi="Arial" w:cs="Arial"/>
                <w:sz w:val="20"/>
                <w:szCs w:val="20"/>
              </w:rPr>
              <w:t xml:space="preserve">e think </w:t>
            </w:r>
            <w:r w:rsidR="00075249">
              <w:rPr>
                <w:rFonts w:ascii="Arial" w:eastAsia="Yu Mincho" w:hAnsi="Arial" w:cs="Arial"/>
                <w:sz w:val="20"/>
                <w:szCs w:val="20"/>
              </w:rPr>
              <w:t xml:space="preserve">issue #8 </w:t>
            </w:r>
            <w:r w:rsidRPr="00761D88">
              <w:rPr>
                <w:rFonts w:ascii="Arial" w:eastAsia="Yu Mincho" w:hAnsi="Arial" w:cs="Arial"/>
                <w:sz w:val="20"/>
                <w:szCs w:val="20"/>
              </w:rPr>
              <w:t>is a critical issue</w:t>
            </w:r>
            <w:r w:rsidR="004A7C6B">
              <w:rPr>
                <w:rFonts w:ascii="Arial" w:eastAsia="Yu Mincho" w:hAnsi="Arial" w:cs="Arial"/>
                <w:sz w:val="20"/>
                <w:szCs w:val="20"/>
              </w:rPr>
              <w:t>. In LTE eLAA,</w:t>
            </w:r>
            <w:r w:rsidR="00075249">
              <w:rPr>
                <w:rFonts w:ascii="Arial" w:eastAsia="Yu Mincho" w:hAnsi="Arial" w:cs="Arial"/>
                <w:sz w:val="20"/>
                <w:szCs w:val="20"/>
              </w:rPr>
              <w:t xml:space="preserve"> </w:t>
            </w:r>
            <w:r w:rsidR="004A7C6B">
              <w:rPr>
                <w:rFonts w:ascii="Arial" w:eastAsia="Yu Mincho" w:hAnsi="Arial" w:cs="Arial"/>
                <w:sz w:val="20"/>
                <w:szCs w:val="20"/>
              </w:rPr>
              <w:t xml:space="preserve">the clarification description is added in TS 36.213 for </w:t>
            </w:r>
            <w:r w:rsidR="00075249">
              <w:rPr>
                <w:rFonts w:ascii="Arial" w:eastAsia="Yu Mincho" w:hAnsi="Arial" w:cs="Arial"/>
                <w:sz w:val="20"/>
                <w:szCs w:val="20"/>
              </w:rPr>
              <w:t>PHR</w:t>
            </w:r>
            <w:r w:rsidR="004A7C6B">
              <w:rPr>
                <w:rFonts w:ascii="Arial" w:eastAsia="Yu Mincho" w:hAnsi="Arial" w:cs="Arial"/>
                <w:sz w:val="20"/>
                <w:szCs w:val="20"/>
              </w:rPr>
              <w:t xml:space="preserve"> which is based on scheduled PUSCH </w:t>
            </w:r>
            <w:r w:rsidR="004A7C6B" w:rsidRPr="004A7C6B">
              <w:rPr>
                <w:rFonts w:ascii="Arial" w:eastAsia="Yu Mincho" w:hAnsi="Arial" w:cs="Arial"/>
                <w:sz w:val="20"/>
                <w:szCs w:val="20"/>
              </w:rPr>
              <w:t xml:space="preserve">irrespective of whether the UE can access the LAA SCell for the PUSCH </w:t>
            </w:r>
            <w:r w:rsidR="00075249">
              <w:rPr>
                <w:rFonts w:ascii="Arial" w:eastAsia="Yu Mincho" w:hAnsi="Arial" w:cs="Arial"/>
                <w:sz w:val="20"/>
                <w:szCs w:val="20"/>
              </w:rPr>
              <w:t xml:space="preserve">transmission, because UE may not have sufficient time to generate real/virtual PHR according to LBT result. In NR-U, similarly, UE may not have sufficient time to perform UCI multiplexing according to LBT result. Similar clarification description is needed in NR spec. Because UCI transmission on PUSCH is UL procedure, we captured this issue in UL tdoc, but we’re fine with FL’s suggestion to discuss it in channel access AI considering its relevance of LBT. </w:t>
            </w:r>
          </w:p>
        </w:tc>
      </w:tr>
    </w:tbl>
    <w:p w14:paraId="2715C102" w14:textId="77777777" w:rsidR="00807160" w:rsidRDefault="00807160" w:rsidP="002B1FAF"/>
    <w:p w14:paraId="3A065FBE" w14:textId="77777777" w:rsidR="000916C2" w:rsidRDefault="00670370">
      <w:pPr>
        <w:pStyle w:val="Heading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761D88" w:rsidRDefault="002B1FAF" w:rsidP="002B1FAF">
      <w:pPr>
        <w:pStyle w:val="ListParagraph"/>
        <w:numPr>
          <w:ilvl w:val="0"/>
          <w:numId w:val="14"/>
        </w:numPr>
        <w:ind w:left="450" w:hanging="450"/>
        <w:rPr>
          <w:rFonts w:ascii="Arial" w:hAnsi="Arial" w:cs="Arial"/>
          <w:sz w:val="20"/>
          <w:szCs w:val="20"/>
          <w:lang w:val="en-US" w:eastAsia="x-none"/>
        </w:rPr>
      </w:pPr>
      <w:bookmarkStart w:id="28"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8"/>
    </w:p>
    <w:p w14:paraId="3B6A6BC8" w14:textId="36211CC6"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7CB5AB46" w14:textId="1F61A01A"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6078918A" w14:textId="00B8A2F1"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0C7457BE" w14:textId="77A0916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6656CA1F" w14:textId="3D54F778"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A94E6A6" w14:textId="33506BE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2D612A8C" w14:textId="6B958945"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03AA1833" w14:textId="7A018EB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2F6F201D" w14:textId="0B9CC027"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552FCC3B" w14:textId="4A1761F3"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25BAC927" w14:textId="18D39B69"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09C3AF38" w14:textId="0C4F8B5D"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3325A6D9" w14:textId="0308DEFF" w:rsidR="002B1FAF"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014CCCF0" w14:textId="40741114" w:rsidR="0097007E" w:rsidRPr="00761D88" w:rsidRDefault="002B1FAF" w:rsidP="002B1FAF">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3FC00834" w14:textId="57CD5CF0" w:rsidR="004C05A3" w:rsidRPr="00761D88" w:rsidRDefault="004C05A3" w:rsidP="002B1FAF">
      <w:pPr>
        <w:pStyle w:val="ListParagraph"/>
        <w:numPr>
          <w:ilvl w:val="0"/>
          <w:numId w:val="14"/>
        </w:numPr>
        <w:ind w:left="450" w:hanging="450"/>
        <w:rPr>
          <w:rFonts w:ascii="Arial" w:hAnsi="Arial" w:cs="Arial"/>
          <w:sz w:val="20"/>
          <w:szCs w:val="20"/>
          <w:lang w:val="en-US"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761D88" w:rsidRDefault="004C05A3" w:rsidP="002B1FAF">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Heading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7A418771" w14:textId="372D5C3E" w:rsidR="004C05A3" w:rsidRDefault="00FB102D" w:rsidP="005D27E2">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075249" w:rsidRPr="004C05A3" w:rsidRDefault="00075249" w:rsidP="00FB102D">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075249" w:rsidRDefault="00075249"/>
                  </w:txbxContent>
                </v:textbox>
                <w10:wrap type="topAndBottom" anchorx="margin"/>
              </v:shape>
            </w:pict>
          </mc:Fallback>
        </mc:AlternateContent>
      </w:r>
      <w:r w:rsidR="004C05A3">
        <w:rPr>
          <w:rStyle w:val="BodyTextChar"/>
        </w:rPr>
        <w:t xml:space="preserve">This originated from an </w:t>
      </w:r>
      <w:r w:rsidR="0015640C">
        <w:rPr>
          <w:rStyle w:val="BodyTextChar"/>
        </w:rPr>
        <w:t xml:space="preserve">NR-U </w:t>
      </w:r>
      <w:r w:rsidR="004C05A3">
        <w:rPr>
          <w:rStyle w:val="BodyTextChar"/>
        </w:rPr>
        <w:t>agreement</w:t>
      </w:r>
      <w:r>
        <w:rPr>
          <w:rStyle w:val="BodyTextChar"/>
        </w:rPr>
        <w:t xml:space="preserve"> during </w:t>
      </w:r>
      <w:r w:rsidR="004C05A3">
        <w:rPr>
          <w:rStyle w:val="BodyTextChar"/>
        </w:rPr>
        <w:t>RAN1#93, which was the same meeting in which RAN1 discussed</w:t>
      </w:r>
      <w:r w:rsidR="0015640C">
        <w:rPr>
          <w:rStyle w:val="BodyTextChar"/>
        </w:rPr>
        <w:t xml:space="preserve"> an LS from RAN2 on two possible</w:t>
      </w:r>
      <w:r w:rsidR="004C05A3">
        <w:rPr>
          <w:rStyle w:val="BodyTextChar"/>
        </w:rPr>
        <w:t xml:space="preserve"> configuration options for the initial DL/UL BWP. RAN1 ended up agreeing to support </w:t>
      </w:r>
      <w:r w:rsidR="0015640C">
        <w:rPr>
          <w:rStyle w:val="BodyTextChar"/>
        </w:rPr>
        <w:t>the two</w:t>
      </w:r>
      <w:r w:rsidR="004C05A3">
        <w:rPr>
          <w:rStyle w:val="BodyTextChar"/>
        </w:rPr>
        <w:t xml:space="preserve"> configuration options</w:t>
      </w:r>
      <w:r w:rsidR="0015640C">
        <w:rPr>
          <w:rStyle w:val="BodyTextChar"/>
        </w:rPr>
        <w:t xml:space="preserve"> (Option 1 and Option 2)</w:t>
      </w:r>
      <w:r w:rsidR="004C05A3">
        <w:rPr>
          <w:rStyle w:val="BodyTextChar"/>
        </w:rPr>
        <w:t xml:space="preserve"> listed in Appendix B.2 of 38.331</w:t>
      </w:r>
      <w:r w:rsidR="0015640C">
        <w:rPr>
          <w:rStyle w:val="BodyTextChar"/>
        </w:rPr>
        <w:t>. This is copied into Appendix B below for convenience.</w:t>
      </w:r>
    </w:p>
    <w:p w14:paraId="7A99BC74" w14:textId="040DFF62" w:rsidR="0015640C" w:rsidRDefault="0015640C" w:rsidP="0015640C">
      <w:pPr>
        <w:pStyle w:val="BodyText"/>
        <w:rPr>
          <w:rStyle w:val="BodyTextChar"/>
        </w:rPr>
      </w:pPr>
      <w:r>
        <w:rPr>
          <w:rStyle w:val="BodyTextChar"/>
        </w:rPr>
        <w:lastRenderedPageBreak/>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BodyText"/>
        <w:numPr>
          <w:ilvl w:val="0"/>
          <w:numId w:val="29"/>
        </w:numPr>
        <w:rPr>
          <w:rStyle w:val="BodyTextChar"/>
        </w:rPr>
      </w:pPr>
      <w:r>
        <w:rPr>
          <w:rStyle w:val="BodyTextChar"/>
        </w:rPr>
        <w:t>RB set allocation rule for PUSCH scheduled by RAR UL Grant, i.e., Msg3 of the RACH procedure</w:t>
      </w:r>
    </w:p>
    <w:p w14:paraId="2C2307E7" w14:textId="14E08450" w:rsidR="0015640C" w:rsidRDefault="0015640C" w:rsidP="0015640C">
      <w:pPr>
        <w:pStyle w:val="BodyText"/>
        <w:numPr>
          <w:ilvl w:val="0"/>
          <w:numId w:val="29"/>
        </w:numPr>
        <w:rPr>
          <w:rStyle w:val="BodyTextChar"/>
        </w:rPr>
      </w:pPr>
      <w:r>
        <w:rPr>
          <w:rStyle w:val="BodyTextChar"/>
        </w:rPr>
        <w:t>RB set allocation rule for PUSCH scheduled by DCI 0_0 addressed to TC-RNTI, i.e., for Msg3 re-transmissions</w:t>
      </w:r>
    </w:p>
    <w:p w14:paraId="121EB12D" w14:textId="3EC357C5" w:rsidR="0015640C" w:rsidRDefault="0015640C" w:rsidP="0015640C">
      <w:pPr>
        <w:pStyle w:val="BodyText"/>
        <w:numPr>
          <w:ilvl w:val="0"/>
          <w:numId w:val="29"/>
        </w:numPr>
        <w:rPr>
          <w:rStyle w:val="BodyTextChar"/>
        </w:rPr>
      </w:pPr>
      <w:r>
        <w:rPr>
          <w:rStyle w:val="BodyTextChar"/>
        </w:rPr>
        <w:t>RB set allocation rule for PUCCH transmissions prior to dedicated configuration, e.g., for HARQ ACK of Msg4</w:t>
      </w:r>
    </w:p>
    <w:p w14:paraId="1F66BB36" w14:textId="0F7A2D7E" w:rsidR="00D34692" w:rsidRDefault="0015640C" w:rsidP="005D27E2">
      <w:pPr>
        <w:pStyle w:val="BodyText"/>
        <w:rPr>
          <w:rStyle w:val="BodyTextChar"/>
        </w:rPr>
      </w:pPr>
      <w:r>
        <w:rPr>
          <w:rStyle w:val="BodyTextChar"/>
        </w:rPr>
        <w:t xml:space="preserve">Since Rel-15 supports both Option 1 and Option 2, it should be further discussed how to capture the </w:t>
      </w:r>
      <w:r w:rsidR="006F5EC1">
        <w:rPr>
          <w:rStyle w:val="BodyTextChar"/>
        </w:rPr>
        <w:t xml:space="preserve">NR-U </w:t>
      </w:r>
      <w:r>
        <w:rPr>
          <w:rStyle w:val="BodyTextChar"/>
        </w:rPr>
        <w:t xml:space="preserve">agreement on 20 MHz initial DL/UL BWP in consideration of </w:t>
      </w:r>
      <w:r w:rsidR="006F5EC1">
        <w:rPr>
          <w:rStyle w:val="BodyTextChar"/>
        </w:rPr>
        <w:t xml:space="preserve">both of </w:t>
      </w:r>
      <w:r>
        <w:rPr>
          <w:rStyle w:val="BodyTextChar"/>
        </w:rPr>
        <w:t>these options.</w:t>
      </w:r>
      <w:r w:rsidR="006F5EC1">
        <w:rPr>
          <w:rStyle w:val="BodyText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BodyTextChar"/>
        </w:rPr>
        <w:t xml:space="preserve"> for NR-U</w:t>
      </w:r>
      <w:r w:rsidR="006F5EC1">
        <w:rPr>
          <w:rStyle w:val="BodyTextChar"/>
        </w:rPr>
        <w:t xml:space="preserve">), regardless of whether Option 1 </w:t>
      </w:r>
      <w:r w:rsidR="00D34692">
        <w:rPr>
          <w:rStyle w:val="BodyTextChar"/>
        </w:rPr>
        <w:t>or</w:t>
      </w:r>
      <w:r w:rsidR="006F5EC1">
        <w:rPr>
          <w:rStyle w:val="BodyTextChar"/>
        </w:rPr>
        <w:t xml:space="preserve"> Option 2 is used</w:t>
      </w:r>
      <w:r w:rsidR="00D34692">
        <w:rPr>
          <w:rStyle w:val="BodyTextChar"/>
        </w:rPr>
        <w:t>, i.e., regardless of the size of the initial DL BWP</w:t>
      </w:r>
      <w:r w:rsidR="00F31A59">
        <w:rPr>
          <w:rStyle w:val="BodyTextChar"/>
        </w:rPr>
        <w:t>:</w:t>
      </w:r>
    </w:p>
    <w:p w14:paraId="29751078" w14:textId="77777777" w:rsidR="00D34692" w:rsidRDefault="006F5EC1" w:rsidP="00D34692">
      <w:pPr>
        <w:pStyle w:val="BodyText"/>
        <w:numPr>
          <w:ilvl w:val="0"/>
          <w:numId w:val="31"/>
        </w:numPr>
        <w:rPr>
          <w:rStyle w:val="BodyTextChar"/>
        </w:rPr>
      </w:pPr>
      <w:r>
        <w:rPr>
          <w:rStyle w:val="BodyTextChar"/>
        </w:rPr>
        <w:t>38.212 specifies that DCI 1_0 addressed to SI-RNTI</w:t>
      </w:r>
      <w:r w:rsidR="00D34692">
        <w:rPr>
          <w:rStyle w:val="BodyTextChar"/>
        </w:rPr>
        <w:t xml:space="preserve"> </w:t>
      </w:r>
      <w:r>
        <w:rPr>
          <w:rStyle w:val="BodyTextChar"/>
        </w:rPr>
        <w:t>/</w:t>
      </w:r>
      <w:r w:rsidR="00D34692">
        <w:rPr>
          <w:rStyle w:val="BodyTextChar"/>
        </w:rPr>
        <w:t xml:space="preserve"> </w:t>
      </w:r>
      <w:r>
        <w:rPr>
          <w:rStyle w:val="BodyTextChar"/>
        </w:rPr>
        <w:t>RA-RNTI</w:t>
      </w:r>
      <w:r w:rsidR="00D34692">
        <w:rPr>
          <w:rStyle w:val="BodyTextChar"/>
        </w:rPr>
        <w:t xml:space="preserve"> </w:t>
      </w:r>
      <w:r>
        <w:rPr>
          <w:rStyle w:val="BodyTextChar"/>
        </w:rPr>
        <w:t>/</w:t>
      </w:r>
      <w:r w:rsidR="00D34692">
        <w:rPr>
          <w:rStyle w:val="BodyTextChar"/>
        </w:rPr>
        <w:t xml:space="preserve"> </w:t>
      </w:r>
      <w:r>
        <w:rPr>
          <w:rStyle w:val="BodyTextChar"/>
        </w:rPr>
        <w:t xml:space="preserve">TC-RNTI </w:t>
      </w:r>
      <w:r w:rsidR="00D34692">
        <w:rPr>
          <w:rStyle w:val="BodyTextChar"/>
        </w:rPr>
        <w:t>restricts the FDRA to the size of CORESET0</w:t>
      </w:r>
    </w:p>
    <w:p w14:paraId="617859A6" w14:textId="00B60D04" w:rsidR="00D34692" w:rsidRDefault="00D34692" w:rsidP="00D34692">
      <w:pPr>
        <w:pStyle w:val="BodyText"/>
        <w:numPr>
          <w:ilvl w:val="0"/>
          <w:numId w:val="31"/>
        </w:numPr>
        <w:rPr>
          <w:rStyle w:val="BodyTextChar"/>
        </w:rPr>
      </w:pPr>
      <w:r>
        <w:rPr>
          <w:rStyle w:val="BodyTextChar"/>
        </w:rPr>
        <w:t>38.214 Section 5.1.2.2 specifies that the PDSCH scheduled by DCI 1_0 in CSS is restricted to the bandwidth of CORESET0</w:t>
      </w:r>
      <w:r w:rsidR="006F5EC1">
        <w:rPr>
          <w:rStyle w:val="BodyTextChar"/>
        </w:rPr>
        <w:t>.</w:t>
      </w:r>
    </w:p>
    <w:p w14:paraId="48598043" w14:textId="0CA5D1C3" w:rsidR="00D34692" w:rsidRDefault="006F5EC1" w:rsidP="005D27E2">
      <w:pPr>
        <w:pStyle w:val="BodyText"/>
        <w:rPr>
          <w:lang w:val="en-US"/>
        </w:rPr>
      </w:pPr>
      <w:r>
        <w:rPr>
          <w:rStyle w:val="BodyTextChar"/>
        </w:rPr>
        <w:t>Hence, what is left to discuss is UL transmissions prior to the UE entering RRC_CONNECTED mode (see above 3 bullets).</w:t>
      </w:r>
      <w:r w:rsidR="00D34692">
        <w:rPr>
          <w:rStyle w:val="BodyText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PxSCH/PxCCH transmission/reception.</w:t>
      </w:r>
    </w:p>
    <w:p w14:paraId="0FA382ED" w14:textId="4AD0E644" w:rsidR="00FA1C9E" w:rsidRDefault="005D27E2" w:rsidP="005D27E2">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BWP-DownlinkCommon</w:t>
      </w:r>
      <w:r w:rsidR="00042D8D">
        <w:rPr>
          <w:lang w:val="en-US"/>
        </w:rPr>
        <w:t xml:space="preserve"> and </w:t>
      </w:r>
      <w:r w:rsidR="00042D8D" w:rsidRPr="00FA1C9E">
        <w:rPr>
          <w:i/>
          <w:iCs/>
          <w:lang w:val="en-US"/>
        </w:rPr>
        <w:t>BWP-UplinkCommon</w:t>
      </w:r>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Despite the fact that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by virtue of the fact that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r w:rsidR="00B66975" w:rsidRPr="00115122">
        <w:rPr>
          <w:i/>
          <w:iCs/>
        </w:rPr>
        <w:t>initialDownlinkBWP</w:t>
      </w:r>
      <w:r w:rsidR="00B66975">
        <w:t xml:space="preserve"> in </w:t>
      </w:r>
      <w:r w:rsidR="00B66975" w:rsidRPr="00115122">
        <w:rPr>
          <w:i/>
          <w:iCs/>
        </w:rPr>
        <w:t>DownlinkConfigCommonSIB</w:t>
      </w:r>
      <w:r w:rsidR="00B66975">
        <w:t>).</w:t>
      </w:r>
    </w:p>
    <w:p w14:paraId="71D88D36" w14:textId="28B6DE2E" w:rsidR="00F40C7F" w:rsidRPr="008E043E" w:rsidRDefault="00F40C7F" w:rsidP="008E043E">
      <w:pPr>
        <w:pStyle w:val="BodyText"/>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BodyText"/>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BodyText"/>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w:t>
      </w:r>
      <w:r>
        <w:rPr>
          <w:lang w:val="en-US"/>
        </w:rPr>
        <w:lastRenderedPageBreak/>
        <w:t>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BodyText"/>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BodyText"/>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BodyText"/>
        <w:numPr>
          <w:ilvl w:val="1"/>
          <w:numId w:val="33"/>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宋体" w:hAnsi="Times New Roman"/>
          <w:color w:val="FF0000"/>
        </w:rPr>
        <w:t xml:space="preserve">CORESET in which the </w:t>
      </w:r>
      <w:commentRangeStart w:id="31"/>
      <w:r>
        <w:rPr>
          <w:rFonts w:ascii="Times New Roman" w:eastAsia="宋体" w:hAnsi="Times New Roman"/>
          <w:color w:val="FF0000"/>
        </w:rPr>
        <w:t xml:space="preserve">DCI format </w:t>
      </w:r>
      <w:commentRangeEnd w:id="31"/>
      <w:r>
        <w:rPr>
          <w:rStyle w:val="CommentReference"/>
        </w:rPr>
        <w:commentReference w:id="31"/>
      </w:r>
      <w:r>
        <w:rPr>
          <w:rFonts w:ascii="Times New Roman" w:eastAsia="宋体" w:hAnsi="Times New Roman"/>
          <w:color w:val="FF0000"/>
        </w:rPr>
        <w:t>is detected</w:t>
      </w:r>
      <w:commentRangeEnd w:id="30"/>
      <w:r>
        <w:rPr>
          <w:rStyle w:val="CommentReference"/>
        </w:rPr>
        <w:commentReference w:id="30"/>
      </w:r>
      <w:r>
        <w:rPr>
          <w:rFonts w:ascii="Times New Roman" w:eastAsia="宋体" w:hAnsi="Times New Roman"/>
          <w:color w:val="FF0000"/>
        </w:rPr>
        <w:t>. [</w:t>
      </w:r>
      <w:commentRangeStart w:id="32"/>
      <w:r>
        <w:rPr>
          <w:rFonts w:ascii="Times New Roman" w:eastAsia="宋体" w:hAnsi="Times New Roman"/>
          <w:color w:val="FF0000"/>
        </w:rPr>
        <w:t>If there is no intersection</w:t>
      </w:r>
      <w:commentRangeEnd w:id="32"/>
      <w:r>
        <w:rPr>
          <w:rStyle w:val="CommentReference"/>
        </w:rPr>
        <w:commentReference w:id="32"/>
      </w:r>
      <w:r>
        <w:rPr>
          <w:rFonts w:ascii="Times New Roman" w:eastAsia="宋体" w:hAnsi="Times New Roman"/>
          <w:color w:val="FF0000"/>
        </w:rPr>
        <w:t>, the UL RB set is RB set 0 in the initial UL BWP]</w:t>
      </w:r>
    </w:p>
    <w:p w14:paraId="2806A7F1" w14:textId="77777777" w:rsidR="00115122" w:rsidRDefault="00AE1D27" w:rsidP="00F40C7F">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BodyText"/>
        <w:numPr>
          <w:ilvl w:val="0"/>
          <w:numId w:val="33"/>
        </w:numPr>
        <w:rPr>
          <w:lang w:val="en-US"/>
        </w:rPr>
        <w:sectPr w:rsidR="00115122" w:rsidRPr="00F40C7F"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Caption"/>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Heading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BodyText"/>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6.25pt" o:ole="">
            <v:imagedata r:id="rId19" o:title=""/>
          </v:shape>
          <o:OLEObject Type="Embed" ProgID="Visio.Drawing.15" ShapeID="_x0000_i1025" DrawAspect="Content" ObjectID="_1651524924" r:id="rId20"/>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pt;height:116.15pt" o:ole="">
            <v:imagedata r:id="rId21" o:title=""/>
          </v:shape>
          <o:OLEObject Type="Embed" ProgID="Visio.Drawing.15" ShapeID="_x0000_i1026" DrawAspect="Content" ObjectID="_1651524925" r:id="rId22"/>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BodyText"/>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tephen Grant" w:date="2020-05-19T08:16:00Z" w:initials="SG">
    <w:p w14:paraId="5FFF988A" w14:textId="77777777" w:rsidR="00075249" w:rsidRDefault="00075249" w:rsidP="00AE1D27">
      <w:pPr>
        <w:pStyle w:val="CommentText"/>
      </w:pPr>
      <w:r>
        <w:rPr>
          <w:rStyle w:val="CommentReference"/>
        </w:rPr>
        <w:annotationRef/>
      </w:r>
      <w:r>
        <w:t>Earlier in Section 9.2.1 the following text clarifies what DCI format the UE detects:</w:t>
      </w:r>
    </w:p>
    <w:p w14:paraId="6B8BE18A" w14:textId="77777777" w:rsidR="00075249" w:rsidRDefault="00075249" w:rsidP="00AE1D27">
      <w:pPr>
        <w:pStyle w:val="CommentText"/>
      </w:pPr>
    </w:p>
    <w:p w14:paraId="70584B30" w14:textId="3D11C372" w:rsidR="00075249" w:rsidRPr="00DA007B" w:rsidRDefault="00075249" w:rsidP="00AE1D27">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19T08:19:00Z" w:initials="SG">
    <w:p w14:paraId="06496B8C" w14:textId="5B5ECDFB" w:rsidR="00075249" w:rsidRDefault="00075249" w:rsidP="00AE1D27">
      <w:pPr>
        <w:pStyle w:val="CommentText"/>
      </w:pPr>
      <w:r>
        <w:rPr>
          <w:rStyle w:val="CommentReference"/>
        </w:rPr>
        <w:annotationRef/>
      </w:r>
      <w:r>
        <w:t>This is the same wording as used in 38.214 Section 5.1.2.2 to restrict Msg2 and Msg4 to the bandwidth of CORESET0 which is ~20 MHz for NR-U.</w:t>
      </w:r>
    </w:p>
  </w:comment>
  <w:comment w:id="32" w:author="Stephen Grant" w:date="2020-05-19T08:48:00Z" w:initials="SG">
    <w:p w14:paraId="3E69E211" w14:textId="07E3E3DB" w:rsidR="00075249" w:rsidRDefault="00075249" w:rsidP="00AE1D27">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EEC5" w14:textId="77777777" w:rsidR="00EA48AB" w:rsidRDefault="00EA48AB">
      <w:pPr>
        <w:spacing w:after="0" w:line="240" w:lineRule="auto"/>
      </w:pPr>
      <w:r>
        <w:separator/>
      </w:r>
    </w:p>
  </w:endnote>
  <w:endnote w:type="continuationSeparator" w:id="0">
    <w:p w14:paraId="014C5B8A" w14:textId="77777777" w:rsidR="00EA48AB" w:rsidRDefault="00EA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75249" w:rsidRDefault="0007524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F00">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F00">
      <w:rPr>
        <w:rStyle w:val="PageNumber"/>
        <w:noProof/>
      </w:rPr>
      <w:t>8</w:t>
    </w:r>
    <w:r>
      <w:rPr>
        <w:rStyle w:val="PageNumber"/>
      </w:rPr>
      <w:fldChar w:fldCharType="end"/>
    </w:r>
    <w:r>
      <w:rPr>
        <w:rStyle w:val="PageNumber"/>
      </w:rPr>
      <w:tab/>
    </w:r>
  </w:p>
  <w:p w14:paraId="7E62BD18" w14:textId="77777777" w:rsidR="00075249" w:rsidRDefault="000752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BF925" w14:textId="77777777" w:rsidR="00EA48AB" w:rsidRDefault="00EA48AB">
      <w:pPr>
        <w:spacing w:after="0" w:line="240" w:lineRule="auto"/>
      </w:pPr>
      <w:r>
        <w:separator/>
      </w:r>
    </w:p>
  </w:footnote>
  <w:footnote w:type="continuationSeparator" w:id="0">
    <w:p w14:paraId="10D6C265" w14:textId="77777777" w:rsidR="00EA48AB" w:rsidRDefault="00EA4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75249" w:rsidRDefault="00075249">
    <w:r>
      <w:t xml:space="preserve">Page </w:t>
    </w:r>
    <w:r>
      <w:fldChar w:fldCharType="begin"/>
    </w:r>
    <w:r>
      <w:instrText>PAGE</w:instrText>
    </w:r>
    <w:r>
      <w:fldChar w:fldCharType="separate"/>
    </w:r>
    <w:r>
      <w:t>4</w:t>
    </w:r>
    <w:r>
      <w:fldChar w:fldCharType="end"/>
    </w:r>
    <w:r>
      <w:br/>
      <w:t>Draft prETS 300 ???: Month YYYY</w:t>
    </w:r>
  </w:p>
  <w:p w14:paraId="2EC9902E" w14:textId="77777777" w:rsidR="00075249" w:rsidRDefault="000752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249"/>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84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5EB3"/>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A7C6B"/>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5F00"/>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6DA6"/>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689"/>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1D88"/>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21"/>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270ED"/>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48AB"/>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ê¥¹¥È¶ÎÂä Char,列表段落1 Char,—ño’i—Ž Char,1st level - Bullet List Paragraph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package" Target="embeddings/Microsoft_Visio___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90EF353-11DB-4802-81BE-E1CD6D03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2268</Words>
  <Characters>12930</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2</cp:revision>
  <cp:lastPrinted>2008-01-30T21:09:00Z</cp:lastPrinted>
  <dcterms:created xsi:type="dcterms:W3CDTF">2020-05-20T16:09:00Z</dcterms:created>
  <dcterms:modified xsi:type="dcterms:W3CDTF">2020-05-20T16:09:00Z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C:\Users\samsung\Downloads\Draft R1-20xxxxx FL Summary for 7.2.2.1.3 UL Signals and Channels v002.docx</vt:lpwstr>
  </property>
</Properties>
</file>