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601DC0B" w:rsidR="007C56DE" w:rsidRDefault="007C56DE" w:rsidP="007C56DE">
      <w:pPr>
        <w:pStyle w:val="3GPPHeader"/>
        <w:spacing w:after="0"/>
        <w:ind w:left="1710" w:hanging="1710"/>
        <w:jc w:val="left"/>
        <w:rPr>
          <w:sz w:val="20"/>
        </w:rPr>
      </w:pPr>
      <w:r>
        <w:rPr>
          <w:sz w:val="20"/>
        </w:rPr>
        <w:t>Title:</w:t>
      </w:r>
      <w:r>
        <w:rPr>
          <w:sz w:val="20"/>
        </w:rPr>
        <w:tab/>
        <w:t xml:space="preserve">FL Summary </w:t>
      </w:r>
      <w:r w:rsidR="009F3D08">
        <w:rPr>
          <w:sz w:val="20"/>
        </w:rPr>
        <w:t xml:space="preserve">2 </w:t>
      </w:r>
      <w:r>
        <w:rPr>
          <w:sz w:val="20"/>
        </w:rPr>
        <w:t xml:space="preserve">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06252E" w:rsidRPr="00390500" w:rsidRDefault="0006252E"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6252E" w:rsidRPr="00390500" w:rsidRDefault="0006252E"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6252E"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6252E" w:rsidRDefault="0006252E" w:rsidP="00390500">
                            <w:pPr>
                              <w:jc w:val="center"/>
                            </w:pPr>
                            <w:r>
                              <w:t>*** Omitted text ***</w:t>
                            </w:r>
                          </w:p>
                          <w:p w14:paraId="1FC10783" w14:textId="77777777" w:rsidR="0006252E" w:rsidRPr="00390500" w:rsidRDefault="0006252E"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6252E" w:rsidRDefault="000625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06252E" w:rsidRPr="00390500" w:rsidRDefault="0006252E"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6252E" w:rsidRPr="00390500" w:rsidRDefault="0006252E"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6252E" w:rsidRDefault="0006252E"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6252E" w:rsidRPr="00390500" w:rsidRDefault="0006252E"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6252E" w:rsidRDefault="0006252E" w:rsidP="00390500">
                      <w:pPr>
                        <w:jc w:val="center"/>
                      </w:pPr>
                      <w:r>
                        <w:t>*** Omitted text ***</w:t>
                      </w:r>
                    </w:p>
                    <w:p w14:paraId="1FC10783" w14:textId="77777777" w:rsidR="0006252E" w:rsidRPr="00390500" w:rsidRDefault="0006252E"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6252E" w:rsidRDefault="0006252E"/>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There is not consensus whether or not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BodyText"/>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BodyText"/>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BodyText"/>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BodyText"/>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BodyText"/>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BodyText"/>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BodyText"/>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BodyText"/>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BodyText"/>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BodyText"/>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BodyText"/>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BodyText"/>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BodyText"/>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BodyText"/>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BodyText"/>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BodyText"/>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BodyText"/>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BodyText"/>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r w:rsidR="00CD46A6" w14:paraId="6CAB7DA8" w14:textId="77777777" w:rsidTr="00F74764">
        <w:tc>
          <w:tcPr>
            <w:tcW w:w="1525" w:type="dxa"/>
          </w:tcPr>
          <w:p w14:paraId="3017F431" w14:textId="418773B4" w:rsidR="00CD46A6" w:rsidRPr="00AE3E11" w:rsidRDefault="00CD46A6" w:rsidP="00F74764">
            <w:pPr>
              <w:pStyle w:val="BodyText"/>
              <w:spacing w:after="0"/>
              <w:rPr>
                <w:lang w:val="de-DE"/>
              </w:rPr>
            </w:pPr>
            <w:r>
              <w:rPr>
                <w:lang w:val="de-DE"/>
              </w:rPr>
              <w:lastRenderedPageBreak/>
              <w:t>Ericsson</w:t>
            </w:r>
          </w:p>
        </w:tc>
        <w:tc>
          <w:tcPr>
            <w:tcW w:w="7560" w:type="dxa"/>
          </w:tcPr>
          <w:p w14:paraId="7897DF1B" w14:textId="77777777" w:rsidR="00CD46A6" w:rsidRDefault="00CD46A6" w:rsidP="00F74764">
            <w:pPr>
              <w:pStyle w:val="BodyText"/>
              <w:spacing w:after="0"/>
              <w:rPr>
                <w:lang w:val="de-DE"/>
              </w:rPr>
            </w:pPr>
            <w:r>
              <w:rPr>
                <w:lang w:val="de-DE"/>
              </w:rPr>
              <w:t>I understadn the concern, but any wording that we come up, would have some short coming.</w:t>
            </w:r>
          </w:p>
          <w:p w14:paraId="46C4099A" w14:textId="77777777" w:rsidR="00CD46A6" w:rsidRDefault="00CD46A6" w:rsidP="00CD46A6">
            <w:pPr>
              <w:pStyle w:val="BodyText"/>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14:paraId="7EBF59CB" w14:textId="77777777" w:rsidR="00CD46A6" w:rsidRDefault="00CD46A6" w:rsidP="00CD46A6">
            <w:pPr>
              <w:pStyle w:val="BodyText"/>
              <w:numPr>
                <w:ilvl w:val="0"/>
                <w:numId w:val="25"/>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14:paraId="3B988CE7" w14:textId="77777777" w:rsidR="00CD46A6" w:rsidRDefault="00CD46A6" w:rsidP="00CD46A6">
            <w:pPr>
              <w:pStyle w:val="BodyText"/>
              <w:numPr>
                <w:ilvl w:val="0"/>
                <w:numId w:val="25"/>
              </w:numPr>
              <w:spacing w:after="0"/>
              <w:rPr>
                <w:lang w:val="de-DE"/>
              </w:rPr>
            </w:pPr>
            <w:r>
              <w:rPr>
                <w:lang w:val="de-DE"/>
              </w:rPr>
              <w:t>Now, it is the same story for NR-U as you see.</w:t>
            </w:r>
          </w:p>
          <w:p w14:paraId="5E67ED3F" w14:textId="44CAAF8E" w:rsidR="00CD46A6" w:rsidRDefault="00CD46A6" w:rsidP="00CD46A6">
            <w:pPr>
              <w:pStyle w:val="BodyText"/>
              <w:numPr>
                <w:ilvl w:val="0"/>
                <w:numId w:val="25"/>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14:paraId="21FFC814" w14:textId="49CCEF07" w:rsidR="00CD46A6" w:rsidRPr="00AE3E11" w:rsidRDefault="00CD46A6" w:rsidP="00CD46A6">
            <w:pPr>
              <w:pStyle w:val="BodyText"/>
              <w:numPr>
                <w:ilvl w:val="0"/>
                <w:numId w:val="25"/>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6A3E00ED" w:rsidR="004A0F33" w:rsidRDefault="004A0F33" w:rsidP="009D133C">
      <w:pPr>
        <w:pStyle w:val="BodyText"/>
        <w:ind w:left="567"/>
        <w:rPr>
          <w:lang w:val="en-US"/>
        </w:rPr>
      </w:pPr>
      <w:r>
        <w:rPr>
          <w:lang w:val="en-US"/>
        </w:rPr>
        <w:t>No spec change needed regarding Proposal 2</w:t>
      </w:r>
      <w:r w:rsidR="007E2A03">
        <w:rPr>
          <w:lang w:val="en-US"/>
        </w:rPr>
        <w:t>; it can be handled by gNB implementation</w:t>
      </w:r>
    </w:p>
    <w:p w14:paraId="5925B5CE" w14:textId="77777777" w:rsidR="00AE395F" w:rsidRDefault="00AE395F" w:rsidP="00AE395F">
      <w:pPr>
        <w:pStyle w:val="Heading2"/>
        <w:rPr>
          <w:lang w:val="en-US"/>
        </w:rPr>
      </w:pPr>
      <w:r>
        <w:rPr>
          <w:lang w:val="en-US"/>
        </w:rPr>
        <w:t>2.3</w:t>
      </w:r>
      <w:r>
        <w:rPr>
          <w:lang w:val="en-US"/>
        </w:rPr>
        <w:tab/>
        <w:t>Summary of 2</w:t>
      </w:r>
      <w:r w:rsidRPr="00630E10">
        <w:rPr>
          <w:vertAlign w:val="superscript"/>
          <w:lang w:val="en-US"/>
        </w:rPr>
        <w:t>nd</w:t>
      </w:r>
      <w:r>
        <w:rPr>
          <w:lang w:val="en-US"/>
        </w:rPr>
        <w:t xml:space="preserve"> Round of Comments</w:t>
      </w:r>
    </w:p>
    <w:p w14:paraId="16BC7435" w14:textId="77777777" w:rsidR="00AE395F" w:rsidRDefault="00AE395F" w:rsidP="00AE395F">
      <w:pPr>
        <w:pStyle w:val="BodyText"/>
        <w:jc w:val="left"/>
        <w:rPr>
          <w:lang w:val="en-US"/>
        </w:rPr>
      </w:pPr>
      <w:r>
        <w:rPr>
          <w:lang w:val="en-US"/>
        </w:rPr>
        <w:t>Regarding Proposal 2, it seems as though there is support for writing a generic conclusion; however, there is not consensus on the wording.</w:t>
      </w:r>
    </w:p>
    <w:p w14:paraId="56C2DCF6" w14:textId="77777777" w:rsidR="00AE395F" w:rsidRDefault="00AE395F" w:rsidP="00AE395F">
      <w:pPr>
        <w:pStyle w:val="BodyText"/>
        <w:jc w:val="left"/>
        <w:rPr>
          <w:lang w:val="en-US"/>
        </w:rPr>
      </w:pPr>
      <w:r w:rsidRPr="00630E10">
        <w:rPr>
          <w:highlight w:val="cyan"/>
          <w:lang w:val="en-US"/>
        </w:rPr>
        <w:t>FL Recommendation</w:t>
      </w:r>
    </w:p>
    <w:p w14:paraId="0CA39CB1" w14:textId="362EE81A" w:rsidR="00AE395F" w:rsidRDefault="00AE395F" w:rsidP="00AE395F">
      <w:pPr>
        <w:pStyle w:val="BodyText"/>
        <w:jc w:val="left"/>
        <w:rPr>
          <w:lang w:val="en-US"/>
        </w:rPr>
      </w:pPr>
      <w:r>
        <w:rPr>
          <w:lang w:val="en-US"/>
        </w:rPr>
        <w:t>Further discuss wording for a generic conclusion using one of the following 2 possibilities as a starting point to see if consensus can be achieved:</w:t>
      </w:r>
    </w:p>
    <w:p w14:paraId="7BBEE52C" w14:textId="77777777" w:rsidR="00AE395F" w:rsidRPr="00630E10" w:rsidRDefault="00AE395F" w:rsidP="00AE395F">
      <w:pPr>
        <w:pStyle w:val="BodyText"/>
        <w:ind w:left="567"/>
        <w:rPr>
          <w:rFonts w:eastAsia="Malgun Gothic" w:cs="Arial"/>
          <w:lang w:val="de-DE" w:eastAsia="ko-KR"/>
        </w:rPr>
      </w:pPr>
      <w:r w:rsidRPr="00630E10">
        <w:rPr>
          <w:rFonts w:eastAsia="Malgun Gothic" w:cs="Arial"/>
          <w:u w:val="single"/>
          <w:lang w:val="de-DE" w:eastAsia="ko-KR"/>
        </w:rPr>
        <w:t xml:space="preserve">Alt-1: </w:t>
      </w:r>
      <w:r w:rsidRPr="00630E10">
        <w:rPr>
          <w:rFonts w:eastAsia="Malgun Gothic" w:cs="Arial"/>
          <w:lang w:val="de-DE" w:eastAsia="ko-KR"/>
        </w:rPr>
        <w:t>Transmission(s) that do not occur since the UE fails to access the channel still count as a transmission</w:t>
      </w:r>
    </w:p>
    <w:p w14:paraId="656AD5FF" w14:textId="25951CC3" w:rsidR="00AE395F" w:rsidRDefault="00AE395F" w:rsidP="00AE395F">
      <w:pPr>
        <w:pStyle w:val="BodyText"/>
        <w:ind w:left="567"/>
        <w:rPr>
          <w:rFonts w:eastAsia="Malgun Gothic" w:cs="Arial"/>
          <w:lang w:val="de-DE" w:eastAsia="ko-KR"/>
        </w:rPr>
      </w:pPr>
      <w:r w:rsidRPr="00630E10">
        <w:rPr>
          <w:rFonts w:eastAsia="Malgun Gothic" w:cs="Arial"/>
          <w:u w:val="single"/>
          <w:lang w:val="de-DE" w:eastAsia="ko-KR"/>
        </w:rPr>
        <w:t>Alt-2</w:t>
      </w:r>
      <w:r w:rsidRPr="00630E10">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bookmarkStart w:id="31" w:name="_GoBack"/>
      <w:bookmarkEnd w:id="31"/>
    </w:p>
    <w:p w14:paraId="647D2E58" w14:textId="3167C714" w:rsidR="00E85DC5" w:rsidRDefault="00E85DC5" w:rsidP="00AE395F">
      <w:pPr>
        <w:pStyle w:val="BodyText"/>
        <w:ind w:left="567"/>
        <w:rPr>
          <w:rFonts w:eastAsia="Malgun Gothic" w:cs="Arial"/>
          <w:lang w:val="de-DE" w:eastAsia="ko-KR"/>
        </w:rPr>
      </w:pPr>
    </w:p>
    <w:p w14:paraId="754D0D53" w14:textId="74E95742" w:rsidR="00E85DC5" w:rsidRDefault="00E85DC5" w:rsidP="00E85DC5">
      <w:pPr>
        <w:pStyle w:val="Heading2"/>
        <w:rPr>
          <w:lang w:val="de-DE" w:eastAsia="ko-KR"/>
        </w:rPr>
      </w:pPr>
      <w:r>
        <w:rPr>
          <w:lang w:val="de-DE" w:eastAsia="ko-KR"/>
        </w:rPr>
        <w:t>2.4</w:t>
      </w:r>
      <w:r>
        <w:rPr>
          <w:lang w:val="de-DE" w:eastAsia="ko-KR"/>
        </w:rPr>
        <w:tab/>
        <w:t>Third Round Comments</w:t>
      </w:r>
    </w:p>
    <w:p w14:paraId="36C5792F" w14:textId="52B6D36B" w:rsidR="00E85DC5" w:rsidRPr="00E85DC5" w:rsidRDefault="00E85DC5" w:rsidP="00E85DC5">
      <w:pPr>
        <w:pStyle w:val="BodyText"/>
        <w:rPr>
          <w:rFonts w:eastAsia="Malgun Gothic" w:cs="Arial"/>
          <w:b/>
          <w:bCs/>
          <w:lang w:val="de-DE" w:eastAsia="ko-KR"/>
        </w:rPr>
      </w:pPr>
      <w:r w:rsidRPr="00E85DC5">
        <w:rPr>
          <w:rFonts w:eastAsia="Malgun Gothic" w:cs="Arial"/>
          <w:b/>
          <w:bCs/>
          <w:lang w:val="de-DE" w:eastAsia="ko-KR"/>
        </w:rPr>
        <w:t>Q1: Please provide your company view on preferred alternative (Alt-1, Alt-2) and potential rewording if needed.</w:t>
      </w:r>
    </w:p>
    <w:tbl>
      <w:tblPr>
        <w:tblStyle w:val="TableGrid"/>
        <w:tblW w:w="9085" w:type="dxa"/>
        <w:tblLayout w:type="fixed"/>
        <w:tblLook w:val="04A0" w:firstRow="1" w:lastRow="0" w:firstColumn="1" w:lastColumn="0" w:noHBand="0" w:noVBand="1"/>
      </w:tblPr>
      <w:tblGrid>
        <w:gridCol w:w="1525"/>
        <w:gridCol w:w="7560"/>
      </w:tblGrid>
      <w:tr w:rsidR="00E85DC5" w14:paraId="7C3E2AB0" w14:textId="77777777" w:rsidTr="006A0CE9">
        <w:tc>
          <w:tcPr>
            <w:tcW w:w="1525" w:type="dxa"/>
          </w:tcPr>
          <w:p w14:paraId="483E1FC5" w14:textId="77777777" w:rsidR="00E85DC5" w:rsidRDefault="00E85DC5" w:rsidP="006A0CE9">
            <w:pPr>
              <w:pStyle w:val="BodyText"/>
              <w:spacing w:after="0"/>
              <w:rPr>
                <w:b/>
                <w:sz w:val="20"/>
                <w:szCs w:val="20"/>
                <w:lang w:val="de-DE"/>
              </w:rPr>
            </w:pPr>
            <w:r>
              <w:rPr>
                <w:b/>
                <w:sz w:val="20"/>
                <w:szCs w:val="20"/>
                <w:lang w:val="de-DE"/>
              </w:rPr>
              <w:lastRenderedPageBreak/>
              <w:t>Company</w:t>
            </w:r>
          </w:p>
        </w:tc>
        <w:tc>
          <w:tcPr>
            <w:tcW w:w="7560" w:type="dxa"/>
          </w:tcPr>
          <w:p w14:paraId="1255AF99" w14:textId="77777777" w:rsidR="00E85DC5" w:rsidRDefault="00E85DC5" w:rsidP="006A0CE9">
            <w:pPr>
              <w:pStyle w:val="BodyText"/>
              <w:spacing w:after="0"/>
              <w:rPr>
                <w:b/>
                <w:sz w:val="20"/>
                <w:szCs w:val="20"/>
                <w:lang w:val="de-DE"/>
              </w:rPr>
            </w:pPr>
            <w:r>
              <w:rPr>
                <w:b/>
                <w:sz w:val="20"/>
                <w:szCs w:val="20"/>
                <w:lang w:val="de-DE"/>
              </w:rPr>
              <w:t>View/Position</w:t>
            </w:r>
          </w:p>
        </w:tc>
      </w:tr>
      <w:tr w:rsidR="00E85DC5" w:rsidRPr="00B01075" w14:paraId="48C8A1FA" w14:textId="77777777" w:rsidTr="006A0CE9">
        <w:tc>
          <w:tcPr>
            <w:tcW w:w="1525" w:type="dxa"/>
          </w:tcPr>
          <w:p w14:paraId="77F8A549" w14:textId="73DF3E72" w:rsidR="00E85DC5" w:rsidRPr="00025849" w:rsidRDefault="006A0CE9" w:rsidP="006A0CE9">
            <w:pPr>
              <w:pStyle w:val="BodyText"/>
              <w:spacing w:after="0"/>
              <w:rPr>
                <w:rFonts w:eastAsiaTheme="minorEastAsia"/>
                <w:sz w:val="20"/>
                <w:szCs w:val="20"/>
                <w:lang w:val="de-DE"/>
              </w:rPr>
            </w:pPr>
            <w:r w:rsidRPr="00025849">
              <w:rPr>
                <w:rFonts w:eastAsiaTheme="minorEastAsia" w:hint="eastAsia"/>
                <w:sz w:val="20"/>
                <w:szCs w:val="20"/>
                <w:lang w:val="de-DE"/>
              </w:rPr>
              <w:t>Sa</w:t>
            </w:r>
            <w:r w:rsidRPr="00025849">
              <w:rPr>
                <w:rFonts w:eastAsiaTheme="minorEastAsia"/>
                <w:sz w:val="20"/>
                <w:szCs w:val="20"/>
                <w:lang w:val="de-DE"/>
              </w:rPr>
              <w:t xml:space="preserve">msung </w:t>
            </w:r>
          </w:p>
        </w:tc>
        <w:tc>
          <w:tcPr>
            <w:tcW w:w="7560" w:type="dxa"/>
          </w:tcPr>
          <w:p w14:paraId="566B89A2" w14:textId="38B1F4D4" w:rsidR="006A0CE9" w:rsidRPr="00025849" w:rsidRDefault="006A0CE9" w:rsidP="006A0CE9">
            <w:pPr>
              <w:pStyle w:val="BodyText"/>
              <w:spacing w:after="0"/>
              <w:rPr>
                <w:rFonts w:eastAsiaTheme="minorEastAsia"/>
                <w:sz w:val="20"/>
                <w:szCs w:val="20"/>
                <w:lang w:val="de-DE"/>
              </w:rPr>
            </w:pPr>
            <w:r w:rsidRPr="00025849">
              <w:rPr>
                <w:rFonts w:eastAsiaTheme="minorEastAsia" w:hint="eastAsia"/>
                <w:sz w:val="20"/>
                <w:szCs w:val="20"/>
                <w:lang w:val="de-DE"/>
              </w:rPr>
              <w:t>W</w:t>
            </w:r>
            <w:r w:rsidRPr="00025849">
              <w:rPr>
                <w:rFonts w:eastAsiaTheme="minorEastAsia"/>
                <w:sz w:val="20"/>
                <w:szCs w:val="20"/>
                <w:lang w:val="de-DE"/>
              </w:rPr>
              <w:t xml:space="preserve">e prefer Alt-1. </w:t>
            </w:r>
            <w:r w:rsidR="0079199A" w:rsidRPr="00025849">
              <w:rPr>
                <w:rFonts w:eastAsiaTheme="minorEastAsia"/>
                <w:sz w:val="20"/>
                <w:szCs w:val="20"/>
                <w:lang w:val="de-DE"/>
              </w:rPr>
              <w:t xml:space="preserve">The current wording is sufficient. </w:t>
            </w:r>
          </w:p>
          <w:p w14:paraId="2F2A7229" w14:textId="77777777" w:rsidR="006A0CE9" w:rsidRPr="00025849" w:rsidRDefault="006A0CE9" w:rsidP="006A0CE9">
            <w:pPr>
              <w:pStyle w:val="BodyText"/>
              <w:spacing w:after="0"/>
              <w:rPr>
                <w:rFonts w:eastAsiaTheme="minorEastAsia"/>
                <w:sz w:val="20"/>
                <w:szCs w:val="20"/>
                <w:lang w:val="de-DE"/>
              </w:rPr>
            </w:pPr>
          </w:p>
          <w:p w14:paraId="10CEF63F" w14:textId="33D457DF" w:rsidR="006A0CE9" w:rsidRPr="00025849" w:rsidRDefault="006A0CE9" w:rsidP="006A0CE9">
            <w:pPr>
              <w:pStyle w:val="BodyText"/>
              <w:spacing w:after="0"/>
              <w:rPr>
                <w:sz w:val="20"/>
                <w:szCs w:val="20"/>
                <w:lang w:val="de-DE"/>
              </w:rPr>
            </w:pPr>
            <w:r w:rsidRPr="00025849">
              <w:rPr>
                <w:sz w:val="20"/>
                <w:szCs w:val="20"/>
                <w:lang w:val="de-DE"/>
              </w:rPr>
              <w:t xml:space="preserve">Thanks Sorour for further explanation. I understand your intention of </w:t>
            </w:r>
            <w:r w:rsidR="000720A2" w:rsidRPr="00025849">
              <w:rPr>
                <w:sz w:val="20"/>
                <w:szCs w:val="20"/>
                <w:lang w:val="de-DE"/>
              </w:rPr>
              <w:t>Alt-</w:t>
            </w:r>
            <w:r w:rsidRPr="00025849">
              <w:rPr>
                <w:sz w:val="20"/>
                <w:szCs w:val="20"/>
                <w:lang w:val="de-DE"/>
              </w:rPr>
              <w:t>2 now, and I also agree with you that the same principle can be reused for LBT</w:t>
            </w:r>
            <w:r w:rsidR="00734DA2" w:rsidRPr="00025849">
              <w:rPr>
                <w:sz w:val="20"/>
                <w:szCs w:val="20"/>
                <w:lang w:val="de-DE"/>
              </w:rPr>
              <w:t>case</w:t>
            </w:r>
            <w:r w:rsidRPr="00025849">
              <w:rPr>
                <w:sz w:val="20"/>
                <w:szCs w:val="20"/>
                <w:lang w:val="de-DE"/>
              </w:rPr>
              <w:t xml:space="preserve">, i.e. use the term „the UE would transmit“ beofre LBT procedure, and „UE transmits“ after LBT procedures. But the current wording in the spec can not correctly reflect this principle for LBT. </w:t>
            </w:r>
            <w:r w:rsidRPr="00025849">
              <w:rPr>
                <w:rFonts w:eastAsiaTheme="minorEastAsia"/>
                <w:sz w:val="20"/>
                <w:szCs w:val="20"/>
                <w:lang w:val="de-DE"/>
              </w:rPr>
              <w:t xml:space="preserve">The current wording, i.e. where to use </w:t>
            </w:r>
            <w:r w:rsidRPr="00025849">
              <w:rPr>
                <w:sz w:val="20"/>
                <w:szCs w:val="20"/>
                <w:lang w:val="de-DE"/>
              </w:rPr>
              <w:t>“the UE would transmit“ and where to use „UE transmits“ is based on the assumption that which PUSCH to transmit UCI and whether to transmit PUCCH may change after UCI multiplexing procedure, but whether to transmit PUSCH does not change</w:t>
            </w:r>
            <w:r w:rsidR="000863D4" w:rsidRPr="00025849">
              <w:rPr>
                <w:sz w:val="20"/>
                <w:szCs w:val="20"/>
                <w:lang w:val="de-DE"/>
              </w:rPr>
              <w:t xml:space="preserve"> after UCI multiplexing procedure</w:t>
            </w:r>
            <w:r w:rsidRPr="00025849">
              <w:rPr>
                <w:sz w:val="20"/>
                <w:szCs w:val="20"/>
                <w:lang w:val="de-DE"/>
              </w:rPr>
              <w:t>. Consequently, for PUSCH transmission (highlight in yellow), the term ‘UE transmits‘ is used no matter it is before or after UCI multiple</w:t>
            </w:r>
            <w:r w:rsidR="000863D4" w:rsidRPr="00025849">
              <w:rPr>
                <w:sz w:val="20"/>
                <w:szCs w:val="20"/>
                <w:lang w:val="de-DE"/>
              </w:rPr>
              <w:t>xing procedure. Unfortunately,</w:t>
            </w:r>
            <w:r w:rsidRPr="00025849">
              <w:rPr>
                <w:rFonts w:eastAsiaTheme="minorEastAsia"/>
                <w:sz w:val="20"/>
                <w:szCs w:val="20"/>
                <w:lang w:val="de-DE"/>
              </w:rPr>
              <w:t xml:space="preserve">for the impact of LBT, the yellow highlighted part does not imply the PUSCH transmission is before LBT procedure. </w:t>
            </w:r>
            <w:r w:rsidR="006E1FB3" w:rsidRPr="00025849">
              <w:rPr>
                <w:rFonts w:eastAsiaTheme="minorEastAsia"/>
                <w:sz w:val="20"/>
                <w:szCs w:val="20"/>
                <w:lang w:val="de-DE"/>
              </w:rPr>
              <w:t xml:space="preserve">On the contary, </w:t>
            </w:r>
            <w:r w:rsidRPr="00025849">
              <w:rPr>
                <w:sz w:val="20"/>
                <w:szCs w:val="20"/>
                <w:lang w:val="de-DE"/>
              </w:rPr>
              <w:t>from the</w:t>
            </w:r>
            <w:r w:rsidR="006E1FB3" w:rsidRPr="00025849">
              <w:rPr>
                <w:sz w:val="20"/>
                <w:szCs w:val="20"/>
                <w:lang w:val="de-DE"/>
              </w:rPr>
              <w:t xml:space="preserve"> wording itself, it reads like </w:t>
            </w:r>
            <w:r w:rsidRPr="00025849">
              <w:rPr>
                <w:sz w:val="20"/>
                <w:szCs w:val="20"/>
                <w:lang w:val="de-DE"/>
              </w:rPr>
              <w:t xml:space="preserve">actual transmission after LBT outcome. Therefore, we still think the correspoding </w:t>
            </w:r>
            <w:r w:rsidR="00404B50" w:rsidRPr="00025849">
              <w:rPr>
                <w:sz w:val="20"/>
                <w:szCs w:val="20"/>
                <w:lang w:val="de-DE"/>
              </w:rPr>
              <w:t xml:space="preserve">revision in the spec is needed no matter the revision is based on Alt-1 or Alt-2. </w:t>
            </w:r>
          </w:p>
          <w:p w14:paraId="0CC472D3" w14:textId="77777777" w:rsidR="00577CFD" w:rsidRPr="00025849" w:rsidRDefault="00577CFD" w:rsidP="006A0CE9">
            <w:pPr>
              <w:pStyle w:val="BodyText"/>
              <w:spacing w:after="0"/>
              <w:rPr>
                <w:sz w:val="20"/>
                <w:szCs w:val="20"/>
                <w:lang w:val="de-DE"/>
              </w:rPr>
            </w:pPr>
          </w:p>
          <w:p w14:paraId="0946C1FE" w14:textId="77777777" w:rsidR="00577CFD" w:rsidRPr="00025849" w:rsidRDefault="00577CFD" w:rsidP="00577CFD">
            <w:pPr>
              <w:pStyle w:val="BodyText"/>
              <w:spacing w:after="0"/>
              <w:rPr>
                <w:sz w:val="20"/>
                <w:szCs w:val="20"/>
                <w:lang w:val="de-DE"/>
              </w:rPr>
            </w:pPr>
            <w:r w:rsidRPr="00025849">
              <w:rPr>
                <w:sz w:val="20"/>
                <w:szCs w:val="20"/>
                <w:lang w:val="en-US"/>
              </w:rPr>
              <w:t>Section 9 of TS38.213</w:t>
            </w:r>
          </w:p>
          <w:p w14:paraId="7A8CF5F3" w14:textId="77777777" w:rsidR="00577CFD" w:rsidRPr="00025849" w:rsidRDefault="00577CFD" w:rsidP="00577CFD">
            <w:pPr>
              <w:pStyle w:val="BodyText"/>
              <w:spacing w:after="0"/>
              <w:rPr>
                <w:sz w:val="20"/>
                <w:szCs w:val="20"/>
                <w:lang w:val="de-DE"/>
              </w:rPr>
            </w:pPr>
            <w:r w:rsidRPr="00025849">
              <w:rPr>
                <w:sz w:val="20"/>
                <w:szCs w:val="20"/>
                <w:lang w:val="de-DE"/>
              </w:rPr>
              <w:t>"I</w:t>
            </w:r>
            <w:r w:rsidRPr="00025849">
              <w:rPr>
                <w:sz w:val="20"/>
                <w:szCs w:val="20"/>
                <w:highlight w:val="yellow"/>
                <w:lang w:val="de-DE"/>
              </w:rPr>
              <w:t>f a UE transmits</w:t>
            </w:r>
            <w:r w:rsidRPr="00025849">
              <w:rPr>
                <w:sz w:val="20"/>
                <w:szCs w:val="20"/>
                <w:lang w:val="de-DE"/>
              </w:rPr>
              <w:t xml:space="preserve"> multiple PUSCHs in a slot on respective serving cells and the </w:t>
            </w:r>
            <w:r w:rsidRPr="00025849">
              <w:rPr>
                <w:sz w:val="20"/>
                <w:szCs w:val="20"/>
                <w:highlight w:val="cyan"/>
                <w:lang w:val="de-DE"/>
              </w:rPr>
              <w:t>UE would multiplex UCI in one of the multiple PUSCHs</w:t>
            </w:r>
            <w:r w:rsidRPr="00025849">
              <w:rPr>
                <w:sz w:val="20"/>
                <w:szCs w:val="20"/>
                <w:lang w:val="de-DE"/>
              </w:rPr>
              <w:t xml:space="preserve"> and the UE does not multiplex aperiodic CSI in any of the multiple PUSCHs, the UE multiplexes the UCI in a PUSCH of the serving cell with the smallest ServCellIndex subject to the conditions in Clause 9.2.5 for UCI multiplexing being fulfilled. </w:t>
            </w:r>
            <w:r w:rsidRPr="00025849">
              <w:rPr>
                <w:sz w:val="20"/>
                <w:szCs w:val="20"/>
                <w:highlight w:val="yellow"/>
                <w:lang w:val="de-DE"/>
              </w:rPr>
              <w:t>If the UE transmits</w:t>
            </w:r>
            <w:r w:rsidRPr="00025849">
              <w:rPr>
                <w:sz w:val="20"/>
                <w:szCs w:val="20"/>
                <w:lang w:val="de-DE"/>
              </w:rPr>
              <w:t xml:space="preserve"> more than one PUSCHs in the slot on the serving cell with the smallest ServCellIndex that fulfil the conditions in Clause 9.2.5 for UCI multiplexing, the UE multiplexes the UCI in the earliest PUSCH </w:t>
            </w:r>
            <w:r w:rsidRPr="00025849">
              <w:rPr>
                <w:sz w:val="20"/>
                <w:szCs w:val="20"/>
                <w:highlight w:val="yellow"/>
                <w:lang w:val="de-DE"/>
              </w:rPr>
              <w:t>that the UE transmits</w:t>
            </w:r>
            <w:r w:rsidRPr="00025849">
              <w:rPr>
                <w:sz w:val="20"/>
                <w:szCs w:val="20"/>
                <w:lang w:val="de-DE"/>
              </w:rPr>
              <w:t xml:space="preserve"> in the slot. " </w:t>
            </w:r>
          </w:p>
          <w:p w14:paraId="2E72E84E" w14:textId="77777777" w:rsidR="00577CFD" w:rsidRPr="00025849" w:rsidRDefault="00577CFD" w:rsidP="006A0CE9">
            <w:pPr>
              <w:pStyle w:val="BodyText"/>
              <w:spacing w:after="0"/>
              <w:rPr>
                <w:sz w:val="20"/>
                <w:szCs w:val="20"/>
                <w:lang w:val="de-DE"/>
              </w:rPr>
            </w:pPr>
          </w:p>
          <w:p w14:paraId="1ED31DD6" w14:textId="515B1CCD" w:rsidR="00577CFD" w:rsidRPr="00025849" w:rsidRDefault="00404B50" w:rsidP="006A0CE9">
            <w:pPr>
              <w:pStyle w:val="BodyText"/>
              <w:spacing w:after="0"/>
              <w:rPr>
                <w:sz w:val="20"/>
                <w:szCs w:val="20"/>
                <w:lang w:val="en-US"/>
              </w:rPr>
            </w:pPr>
            <w:r w:rsidRPr="00025849">
              <w:rPr>
                <w:rFonts w:eastAsiaTheme="minorEastAsia" w:hint="eastAsia"/>
                <w:sz w:val="20"/>
                <w:szCs w:val="20"/>
                <w:lang w:val="de-DE"/>
              </w:rPr>
              <w:t>I</w:t>
            </w:r>
            <w:r w:rsidRPr="00025849">
              <w:rPr>
                <w:rFonts w:eastAsiaTheme="minorEastAsia"/>
                <w:sz w:val="20"/>
                <w:szCs w:val="20"/>
                <w:lang w:val="de-DE"/>
              </w:rPr>
              <w:t xml:space="preserve">f the revision is based on Alt-1, it </w:t>
            </w:r>
            <w:r w:rsidRPr="00025849">
              <w:rPr>
                <w:rFonts w:eastAsiaTheme="minorEastAsia" w:hint="eastAsia"/>
                <w:sz w:val="20"/>
                <w:szCs w:val="20"/>
                <w:lang w:val="de-DE"/>
              </w:rPr>
              <w:t>would</w:t>
            </w:r>
            <w:r w:rsidRPr="00025849">
              <w:rPr>
                <w:rFonts w:eastAsiaTheme="minorEastAsia"/>
                <w:sz w:val="20"/>
                <w:szCs w:val="20"/>
                <w:lang w:val="de-DE"/>
              </w:rPr>
              <w:t xml:space="preserve"> be easier to add a </w:t>
            </w:r>
            <w:r w:rsidRPr="00025849">
              <w:rPr>
                <w:sz w:val="20"/>
                <w:szCs w:val="20"/>
                <w:lang w:val="en-US"/>
              </w:rPr>
              <w:t xml:space="preserve">generic description in the spec without changing the wording in </w:t>
            </w:r>
            <w:proofErr w:type="spellStart"/>
            <w:r w:rsidRPr="00025849">
              <w:rPr>
                <w:sz w:val="20"/>
                <w:szCs w:val="20"/>
                <w:lang w:val="en-US"/>
              </w:rPr>
              <w:t>revelant</w:t>
            </w:r>
            <w:proofErr w:type="spellEnd"/>
            <w:r w:rsidRPr="00025849">
              <w:rPr>
                <w:sz w:val="20"/>
                <w:szCs w:val="20"/>
                <w:lang w:val="en-US"/>
              </w:rPr>
              <w:t xml:space="preserve"> </w:t>
            </w:r>
            <w:proofErr w:type="spellStart"/>
            <w:r w:rsidRPr="00025849">
              <w:rPr>
                <w:sz w:val="20"/>
                <w:szCs w:val="20"/>
                <w:lang w:val="en-US"/>
              </w:rPr>
              <w:t>paragraghs</w:t>
            </w:r>
            <w:proofErr w:type="spellEnd"/>
            <w:r w:rsidR="00577CFD" w:rsidRPr="00025849">
              <w:rPr>
                <w:sz w:val="20"/>
                <w:szCs w:val="20"/>
                <w:lang w:val="en-US"/>
              </w:rPr>
              <w:t xml:space="preserve">, because </w:t>
            </w:r>
            <w:r w:rsidR="000720A2" w:rsidRPr="00025849">
              <w:rPr>
                <w:sz w:val="20"/>
                <w:szCs w:val="20"/>
                <w:lang w:val="en-US"/>
              </w:rPr>
              <w:t>Alt-</w:t>
            </w:r>
            <w:r w:rsidR="00577CFD" w:rsidRPr="00025849">
              <w:rPr>
                <w:sz w:val="20"/>
                <w:szCs w:val="20"/>
                <w:lang w:val="en-US"/>
              </w:rPr>
              <w:t>1 is to clarify how to understand ‘UE transmits’ for UL transmission procedures for NR-U with LBT.</w:t>
            </w:r>
          </w:p>
          <w:p w14:paraId="29179FEC" w14:textId="01620B0E" w:rsidR="00577CFD" w:rsidRPr="00025849" w:rsidRDefault="00404B50" w:rsidP="006A0CE9">
            <w:pPr>
              <w:pStyle w:val="BodyText"/>
              <w:spacing w:after="0"/>
              <w:rPr>
                <w:rFonts w:eastAsiaTheme="minorEastAsia"/>
                <w:sz w:val="20"/>
                <w:szCs w:val="20"/>
                <w:lang w:val="en-US"/>
              </w:rPr>
            </w:pPr>
            <w:r w:rsidRPr="00025849">
              <w:rPr>
                <w:sz w:val="20"/>
                <w:szCs w:val="20"/>
                <w:lang w:val="en-US"/>
              </w:rPr>
              <w:t>If the revision is based on Alt-2, it would require to change ‘UE transmits’ to ‘UE would transmit’ in several places</w:t>
            </w:r>
            <w:r w:rsidR="00577CFD" w:rsidRPr="00025849">
              <w:rPr>
                <w:sz w:val="20"/>
                <w:szCs w:val="20"/>
                <w:lang w:val="en-US"/>
              </w:rPr>
              <w:t xml:space="preserve">, because </w:t>
            </w:r>
            <w:r w:rsidR="000720A2" w:rsidRPr="00025849">
              <w:rPr>
                <w:sz w:val="20"/>
                <w:szCs w:val="20"/>
                <w:lang w:val="en-US"/>
              </w:rPr>
              <w:t>Alt-</w:t>
            </w:r>
            <w:r w:rsidR="00577CFD" w:rsidRPr="00025849">
              <w:rPr>
                <w:sz w:val="20"/>
                <w:szCs w:val="20"/>
                <w:lang w:val="en-US"/>
              </w:rPr>
              <w:t xml:space="preserve">2 is to clarify how to understand ‘UE would transmit’ UL transmission procedures for NR-U with LBT.  </w:t>
            </w:r>
          </w:p>
          <w:p w14:paraId="5A0339AE" w14:textId="0909F185" w:rsidR="00824CF7" w:rsidRPr="00025849" w:rsidRDefault="00577CFD" w:rsidP="005D6AD4">
            <w:pPr>
              <w:pStyle w:val="BodyText"/>
              <w:spacing w:after="0"/>
              <w:rPr>
                <w:rFonts w:eastAsiaTheme="minorEastAsia"/>
                <w:sz w:val="20"/>
                <w:szCs w:val="20"/>
                <w:lang w:val="en-US"/>
              </w:rPr>
            </w:pPr>
            <w:r w:rsidRPr="00025849">
              <w:rPr>
                <w:sz w:val="20"/>
                <w:szCs w:val="20"/>
                <w:lang w:val="en-US"/>
              </w:rPr>
              <w:t xml:space="preserve">Therefore, we prefer Alt-1. </w:t>
            </w:r>
            <w:r w:rsidR="00917D70" w:rsidRPr="00025849">
              <w:rPr>
                <w:sz w:val="20"/>
                <w:szCs w:val="20"/>
                <w:lang w:val="en-US"/>
              </w:rPr>
              <w:t xml:space="preserve">We’re open to necessary rewording if companies think the current wording is not crystal clear. </w:t>
            </w:r>
          </w:p>
        </w:tc>
      </w:tr>
      <w:tr w:rsidR="00E85DC5" w:rsidRPr="00B83DD7" w14:paraId="3F8B4422" w14:textId="77777777" w:rsidTr="006A0CE9">
        <w:tc>
          <w:tcPr>
            <w:tcW w:w="1525" w:type="dxa"/>
          </w:tcPr>
          <w:p w14:paraId="53FABE86" w14:textId="0EDE8521" w:rsidR="00E85DC5" w:rsidRPr="00025849" w:rsidRDefault="00025849" w:rsidP="006A0CE9">
            <w:pPr>
              <w:pStyle w:val="BodyText"/>
              <w:spacing w:after="0"/>
              <w:rPr>
                <w:rFonts w:eastAsiaTheme="minorEastAsia"/>
                <w:sz w:val="20"/>
                <w:szCs w:val="20"/>
                <w:lang w:val="de-DE"/>
              </w:rPr>
            </w:pPr>
            <w:r w:rsidRPr="00025849">
              <w:rPr>
                <w:rFonts w:eastAsiaTheme="minorEastAsia"/>
                <w:sz w:val="20"/>
                <w:szCs w:val="20"/>
                <w:lang w:val="de-DE"/>
              </w:rPr>
              <w:t>MediaTek</w:t>
            </w:r>
          </w:p>
        </w:tc>
        <w:tc>
          <w:tcPr>
            <w:tcW w:w="7560" w:type="dxa"/>
          </w:tcPr>
          <w:p w14:paraId="3ED2FEF1" w14:textId="01473EB8" w:rsidR="00025849" w:rsidRPr="00025849" w:rsidRDefault="00025849" w:rsidP="00025849">
            <w:pPr>
              <w:pStyle w:val="BodyText"/>
              <w:spacing w:after="0"/>
              <w:rPr>
                <w:rFonts w:eastAsiaTheme="minorEastAsia"/>
                <w:sz w:val="20"/>
                <w:szCs w:val="20"/>
                <w:lang w:val="en-US"/>
              </w:rPr>
            </w:pPr>
            <w:r w:rsidRPr="00025849">
              <w:rPr>
                <w:rFonts w:eastAsiaTheme="minorEastAsia"/>
                <w:sz w:val="20"/>
                <w:szCs w:val="20"/>
                <w:lang w:val="en-US"/>
              </w:rPr>
              <w:t xml:space="preserve">We prefer Alt-1. Current wording is fine.  </w:t>
            </w:r>
          </w:p>
        </w:tc>
      </w:tr>
      <w:tr w:rsidR="00E85DC5" w:rsidRPr="00B83DD7" w14:paraId="64D58A1E" w14:textId="77777777" w:rsidTr="006A0CE9">
        <w:tc>
          <w:tcPr>
            <w:tcW w:w="1525" w:type="dxa"/>
          </w:tcPr>
          <w:p w14:paraId="5C8CD4E9" w14:textId="6BFFC095" w:rsidR="00E85DC5" w:rsidRPr="0000361B" w:rsidRDefault="0000361B" w:rsidP="006A0CE9">
            <w:pPr>
              <w:pStyle w:val="BodyText"/>
              <w:spacing w:after="0"/>
              <w:rPr>
                <w:rFonts w:eastAsiaTheme="minorEastAsia"/>
                <w:sz w:val="20"/>
                <w:szCs w:val="20"/>
                <w:lang w:val="de-DE"/>
              </w:rPr>
            </w:pPr>
            <w:r w:rsidRPr="0000361B">
              <w:rPr>
                <w:rFonts w:eastAsiaTheme="minorEastAsia"/>
                <w:sz w:val="20"/>
                <w:szCs w:val="20"/>
                <w:lang w:val="de-DE"/>
              </w:rPr>
              <w:t>Lenovo, Motorola Mobility</w:t>
            </w:r>
          </w:p>
        </w:tc>
        <w:tc>
          <w:tcPr>
            <w:tcW w:w="7560" w:type="dxa"/>
          </w:tcPr>
          <w:p w14:paraId="294B7B46" w14:textId="77777777" w:rsidR="00724782" w:rsidRDefault="0006252E" w:rsidP="006A0CE9">
            <w:pPr>
              <w:pStyle w:val="BodyText"/>
              <w:spacing w:after="0"/>
              <w:rPr>
                <w:rFonts w:eastAsiaTheme="minorEastAsia"/>
                <w:sz w:val="20"/>
                <w:szCs w:val="20"/>
                <w:lang w:val="de-DE"/>
              </w:rPr>
            </w:pPr>
            <w:r>
              <w:rPr>
                <w:rFonts w:eastAsiaTheme="minorEastAsia"/>
                <w:sz w:val="20"/>
                <w:szCs w:val="20"/>
                <w:lang w:val="de-DE"/>
              </w:rPr>
              <w:t>Alt-1 is preferred</w:t>
            </w:r>
            <w:r w:rsidR="00724782">
              <w:rPr>
                <w:rFonts w:eastAsiaTheme="minorEastAsia"/>
                <w:sz w:val="20"/>
                <w:szCs w:val="20"/>
                <w:lang w:val="de-DE"/>
              </w:rPr>
              <w:t xml:space="preserve"> since the wording is quite clear</w:t>
            </w:r>
            <w:r>
              <w:rPr>
                <w:rFonts w:eastAsiaTheme="minorEastAsia"/>
                <w:sz w:val="20"/>
                <w:szCs w:val="20"/>
                <w:lang w:val="de-DE"/>
              </w:rPr>
              <w:t>.</w:t>
            </w:r>
          </w:p>
          <w:p w14:paraId="04282DEF" w14:textId="1E9F5A35" w:rsidR="00724782" w:rsidRDefault="00724782" w:rsidP="006A0CE9">
            <w:pPr>
              <w:pStyle w:val="BodyText"/>
              <w:spacing w:after="0"/>
              <w:rPr>
                <w:rFonts w:eastAsiaTheme="minorEastAsia"/>
                <w:sz w:val="20"/>
                <w:szCs w:val="20"/>
                <w:lang w:val="de-DE"/>
              </w:rPr>
            </w:pPr>
            <w:r>
              <w:rPr>
                <w:rFonts w:eastAsiaTheme="minorEastAsia"/>
                <w:sz w:val="20"/>
                <w:szCs w:val="20"/>
                <w:lang w:val="de-DE"/>
              </w:rPr>
              <w:t>If go with Alt-2, we suggest adding a note like below:</w:t>
            </w:r>
          </w:p>
          <w:p w14:paraId="7ACC0404" w14:textId="67829895" w:rsidR="00E85DC5" w:rsidRDefault="00724782" w:rsidP="00724782">
            <w:pPr>
              <w:pStyle w:val="BodyText"/>
              <w:spacing w:after="0"/>
              <w:ind w:left="567"/>
              <w:rPr>
                <w:rFonts w:eastAsiaTheme="minorEastAsia"/>
                <w:sz w:val="20"/>
                <w:szCs w:val="20"/>
                <w:lang w:val="de-DE"/>
              </w:rPr>
            </w:pPr>
            <w:r w:rsidRPr="00FF7D49">
              <w:rPr>
                <w:rFonts w:eastAsia="Times New Roman"/>
                <w:sz w:val="20"/>
                <w:szCs w:val="20"/>
                <w:lang w:eastAsia="en-US"/>
              </w:rPr>
              <w:t xml:space="preserve">From UE implementation’s point of view, the </w:t>
            </w:r>
            <w:r>
              <w:rPr>
                <w:rFonts w:eastAsia="Times New Roman"/>
                <w:sz w:val="20"/>
                <w:szCs w:val="20"/>
                <w:lang w:eastAsia="en-US"/>
              </w:rPr>
              <w:t xml:space="preserve">PUSCH on which the UE would multiplex </w:t>
            </w:r>
            <w:r w:rsidRPr="00FF7D49">
              <w:rPr>
                <w:rFonts w:eastAsia="Times New Roman"/>
                <w:sz w:val="20"/>
                <w:szCs w:val="20"/>
                <w:lang w:eastAsia="en-US"/>
              </w:rPr>
              <w:t xml:space="preserve">UCI </w:t>
            </w:r>
            <w:r>
              <w:rPr>
                <w:rFonts w:eastAsia="Times New Roman"/>
                <w:sz w:val="20"/>
                <w:szCs w:val="20"/>
                <w:lang w:eastAsia="en-US"/>
              </w:rPr>
              <w:t>is not</w:t>
            </w:r>
            <w:r w:rsidRPr="00FF7D49">
              <w:rPr>
                <w:rFonts w:eastAsia="Times New Roman"/>
                <w:sz w:val="20"/>
                <w:szCs w:val="20"/>
                <w:lang w:eastAsia="en-US"/>
              </w:rPr>
              <w:t xml:space="preserve"> dependent on LBT outcome.</w:t>
            </w:r>
            <w:r>
              <w:rPr>
                <w:rFonts w:eastAsia="Times New Roman"/>
                <w:sz w:val="20"/>
                <w:szCs w:val="20"/>
                <w:lang w:eastAsia="en-US"/>
              </w:rPr>
              <w:t xml:space="preserve"> </w:t>
            </w:r>
            <w:r w:rsidR="0006252E">
              <w:rPr>
                <w:rFonts w:eastAsiaTheme="minorEastAsia"/>
                <w:sz w:val="20"/>
                <w:szCs w:val="20"/>
                <w:lang w:val="de-DE"/>
              </w:rPr>
              <w:t xml:space="preserve"> </w:t>
            </w:r>
          </w:p>
          <w:p w14:paraId="21D0DDB1" w14:textId="4923BB0F" w:rsidR="0006252E" w:rsidRPr="0000361B" w:rsidRDefault="0006252E" w:rsidP="006A0CE9">
            <w:pPr>
              <w:pStyle w:val="BodyText"/>
              <w:spacing w:after="0"/>
              <w:rPr>
                <w:rFonts w:eastAsiaTheme="minorEastAsia"/>
                <w:sz w:val="20"/>
                <w:szCs w:val="20"/>
                <w:lang w:val="de-DE"/>
              </w:rPr>
            </w:pPr>
          </w:p>
        </w:tc>
      </w:tr>
      <w:tr w:rsidR="00E85DC5" w:rsidRPr="00B83DD7" w14:paraId="12BE321C" w14:textId="77777777" w:rsidTr="006A0CE9">
        <w:tc>
          <w:tcPr>
            <w:tcW w:w="1525" w:type="dxa"/>
          </w:tcPr>
          <w:p w14:paraId="7DBFF56E" w14:textId="77777777" w:rsidR="00E85DC5" w:rsidRPr="00FE63A1" w:rsidRDefault="00E85DC5" w:rsidP="006A0CE9">
            <w:pPr>
              <w:pStyle w:val="BodyText"/>
              <w:spacing w:after="0"/>
              <w:rPr>
                <w:lang w:val="de-DE"/>
              </w:rPr>
            </w:pPr>
          </w:p>
        </w:tc>
        <w:tc>
          <w:tcPr>
            <w:tcW w:w="7560" w:type="dxa"/>
          </w:tcPr>
          <w:p w14:paraId="48377632" w14:textId="77777777" w:rsidR="00E85DC5" w:rsidRPr="00B83DD7" w:rsidRDefault="00E85DC5" w:rsidP="006A0CE9">
            <w:pPr>
              <w:pStyle w:val="BodyText"/>
              <w:spacing w:after="0"/>
              <w:rPr>
                <w:lang w:val="en-US"/>
              </w:rPr>
            </w:pPr>
          </w:p>
        </w:tc>
      </w:tr>
    </w:tbl>
    <w:p w14:paraId="3EAB9FFE" w14:textId="77777777" w:rsidR="00AE395F" w:rsidRPr="00436C21" w:rsidRDefault="00AE395F" w:rsidP="00E85DC5">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lastRenderedPageBreak/>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lastRenderedPageBreak/>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proofErr w:type="spellStart"/>
      <w:r w:rsidRPr="00C81F80">
        <w:rPr>
          <w:rFonts w:eastAsia="宋体"/>
          <w:i/>
          <w:strike/>
          <w:color w:val="FF0000"/>
          <w:lang w:val="x-none" w:eastAsia="en-US"/>
        </w:rPr>
        <w:t>useInterlacePUCCH</w:t>
      </w:r>
      <w:proofErr w:type="spellEnd"/>
      <w:r w:rsidRPr="00C81F80">
        <w:rPr>
          <w:rFonts w:eastAsia="宋体"/>
          <w:i/>
          <w:strike/>
          <w:color w:val="FF0000"/>
          <w:lang w:val="x-none" w:eastAsia="en-US"/>
        </w:rPr>
        <w:t>-PUSCH</w:t>
      </w:r>
      <w:r w:rsidRPr="00C81F80">
        <w:rPr>
          <w:rFonts w:eastAsia="宋体"/>
          <w:iCs/>
          <w:strike/>
          <w:color w:val="FF0000"/>
          <w:lang w:val="x-none" w:eastAsia="en-US"/>
        </w:rPr>
        <w:t xml:space="preserve"> in </w:t>
      </w:r>
      <w:r w:rsidRPr="00C81F80">
        <w:rPr>
          <w:rFonts w:eastAsia="宋体"/>
          <w:i/>
          <w:strike/>
          <w:color w:val="FF0000"/>
          <w:lang w:val="x-none" w:eastAsia="en-US"/>
        </w:rPr>
        <w:t>BWP-</w:t>
      </w:r>
      <w:proofErr w:type="spellStart"/>
      <w:r w:rsidRPr="00C81F80">
        <w:rPr>
          <w:rFonts w:eastAsia="宋体"/>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w:t>
      </w:r>
      <w:r w:rsidRPr="00C81F80">
        <w:rPr>
          <w:rFonts w:eastAsia="宋体"/>
          <w:lang w:val="en-US" w:eastAsia="en-US"/>
        </w:rPr>
        <w:lastRenderedPageBreak/>
        <w:t xml:space="preserve">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宋体"/>
          <w:iCs/>
          <w:lang w:val="x-none" w:eastAsia="en-US"/>
        </w:rPr>
      </w:pPr>
      <w:r w:rsidRPr="009D133C">
        <w:rPr>
          <w:rFonts w:eastAsia="宋体"/>
          <w:lang w:val="x-none" w:eastAsia="en-US"/>
        </w:rPr>
        <w:lastRenderedPageBreak/>
        <w:t>-</w:t>
      </w:r>
      <w:r w:rsidRPr="009D133C">
        <w:rPr>
          <w:rFonts w:eastAsia="宋体"/>
          <w:lang w:val="x-none" w:eastAsia="en-US"/>
        </w:rPr>
        <w:tab/>
        <w:t xml:space="preserve">if provided, an index of a second </w:t>
      </w:r>
      <w:r w:rsidRPr="009D133C">
        <w:rPr>
          <w:rFonts w:eastAsia="等线"/>
          <w:lang w:val="x-none" w:eastAsia="zh-CN"/>
        </w:rPr>
        <w:t>i</w:t>
      </w:r>
      <w:r w:rsidRPr="009D133C">
        <w:rPr>
          <w:rFonts w:eastAsia="宋体"/>
          <w:lang w:val="x-none" w:eastAsia="en-US"/>
        </w:rPr>
        <w:t>n</w:t>
      </w:r>
      <w:r w:rsidRPr="009D133C">
        <w:rPr>
          <w:rFonts w:eastAsia="宋体" w:hint="eastAsia"/>
          <w:lang w:val="x-none" w:eastAsia="en-US"/>
        </w:rPr>
        <w:t>terlace</w:t>
      </w:r>
      <w:r w:rsidRPr="009D133C">
        <w:rPr>
          <w:rFonts w:eastAsia="宋体"/>
          <w:lang w:val="x-none" w:eastAsia="en-US"/>
        </w:rPr>
        <w:t xml:space="preserve"> by </w:t>
      </w:r>
      <w:r w:rsidRPr="009D133C">
        <w:rPr>
          <w:rFonts w:eastAsia="宋体"/>
          <w:i/>
          <w:lang w:val="x-none" w:eastAsia="en-US"/>
        </w:rPr>
        <w:t>interlace1</w:t>
      </w:r>
      <w:r w:rsidRPr="009D133C">
        <w:rPr>
          <w:rFonts w:eastAsia="宋体"/>
          <w:lang w:val="x-none" w:eastAsia="en-US"/>
        </w:rPr>
        <w:t>, if</w:t>
      </w:r>
      <w:r w:rsidRPr="009D133C">
        <w:rPr>
          <w:rFonts w:eastAsia="宋体"/>
          <w:lang w:val="en-US" w:eastAsia="en-US"/>
        </w:rPr>
        <w:t xml:space="preserve"> a UE is provided </w:t>
      </w:r>
      <w:proofErr w:type="spellStart"/>
      <w:r w:rsidRPr="009D133C">
        <w:rPr>
          <w:rFonts w:eastAsia="宋体"/>
          <w:i/>
          <w:lang w:val="x-none" w:eastAsia="en-US"/>
        </w:rPr>
        <w:t>useInterlacePUCCH</w:t>
      </w:r>
      <w:proofErr w:type="spellEnd"/>
      <w:r w:rsidRPr="009D133C">
        <w:rPr>
          <w:rFonts w:eastAsia="宋体"/>
          <w:i/>
          <w:lang w:val="x-none" w:eastAsia="en-US"/>
        </w:rPr>
        <w:t>-PUSCH</w:t>
      </w:r>
      <w:r w:rsidRPr="009D133C">
        <w:rPr>
          <w:rFonts w:eastAsia="宋体"/>
          <w:iCs/>
          <w:lang w:val="x-none" w:eastAsia="en-US"/>
        </w:rPr>
        <w:t xml:space="preserve"> in </w:t>
      </w:r>
      <w:r w:rsidRPr="009D133C">
        <w:rPr>
          <w:rFonts w:eastAsia="宋体"/>
          <w:i/>
          <w:lang w:val="x-none" w:eastAsia="en-US"/>
        </w:rPr>
        <w:t>BWP-</w:t>
      </w:r>
      <w:proofErr w:type="spellStart"/>
      <w:r w:rsidRPr="009D133C">
        <w:rPr>
          <w:rFonts w:eastAsia="宋体"/>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06252E" w:rsidRDefault="0006252E">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06252E" w:rsidRDefault="0006252E">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lastRenderedPageBreak/>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宋体" w:hAnsi="Times New Roman"/>
                <w:sz w:val="20"/>
                <w:szCs w:val="20"/>
                <w:lang w:val="x-none" w:eastAsia="en-US"/>
              </w:rPr>
              <w:t>amsung</w:t>
            </w:r>
            <w:proofErr w:type="spellEnd"/>
            <w:r>
              <w:rPr>
                <w:rFonts w:ascii="Times New Roman" w:eastAsia="宋体"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 xml:space="preserve">indicated set of RB sets and intra-cell guard bands defined in Clause 7 between the indicated RB sets, if any. For DCI 0_0 monitored in a common search space, the UE shall </w:t>
      </w:r>
      <w:r w:rsidRPr="00A77340">
        <w:rPr>
          <w:rFonts w:eastAsia="Times New Roman"/>
          <w:color w:val="000000"/>
          <w:lang w:eastAsia="en-US"/>
        </w:rPr>
        <w:lastRenderedPageBreak/>
        <w:t>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BodyText"/>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BodyText"/>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BodyText"/>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BodyText"/>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BodyText"/>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BodyText"/>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BodyText"/>
              <w:spacing w:after="0"/>
              <w:jc w:val="left"/>
              <w:rPr>
                <w:lang w:val="de-DE"/>
              </w:rPr>
            </w:pPr>
          </w:p>
        </w:tc>
        <w:tc>
          <w:tcPr>
            <w:tcW w:w="7560" w:type="dxa"/>
          </w:tcPr>
          <w:p w14:paraId="0EB5D04D" w14:textId="686824D9" w:rsidR="007570A6" w:rsidRDefault="007570A6" w:rsidP="007570A6">
            <w:pPr>
              <w:pStyle w:val="BodyText"/>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BodyText"/>
              <w:spacing w:after="0"/>
              <w:jc w:val="left"/>
              <w:rPr>
                <w:lang w:val="de-DE"/>
              </w:rPr>
            </w:pPr>
          </w:p>
        </w:tc>
        <w:tc>
          <w:tcPr>
            <w:tcW w:w="7560" w:type="dxa"/>
          </w:tcPr>
          <w:p w14:paraId="6C8A1DE4" w14:textId="6FA31A02" w:rsidR="007570A6" w:rsidRDefault="007570A6" w:rsidP="007570A6">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E94E2" w14:textId="77777777" w:rsidR="00625ED8" w:rsidRDefault="00625ED8">
      <w:pPr>
        <w:spacing w:after="0" w:line="240" w:lineRule="auto"/>
      </w:pPr>
      <w:r>
        <w:separator/>
      </w:r>
    </w:p>
  </w:endnote>
  <w:endnote w:type="continuationSeparator" w:id="0">
    <w:p w14:paraId="05ADBD52" w14:textId="77777777" w:rsidR="00625ED8" w:rsidRDefault="0062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06252E" w:rsidRDefault="0006252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8C71" w14:textId="77777777" w:rsidR="00625ED8" w:rsidRDefault="00625ED8">
      <w:pPr>
        <w:spacing w:after="0" w:line="240" w:lineRule="auto"/>
      </w:pPr>
      <w:r>
        <w:separator/>
      </w:r>
    </w:p>
  </w:footnote>
  <w:footnote w:type="continuationSeparator" w:id="0">
    <w:p w14:paraId="4D9325C4" w14:textId="77777777" w:rsidR="00625ED8" w:rsidRDefault="0062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6252E" w:rsidRDefault="000625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80B54EF"/>
    <w:multiLevelType w:val="hybridMultilevel"/>
    <w:tmpl w:val="1DB04364"/>
    <w:lvl w:ilvl="0" w:tplc="E4286CCA">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9B04F5C"/>
    <w:multiLevelType w:val="hybridMultilevel"/>
    <w:tmpl w:val="9B967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562701"/>
    <w:multiLevelType w:val="hybridMultilevel"/>
    <w:tmpl w:val="13061D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A5277B8"/>
    <w:multiLevelType w:val="hybridMultilevel"/>
    <w:tmpl w:val="BE2C36B6"/>
    <w:lvl w:ilvl="0" w:tplc="91CCB9BA">
      <w:start w:val="9"/>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63299"/>
    <w:multiLevelType w:val="hybridMultilevel"/>
    <w:tmpl w:val="D17C22B6"/>
    <w:lvl w:ilvl="0" w:tplc="C87276CC">
      <w:start w:val="9"/>
      <w:numFmt w:val="bullet"/>
      <w:lvlText w:val="-"/>
      <w:lvlJc w:val="left"/>
      <w:pPr>
        <w:ind w:left="927" w:hanging="360"/>
      </w:pPr>
      <w:rPr>
        <w:rFonts w:ascii="Arial" w:eastAsia="Malgun Gothic" w:hAnsi="Arial" w:cs="Arial" w:hint="default"/>
        <w:u w:val="single"/>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7"/>
  </w:num>
  <w:num w:numId="3">
    <w:abstractNumId w:val="2"/>
  </w:num>
  <w:num w:numId="4">
    <w:abstractNumId w:val="5"/>
  </w:num>
  <w:num w:numId="5">
    <w:abstractNumId w:val="4"/>
  </w:num>
  <w:num w:numId="6">
    <w:abstractNumId w:val="16"/>
  </w:num>
  <w:num w:numId="7">
    <w:abstractNumId w:val="0"/>
  </w:num>
  <w:num w:numId="8">
    <w:abstractNumId w:val="21"/>
  </w:num>
  <w:num w:numId="9">
    <w:abstractNumId w:val="6"/>
  </w:num>
  <w:num w:numId="10">
    <w:abstractNumId w:val="11"/>
  </w:num>
  <w:num w:numId="11">
    <w:abstractNumId w:val="8"/>
  </w:num>
  <w:num w:numId="12">
    <w:abstractNumId w:val="12"/>
  </w:num>
  <w:num w:numId="13">
    <w:abstractNumId w:val="13"/>
  </w:num>
  <w:num w:numId="14">
    <w:abstractNumId w:val="26"/>
  </w:num>
  <w:num w:numId="15">
    <w:abstractNumId w:val="24"/>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1"/>
  </w:num>
  <w:num w:numId="19">
    <w:abstractNumId w:val="14"/>
  </w:num>
  <w:num w:numId="20">
    <w:abstractNumId w:val="3"/>
  </w:num>
  <w:num w:numId="21">
    <w:abstractNumId w:val="18"/>
  </w:num>
  <w:num w:numId="22">
    <w:abstractNumId w:val="9"/>
  </w:num>
  <w:num w:numId="23">
    <w:abstractNumId w:val="10"/>
  </w:num>
  <w:num w:numId="24">
    <w:abstractNumId w:val="22"/>
  </w:num>
  <w:num w:numId="25">
    <w:abstractNumId w:val="17"/>
  </w:num>
  <w:num w:numId="26">
    <w:abstractNumId w:val="15"/>
  </w:num>
  <w:num w:numId="27">
    <w:abstractNumId w:val="25"/>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61B"/>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849"/>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252E"/>
    <w:rsid w:val="000636B9"/>
    <w:rsid w:val="0006487E"/>
    <w:rsid w:val="00064E48"/>
    <w:rsid w:val="00065B05"/>
    <w:rsid w:val="00065E1A"/>
    <w:rsid w:val="000678A2"/>
    <w:rsid w:val="000720A2"/>
    <w:rsid w:val="0007283F"/>
    <w:rsid w:val="00074956"/>
    <w:rsid w:val="00074B98"/>
    <w:rsid w:val="00075B44"/>
    <w:rsid w:val="00077E5F"/>
    <w:rsid w:val="0008036A"/>
    <w:rsid w:val="0008154E"/>
    <w:rsid w:val="00081AE6"/>
    <w:rsid w:val="00084FEF"/>
    <w:rsid w:val="000855EB"/>
    <w:rsid w:val="00085B52"/>
    <w:rsid w:val="000863D4"/>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4B50"/>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1ADB"/>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77CF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6AD4"/>
    <w:rsid w:val="005D7D88"/>
    <w:rsid w:val="005E0568"/>
    <w:rsid w:val="005E0CC7"/>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25ED8"/>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CE9"/>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1FB3"/>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782"/>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4DA2"/>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199A"/>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4CF7"/>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7FE"/>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70"/>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3D08"/>
    <w:rsid w:val="009F697A"/>
    <w:rsid w:val="009F6A0A"/>
    <w:rsid w:val="009F6D97"/>
    <w:rsid w:val="009F6FEB"/>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278"/>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00E7"/>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5DC5"/>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481"/>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95C"/>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743B03BD-E19C-42FD-8D6F-4B351AD0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16</Pages>
  <Words>6030</Words>
  <Characters>34375</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2020-06-02T07:05:00Z</dcterms:created>
  <dcterms:modified xsi:type="dcterms:W3CDTF">2020-06-02T07:17:00Z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