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等线" w:hAnsi="Times" w:cs="Times"/>
          <w:lang w:val="en-US" w:eastAsia="zh-CN"/>
        </w:rPr>
      </w:pPr>
      <w:r w:rsidRPr="009C6AB5">
        <w:rPr>
          <w:rFonts w:ascii="Times" w:eastAsia="等线" w:hAnsi="Times" w:cs="Times"/>
          <w:highlight w:val="cyan"/>
          <w:lang w:val="en-US" w:eastAsia="zh-CN"/>
        </w:rPr>
        <w:t>[101-e-NR-unlic-NRU-ULSignalsChannels-0</w:t>
      </w:r>
      <w:r>
        <w:rPr>
          <w:rFonts w:ascii="Times" w:eastAsia="等线" w:hAnsi="Times" w:cs="Times"/>
          <w:highlight w:val="cyan"/>
          <w:lang w:val="en-US" w:eastAsia="zh-CN"/>
        </w:rPr>
        <w:t>2</w:t>
      </w:r>
      <w:r w:rsidRPr="009C6AB5">
        <w:rPr>
          <w:rFonts w:ascii="Times" w:eastAsia="等线"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等线"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等线"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等线" w:hAnsi="Arial" w:cs="Arial"/>
                <w:color w:val="FF0000"/>
                <w:sz w:val="20"/>
                <w:szCs w:val="20"/>
              </w:rPr>
              <w:t xml:space="preserve">union of </w:t>
            </w:r>
            <w:r w:rsidRPr="00CE62A6">
              <w:rPr>
                <w:rFonts w:ascii="Arial" w:eastAsia="等线"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eastAsia="zh-TW"/>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C90EFB" w:rsidRPr="00390500" w:rsidRDefault="00C90EFB"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C90EFB" w:rsidRPr="00390500" w:rsidRDefault="00C90EFB"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C90EFB"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C90EFB" w:rsidRDefault="00C90EFB" w:rsidP="00390500">
                            <w:pPr>
                              <w:jc w:val="center"/>
                            </w:pPr>
                            <w:r>
                              <w:t>*** Omitted text ***</w:t>
                            </w:r>
                          </w:p>
                          <w:p w14:paraId="1FC10783" w14:textId="77777777" w:rsidR="00C90EFB" w:rsidRPr="00390500" w:rsidRDefault="00C90EFB"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C90EFB" w:rsidRDefault="00C90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C90EFB" w:rsidRPr="00390500" w:rsidRDefault="00C90EFB"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C90EFB" w:rsidRPr="00390500" w:rsidRDefault="00C90EFB"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C90EFB"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C90EFB" w:rsidRDefault="00C90EFB" w:rsidP="00390500">
                      <w:pPr>
                        <w:jc w:val="center"/>
                      </w:pPr>
                      <w:r>
                        <w:t>*** Omitted text ***</w:t>
                      </w:r>
                    </w:p>
                    <w:p w14:paraId="1FC10783" w14:textId="77777777" w:rsidR="00C90EFB" w:rsidRPr="00390500" w:rsidRDefault="00C90EFB"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C90EFB" w:rsidRDefault="00C90EFB"/>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a6"/>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a6"/>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a6"/>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a6"/>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eastAsia="zh-TW"/>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a6"/>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a6"/>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a6"/>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a6"/>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a6"/>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a6"/>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a6"/>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a6"/>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a6"/>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a6"/>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a6"/>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a6"/>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a6"/>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a6"/>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a6"/>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a6"/>
      </w:pPr>
    </w:p>
    <w:p w14:paraId="241B4505" w14:textId="104383A6"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corresponds to a licensed carrier. The moderator questions whether or not this can be achieved simply by gNB configuration?</w:t>
      </w:r>
    </w:p>
    <w:p w14:paraId="091E2158" w14:textId="63F1DC9F" w:rsidR="000017DC" w:rsidRDefault="000017DC" w:rsidP="00390500">
      <w:pPr>
        <w:pStyle w:val="a6"/>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a6"/>
      </w:pPr>
    </w:p>
    <w:tbl>
      <w:tblPr>
        <w:tblStyle w:val="af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a6"/>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a6"/>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a6"/>
              <w:spacing w:after="0"/>
              <w:rPr>
                <w:rFonts w:cs="Arial"/>
                <w:lang w:val="de-DE"/>
              </w:rPr>
            </w:pPr>
            <w:r>
              <w:rPr>
                <w:lang w:val="de-DE"/>
              </w:rPr>
              <w:t>Qualcomm</w:t>
            </w:r>
          </w:p>
        </w:tc>
        <w:tc>
          <w:tcPr>
            <w:tcW w:w="7560" w:type="dxa"/>
          </w:tcPr>
          <w:p w14:paraId="7936734E" w14:textId="705F18DD" w:rsidR="00E653C0" w:rsidRPr="008D537E" w:rsidRDefault="00E653C0" w:rsidP="00E653C0">
            <w:pPr>
              <w:pStyle w:val="a6"/>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a6"/>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a6"/>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a6"/>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a6"/>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a6"/>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a6"/>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a6"/>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a6"/>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a6"/>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a6"/>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a6"/>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a6"/>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537F00AA" w14:textId="488D9FD1" w:rsidR="00436C21" w:rsidRDefault="00436C21">
      <w:pPr>
        <w:pStyle w:val="21"/>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a6"/>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a6"/>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a6"/>
        <w:numPr>
          <w:ilvl w:val="0"/>
          <w:numId w:val="21"/>
        </w:numPr>
        <w:rPr>
          <w:lang w:val="en-US"/>
        </w:rPr>
      </w:pPr>
      <w:r>
        <w:rPr>
          <w:lang w:val="en-US"/>
        </w:rPr>
        <w:t>There is not consensus whether or not a spec change is needed</w:t>
      </w:r>
    </w:p>
    <w:p w14:paraId="6AE2975E" w14:textId="77777777" w:rsidR="00436C21" w:rsidRDefault="00436C21" w:rsidP="004A0F33">
      <w:pPr>
        <w:pStyle w:val="a6"/>
        <w:numPr>
          <w:ilvl w:val="1"/>
          <w:numId w:val="21"/>
        </w:numPr>
        <w:rPr>
          <w:lang w:val="en-US"/>
        </w:rPr>
      </w:pPr>
      <w:r>
        <w:rPr>
          <w:lang w:val="en-US"/>
        </w:rPr>
        <w:t>3 companies suggest that no spec change is needed</w:t>
      </w:r>
    </w:p>
    <w:p w14:paraId="11D5E331" w14:textId="6E40EAFB" w:rsidR="00436C21" w:rsidRDefault="00436C21" w:rsidP="004A0F33">
      <w:pPr>
        <w:pStyle w:val="a6"/>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a6"/>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a6"/>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a6"/>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a6"/>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a6"/>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a6"/>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a6"/>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a6"/>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afd"/>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a6"/>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a6"/>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a6"/>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a6"/>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a6"/>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a6"/>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a6"/>
              <w:spacing w:after="0"/>
              <w:rPr>
                <w:rFonts w:eastAsiaTheme="minor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a6"/>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 xml:space="preserve">e understand both conclusion 1 and conclusion 2 is try to provide a generic </w:t>
            </w:r>
            <w:proofErr w:type="spellStart"/>
            <w:r>
              <w:rPr>
                <w:rFonts w:ascii="Times New Roman" w:eastAsiaTheme="minorEastAsia" w:hAnsi="Times New Roman"/>
                <w:lang w:val="en-US"/>
              </w:rPr>
              <w:t>conlusion</w:t>
            </w:r>
            <w:proofErr w:type="spellEnd"/>
            <w:r>
              <w:rPr>
                <w:rFonts w:ascii="Times New Roman" w:eastAsiaTheme="minorEastAsia" w:hAnsi="Times New Roman"/>
                <w:lang w:val="en-US"/>
              </w:rPr>
              <w:t xml:space="preserve"> instead of case-by-case handling. Then, we find a proper place in the spec to capture such generic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a6"/>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a6"/>
              <w:spacing w:after="0"/>
              <w:rPr>
                <w:rFonts w:eastAsiaTheme="minor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 xml:space="preserve">first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0218A179" w:rsidR="00436C21" w:rsidRPr="00B83DD7" w:rsidRDefault="00E23DCF" w:rsidP="00F74764">
            <w:pPr>
              <w:pStyle w:val="a6"/>
              <w:spacing w:after="0"/>
              <w:jc w:val="left"/>
              <w:rPr>
                <w:rFonts w:eastAsiaTheme="minorEastAsia"/>
                <w:sz w:val="20"/>
                <w:szCs w:val="20"/>
                <w:lang w:val="de-DE"/>
              </w:rPr>
            </w:pPr>
            <w:r>
              <w:rPr>
                <w:rFonts w:eastAsiaTheme="minorEastAsia"/>
                <w:sz w:val="20"/>
                <w:szCs w:val="20"/>
                <w:lang w:val="de-DE"/>
              </w:rPr>
              <w:t>Huawei</w:t>
            </w:r>
          </w:p>
        </w:tc>
        <w:tc>
          <w:tcPr>
            <w:tcW w:w="7560" w:type="dxa"/>
          </w:tcPr>
          <w:p w14:paraId="4F0B544E" w14:textId="126058D9" w:rsidR="00436C21" w:rsidRPr="00E23DCF" w:rsidRDefault="00E23DCF" w:rsidP="001D6A04">
            <w:pPr>
              <w:pStyle w:val="a6"/>
              <w:spacing w:after="0"/>
              <w:rPr>
                <w:rFonts w:eastAsiaTheme="minorEastAsia"/>
                <w:sz w:val="20"/>
                <w:szCs w:val="20"/>
                <w:lang w:val="de-DE"/>
              </w:rPr>
            </w:pPr>
            <w:r w:rsidRPr="00E23DCF">
              <w:rPr>
                <w:rFonts w:eastAsiaTheme="minorEastAsia"/>
                <w:sz w:val="20"/>
                <w:szCs w:val="20"/>
                <w:lang w:val="de-DE"/>
              </w:rPr>
              <w:t>We agree with the generic conclusion, however</w:t>
            </w:r>
            <w:r>
              <w:rPr>
                <w:rFonts w:eastAsiaTheme="minorEastAsia" w:hint="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w:t>
            </w:r>
            <w:r w:rsidR="001D6A04">
              <w:rPr>
                <w:rFonts w:eastAsiaTheme="minorEastAsia"/>
                <w:sz w:val="20"/>
                <w:szCs w:val="20"/>
                <w:lang w:val="de-DE"/>
              </w:rPr>
              <w:t>determine</w:t>
            </w:r>
            <w:r>
              <w:rPr>
                <w:rFonts w:eastAsiaTheme="minorEastAsia"/>
                <w:sz w:val="20"/>
                <w:szCs w:val="20"/>
                <w:lang w:val="de-DE"/>
              </w:rPr>
              <w:t xml:space="preserve"> the </w:t>
            </w:r>
            <w:r w:rsidRPr="00E23DCF">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w:t>
            </w:r>
            <w:r w:rsidRPr="00E23DCF">
              <w:rPr>
                <w:rFonts w:eastAsiaTheme="minorEastAsia"/>
                <w:sz w:val="20"/>
                <w:szCs w:val="20"/>
                <w:lang w:val="de-DE"/>
              </w:rPr>
              <w:t xml:space="preserve"> the UE multiplexes the UCI in the earliest PUSCH that the UE</w:t>
            </w:r>
            <w:r w:rsidRPr="00E23DCF">
              <w:rPr>
                <w:rFonts w:eastAsiaTheme="minorEastAsia"/>
                <w:color w:val="FF0000"/>
                <w:sz w:val="20"/>
                <w:szCs w:val="20"/>
                <w:lang w:val="de-DE"/>
              </w:rPr>
              <w:t xml:space="preserve"> would </w:t>
            </w:r>
            <w:r w:rsidRPr="00E23DCF">
              <w:rPr>
                <w:rFonts w:eastAsiaTheme="minorEastAsia"/>
                <w:sz w:val="20"/>
                <w:szCs w:val="20"/>
                <w:lang w:val="de-DE"/>
              </w:rPr>
              <w:t>transmit in the slot</w:t>
            </w:r>
            <w:r>
              <w:rPr>
                <w:rFonts w:eastAsiaTheme="minorEastAsia"/>
                <w:sz w:val="20"/>
                <w:szCs w:val="20"/>
                <w:lang w:val="de-DE"/>
              </w:rPr>
              <w:t xml:space="preserve">“ is needed. </w:t>
            </w:r>
            <w:r w:rsidR="001D6A04">
              <w:rPr>
                <w:rFonts w:eastAsiaTheme="minorEastAsia" w:hint="eastAsia"/>
                <w:sz w:val="20"/>
                <w:szCs w:val="20"/>
                <w:lang w:val="de-DE"/>
              </w:rPr>
              <w:t>‘</w:t>
            </w:r>
            <w:r w:rsidR="001D6A04">
              <w:rPr>
                <w:rFonts w:eastAsiaTheme="minorEastAsia" w:hint="eastAsia"/>
                <w:sz w:val="20"/>
                <w:szCs w:val="20"/>
                <w:lang w:val="de-DE"/>
              </w:rPr>
              <w:t>w</w:t>
            </w:r>
            <w:r w:rsidR="001D6A04">
              <w:rPr>
                <w:rFonts w:eastAsiaTheme="minorEastAsia"/>
                <w:sz w:val="20"/>
                <w:szCs w:val="20"/>
                <w:lang w:val="de-DE"/>
              </w:rPr>
              <w:t>ould</w:t>
            </w:r>
            <w:r w:rsidR="001D6A04">
              <w:rPr>
                <w:rFonts w:eastAsiaTheme="minorEastAsia" w:hint="eastAsia"/>
                <w:sz w:val="20"/>
                <w:szCs w:val="20"/>
                <w:lang w:val="de-DE"/>
              </w:rPr>
              <w:t>’</w:t>
            </w:r>
            <w:r w:rsidR="001D6A04">
              <w:rPr>
                <w:rFonts w:eastAsiaTheme="minorEastAsia"/>
                <w:sz w:val="20"/>
                <w:szCs w:val="20"/>
                <w:lang w:val="de-DE"/>
              </w:rPr>
              <w:t xml:space="preserve"> implies that </w:t>
            </w:r>
            <w:r>
              <w:rPr>
                <w:rFonts w:eastAsiaTheme="minorEastAsia"/>
                <w:sz w:val="20"/>
                <w:szCs w:val="20"/>
                <w:lang w:val="de-DE"/>
              </w:rPr>
              <w:t xml:space="preserve">UCI multiplexing </w:t>
            </w:r>
            <w:r w:rsidR="001D6A04">
              <w:rPr>
                <w:rFonts w:eastAsiaTheme="minorEastAsia"/>
                <w:sz w:val="20"/>
                <w:szCs w:val="20"/>
                <w:lang w:val="de-DE"/>
              </w:rPr>
              <w:t>does</w:t>
            </w:r>
            <w:r>
              <w:rPr>
                <w:rFonts w:eastAsiaTheme="minorEastAsia"/>
                <w:sz w:val="20"/>
                <w:szCs w:val="20"/>
                <w:lang w:val="de-DE"/>
              </w:rPr>
              <w:t xml:space="preserve"> not rely on the LBT outcome.</w:t>
            </w:r>
          </w:p>
        </w:tc>
      </w:tr>
      <w:tr w:rsidR="00436C21" w14:paraId="6048518E" w14:textId="77777777" w:rsidTr="00F74764">
        <w:tc>
          <w:tcPr>
            <w:tcW w:w="1525" w:type="dxa"/>
          </w:tcPr>
          <w:p w14:paraId="31E9946F" w14:textId="34713DBA" w:rsidR="00436C21" w:rsidRPr="00C54BF3" w:rsidRDefault="007570A6" w:rsidP="00F74764">
            <w:pPr>
              <w:pStyle w:val="a6"/>
              <w:spacing w:after="0"/>
              <w:rPr>
                <w:rFonts w:eastAsiaTheme="minorEastAsia"/>
                <w:sz w:val="20"/>
                <w:szCs w:val="20"/>
                <w:lang w:val="de-DE"/>
              </w:rPr>
            </w:pPr>
            <w:r>
              <w:rPr>
                <w:rFonts w:eastAsiaTheme="minorEastAsia"/>
                <w:sz w:val="20"/>
                <w:szCs w:val="20"/>
                <w:lang w:val="de-DE"/>
              </w:rPr>
              <w:t>Lenovo, Motorola Mobility</w:t>
            </w:r>
          </w:p>
        </w:tc>
        <w:tc>
          <w:tcPr>
            <w:tcW w:w="7560" w:type="dxa"/>
          </w:tcPr>
          <w:p w14:paraId="30CC57E4" w14:textId="77777777" w:rsidR="00436C21" w:rsidRDefault="007570A6" w:rsidP="00F74764">
            <w:pPr>
              <w:pStyle w:val="a6"/>
              <w:spacing w:after="0"/>
              <w:rPr>
                <w:rFonts w:eastAsiaTheme="minorEastAsia"/>
                <w:sz w:val="20"/>
                <w:szCs w:val="20"/>
                <w:lang w:val="de-DE"/>
              </w:rPr>
            </w:pPr>
            <w:r>
              <w:rPr>
                <w:rFonts w:eastAsiaTheme="minorEastAsia"/>
                <w:sz w:val="20"/>
                <w:szCs w:val="20"/>
                <w:lang w:val="de-DE"/>
              </w:rPr>
              <w:t>The both conclusions are generic and understandable. I don’t know why the first conclusion is deleted.</w:t>
            </w:r>
          </w:p>
          <w:p w14:paraId="68F02856" w14:textId="45E6A1D5" w:rsidR="007570A6" w:rsidRPr="00C54BF3" w:rsidRDefault="007570A6" w:rsidP="00F74764">
            <w:pPr>
              <w:pStyle w:val="a6"/>
              <w:spacing w:after="0"/>
              <w:rPr>
                <w:rFonts w:eastAsiaTheme="minorEastAsia"/>
                <w:sz w:val="20"/>
                <w:szCs w:val="20"/>
                <w:lang w:val="de-DE"/>
              </w:rPr>
            </w:pPr>
            <w:r>
              <w:rPr>
                <w:rFonts w:eastAsiaTheme="minorEastAsia"/>
                <w:sz w:val="20"/>
                <w:szCs w:val="20"/>
                <w:lang w:val="de-DE"/>
              </w:rPr>
              <w:t>Regarding the second conclusion, it does not mention the UE behavior in case LBT is failed.</w:t>
            </w:r>
          </w:p>
        </w:tc>
      </w:tr>
      <w:tr w:rsidR="00436C21" w14:paraId="47DCF1D3" w14:textId="77777777" w:rsidTr="00F74764">
        <w:tc>
          <w:tcPr>
            <w:tcW w:w="1525" w:type="dxa"/>
          </w:tcPr>
          <w:p w14:paraId="516DA2BB" w14:textId="6B484A17" w:rsidR="00436C21" w:rsidRPr="0090107F" w:rsidRDefault="000B5D82" w:rsidP="00F74764">
            <w:pPr>
              <w:pStyle w:val="a6"/>
              <w:spacing w:after="0"/>
              <w:rPr>
                <w:sz w:val="20"/>
                <w:szCs w:val="20"/>
                <w:lang w:val="de-DE"/>
              </w:rPr>
            </w:pPr>
            <w:r w:rsidRPr="000B5D82">
              <w:rPr>
                <w:rFonts w:eastAsiaTheme="minorEastAsia" w:hint="eastAsia"/>
                <w:sz w:val="20"/>
                <w:szCs w:val="20"/>
                <w:lang w:val="de-DE"/>
              </w:rPr>
              <w:t>M</w:t>
            </w:r>
            <w:r w:rsidRPr="000B5D82">
              <w:rPr>
                <w:rFonts w:eastAsiaTheme="minorEastAsia"/>
                <w:sz w:val="20"/>
                <w:szCs w:val="20"/>
                <w:lang w:val="de-DE"/>
              </w:rPr>
              <w:t>edaiTek</w:t>
            </w:r>
          </w:p>
        </w:tc>
        <w:tc>
          <w:tcPr>
            <w:tcW w:w="7560" w:type="dxa"/>
          </w:tcPr>
          <w:p w14:paraId="7608BA38" w14:textId="28F2EA5F" w:rsidR="000A10DA" w:rsidRPr="0090107F" w:rsidRDefault="000A10DA" w:rsidP="000A10DA">
            <w:pPr>
              <w:pStyle w:val="a6"/>
              <w:spacing w:after="0"/>
              <w:rPr>
                <w:sz w:val="20"/>
                <w:szCs w:val="20"/>
                <w:lang w:val="de-DE"/>
              </w:rPr>
            </w:pPr>
            <w:r w:rsidRPr="000A10DA">
              <w:rPr>
                <w:rFonts w:eastAsiaTheme="minorEastAsia"/>
                <w:sz w:val="20"/>
                <w:szCs w:val="20"/>
                <w:lang w:val="de-DE"/>
              </w:rPr>
              <w:t>To</w:t>
            </w:r>
            <w:r>
              <w:rPr>
                <w:rFonts w:eastAsiaTheme="minorEastAsia" w:hint="eastAsia"/>
                <w:sz w:val="20"/>
                <w:szCs w:val="20"/>
                <w:lang w:val="de-DE"/>
              </w:rPr>
              <w:t xml:space="preserve"> have </w:t>
            </w:r>
            <w:r w:rsidRPr="000A10DA">
              <w:rPr>
                <w:rFonts w:eastAsiaTheme="minorEastAsia" w:hint="eastAsia"/>
                <w:sz w:val="20"/>
                <w:szCs w:val="20"/>
                <w:lang w:val="de-DE"/>
              </w:rPr>
              <w:t>conclusion</w:t>
            </w:r>
            <w:r>
              <w:rPr>
                <w:rFonts w:eastAsiaTheme="minorEastAsia"/>
                <w:sz w:val="20"/>
                <w:szCs w:val="20"/>
                <w:lang w:val="de-DE"/>
              </w:rPr>
              <w:t>s</w:t>
            </w:r>
            <w:r w:rsidRPr="000A10DA">
              <w:rPr>
                <w:rFonts w:eastAsiaTheme="minorEastAsia" w:hint="eastAsia"/>
                <w:sz w:val="20"/>
                <w:szCs w:val="20"/>
                <w:lang w:val="de-DE"/>
              </w:rPr>
              <w:t xml:space="preserve"> and </w:t>
            </w:r>
            <w:r w:rsidRPr="000A10DA">
              <w:rPr>
                <w:rFonts w:eastAsiaTheme="minorEastAsia"/>
                <w:sz w:val="20"/>
                <w:szCs w:val="20"/>
                <w:lang w:val="de-DE"/>
              </w:rPr>
              <w:t>a simple spec change</w:t>
            </w:r>
            <w:r>
              <w:rPr>
                <w:rFonts w:eastAsiaTheme="minorEastAsia"/>
                <w:sz w:val="20"/>
                <w:szCs w:val="20"/>
                <w:lang w:val="de-DE"/>
              </w:rPr>
              <w:t xml:space="preserve"> (as suggetsted by Huawei)</w:t>
            </w:r>
            <w:r w:rsidRPr="000A10DA">
              <w:rPr>
                <w:rFonts w:eastAsiaTheme="minorEastAsia"/>
                <w:sz w:val="20"/>
                <w:szCs w:val="20"/>
                <w:lang w:val="de-DE"/>
              </w:rPr>
              <w:t xml:space="preserve"> </w:t>
            </w:r>
            <w:r>
              <w:rPr>
                <w:rFonts w:eastAsiaTheme="minorEastAsia"/>
                <w:sz w:val="20"/>
                <w:szCs w:val="20"/>
                <w:lang w:val="de-DE"/>
              </w:rPr>
              <w:t>are</w:t>
            </w:r>
            <w:r w:rsidRPr="000A10DA">
              <w:rPr>
                <w:rFonts w:eastAsiaTheme="minorEastAsia"/>
                <w:sz w:val="20"/>
                <w:szCs w:val="20"/>
                <w:lang w:val="de-DE"/>
              </w:rPr>
              <w:t xml:space="preserve"> not </w:t>
            </w:r>
            <w:r>
              <w:rPr>
                <w:rFonts w:eastAsiaTheme="minorEastAsia"/>
                <w:sz w:val="20"/>
                <w:szCs w:val="20"/>
                <w:lang w:val="de-DE"/>
              </w:rPr>
              <w:t>m</w:t>
            </w:r>
            <w:r w:rsidRPr="000A10DA">
              <w:rPr>
                <w:rFonts w:eastAsiaTheme="minorEastAsia"/>
                <w:sz w:val="20"/>
                <w:szCs w:val="20"/>
                <w:lang w:val="de-DE"/>
              </w:rPr>
              <w:t>utually exclusive</w:t>
            </w:r>
            <w:r>
              <w:rPr>
                <w:rFonts w:eastAsiaTheme="minorEastAsia"/>
                <w:sz w:val="20"/>
                <w:szCs w:val="20"/>
                <w:lang w:val="de-DE"/>
              </w:rPr>
              <w:t>. Also, we share simalar view with Lenovo, Conclusion 1 is also needed for a complete UE behavior.</w:t>
            </w:r>
          </w:p>
        </w:tc>
      </w:tr>
      <w:tr w:rsidR="00436C21" w14:paraId="53B7AF90" w14:textId="77777777" w:rsidTr="00F74764">
        <w:tc>
          <w:tcPr>
            <w:tcW w:w="1525" w:type="dxa"/>
          </w:tcPr>
          <w:p w14:paraId="023612AF" w14:textId="518E419B" w:rsidR="00436C21" w:rsidRPr="00AE3E11" w:rsidRDefault="00AE3E11" w:rsidP="00F74764">
            <w:pPr>
              <w:pStyle w:val="a6"/>
              <w:spacing w:after="0"/>
              <w:rPr>
                <w:rFonts w:eastAsiaTheme="minorEastAsia"/>
                <w:sz w:val="20"/>
                <w:szCs w:val="20"/>
                <w:lang w:val="de-DE"/>
              </w:rPr>
            </w:pPr>
            <w:r w:rsidRPr="00AE3E11">
              <w:rPr>
                <w:rFonts w:eastAsiaTheme="minorEastAsia"/>
                <w:sz w:val="20"/>
                <w:szCs w:val="20"/>
                <w:lang w:val="de-DE"/>
              </w:rPr>
              <w:t>vi</w:t>
            </w:r>
            <w:r w:rsidRPr="00AE3E11">
              <w:rPr>
                <w:rFonts w:eastAsiaTheme="minorEastAsia" w:hint="eastAsia"/>
                <w:sz w:val="20"/>
                <w:szCs w:val="20"/>
                <w:lang w:val="de-DE"/>
              </w:rPr>
              <w:t>vo</w:t>
            </w:r>
          </w:p>
        </w:tc>
        <w:tc>
          <w:tcPr>
            <w:tcW w:w="7560" w:type="dxa"/>
          </w:tcPr>
          <w:p w14:paraId="6F776DAE" w14:textId="40069E7D" w:rsidR="00436C21" w:rsidRPr="00AE3E11" w:rsidRDefault="00AE3E11" w:rsidP="00F74764">
            <w:pPr>
              <w:pStyle w:val="a6"/>
              <w:spacing w:after="0"/>
              <w:rPr>
                <w:rFonts w:eastAsiaTheme="minorEastAsia"/>
                <w:sz w:val="20"/>
                <w:szCs w:val="20"/>
                <w:lang w:val="en-US"/>
              </w:rPr>
            </w:pPr>
            <w:r w:rsidRPr="00AE3E11">
              <w:rPr>
                <w:rFonts w:eastAsiaTheme="minorEastAsia"/>
                <w:sz w:val="20"/>
                <w:szCs w:val="20"/>
                <w:lang w:val="de-DE"/>
              </w:rPr>
              <w:t>We agree with the generic conclusion</w:t>
            </w:r>
            <w:r>
              <w:rPr>
                <w:rFonts w:eastAsiaTheme="minorEastAsia"/>
                <w:sz w:val="20"/>
                <w:szCs w:val="20"/>
                <w:lang w:val="de-DE"/>
              </w:rPr>
              <w:t xml:space="preserve">. </w:t>
            </w:r>
            <w:r w:rsidR="00C90EFB">
              <w:rPr>
                <w:rFonts w:eastAsiaTheme="minorEastAsia"/>
                <w:sz w:val="20"/>
                <w:szCs w:val="20"/>
                <w:lang w:val="de-DE"/>
              </w:rPr>
              <w:t>We think t</w:t>
            </w:r>
            <w:r>
              <w:rPr>
                <w:rFonts w:eastAsiaTheme="minorEastAsia"/>
                <w:sz w:val="20"/>
                <w:szCs w:val="20"/>
                <w:lang w:val="de-DE"/>
              </w:rPr>
              <w:t xml:space="preserve">he second conclusion is not clear enough </w:t>
            </w:r>
            <w:bookmarkStart w:id="31" w:name="_GoBack"/>
            <w:bookmarkEnd w:id="31"/>
            <w:r>
              <w:rPr>
                <w:rFonts w:eastAsiaTheme="minorEastAsia"/>
                <w:sz w:val="20"/>
                <w:szCs w:val="20"/>
                <w:lang w:val="de-DE"/>
              </w:rPr>
              <w:t xml:space="preserve">to clarify that </w:t>
            </w:r>
            <w:r w:rsidRPr="00AE3E11">
              <w:rPr>
                <w:rFonts w:eastAsiaTheme="minorEastAsia"/>
                <w:sz w:val="20"/>
                <w:szCs w:val="20"/>
                <w:lang w:val="de-DE"/>
              </w:rPr>
              <w:t>the UCI multiplexing behavior should not depend on LBT outcome</w:t>
            </w:r>
            <w:r>
              <w:rPr>
                <w:rFonts w:eastAsiaTheme="minorEastAsia"/>
                <w:sz w:val="20"/>
                <w:szCs w:val="20"/>
                <w:lang w:val="de-DE"/>
              </w:rPr>
              <w:t>.</w:t>
            </w:r>
          </w:p>
        </w:tc>
      </w:tr>
    </w:tbl>
    <w:p w14:paraId="2D6D4EA3" w14:textId="77777777" w:rsidR="00436C21" w:rsidRDefault="00436C21" w:rsidP="00436C21">
      <w:pPr>
        <w:pStyle w:val="a6"/>
        <w:rPr>
          <w:lang w:val="en-US"/>
        </w:rPr>
      </w:pPr>
    </w:p>
    <w:p w14:paraId="6CC2A305" w14:textId="1785A823" w:rsidR="00436C21" w:rsidRDefault="00436C21" w:rsidP="00436C21">
      <w:pPr>
        <w:pStyle w:val="a6"/>
        <w:rPr>
          <w:lang w:val="en-US"/>
        </w:rPr>
      </w:pPr>
      <w:r>
        <w:rPr>
          <w:lang w:val="en-US"/>
        </w:rPr>
        <w:t>Regarding Proposal 2</w:t>
      </w:r>
      <w:r w:rsidR="004A0F33">
        <w:rPr>
          <w:lang w:val="en-US"/>
        </w:rPr>
        <w:t>, there is almost consensus that the issue can be handled by gNB implementation</w:t>
      </w:r>
    </w:p>
    <w:p w14:paraId="5944A2E5" w14:textId="77777777" w:rsidR="004A0F33" w:rsidRDefault="004A0F33" w:rsidP="004A0F33">
      <w:pPr>
        <w:pStyle w:val="a6"/>
        <w:rPr>
          <w:rFonts w:eastAsia="Malgun Gothic" w:cs="Arial"/>
          <w:lang w:val="de-DE" w:eastAsia="ko-KR"/>
        </w:rPr>
      </w:pPr>
      <w:r w:rsidRPr="004A0F33">
        <w:rPr>
          <w:rFonts w:eastAsia="Malgun Gothic" w:cs="Arial"/>
          <w:highlight w:val="cyan"/>
          <w:lang w:val="de-DE" w:eastAsia="ko-KR"/>
        </w:rPr>
        <w:t>FL Reccomendation</w:t>
      </w:r>
    </w:p>
    <w:p w14:paraId="7D900ABF" w14:textId="3AEB7E22" w:rsidR="004A0F33" w:rsidRPr="00436C21" w:rsidRDefault="004A0F33" w:rsidP="009D133C">
      <w:pPr>
        <w:pStyle w:val="a6"/>
        <w:ind w:left="567"/>
        <w:rPr>
          <w:lang w:val="en-US"/>
        </w:rPr>
      </w:pPr>
      <w:r>
        <w:rPr>
          <w:lang w:val="en-US"/>
        </w:rPr>
        <w:t>No spec change needed regarding Proposal 2</w:t>
      </w:r>
      <w:r w:rsidR="007E2A03">
        <w:rPr>
          <w:lang w:val="en-US"/>
        </w:rPr>
        <w:t>; it can be handled by gNB implementation</w:t>
      </w: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a6"/>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a6"/>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a6"/>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a6"/>
              <w:spacing w:after="0"/>
              <w:rPr>
                <w:rFonts w:cs="Arial"/>
                <w:lang w:val="de-DE"/>
              </w:rPr>
            </w:pPr>
            <w:r>
              <w:rPr>
                <w:lang w:val="de-DE"/>
              </w:rPr>
              <w:t>Qualcomm</w:t>
            </w:r>
          </w:p>
        </w:tc>
        <w:tc>
          <w:tcPr>
            <w:tcW w:w="7560" w:type="dxa"/>
          </w:tcPr>
          <w:p w14:paraId="74E2A8CD" w14:textId="44BF1EBC" w:rsidR="00E653C0" w:rsidRPr="008D537E" w:rsidRDefault="00E653C0" w:rsidP="00E653C0">
            <w:pPr>
              <w:pStyle w:val="a6"/>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a6"/>
              <w:spacing w:after="0"/>
              <w:rPr>
                <w:lang w:val="de-DE"/>
              </w:rPr>
            </w:pPr>
            <w:r>
              <w:rPr>
                <w:lang w:val="de-DE"/>
              </w:rPr>
              <w:t>Intel</w:t>
            </w:r>
          </w:p>
        </w:tc>
        <w:tc>
          <w:tcPr>
            <w:tcW w:w="7560" w:type="dxa"/>
          </w:tcPr>
          <w:p w14:paraId="649AC99D" w14:textId="13FF1EE3" w:rsidR="00932E51" w:rsidRDefault="00932E51" w:rsidP="00E653C0">
            <w:pPr>
              <w:pStyle w:val="a6"/>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a6"/>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a6"/>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a6"/>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lastRenderedPageBreak/>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w:t>
      </w:r>
      <w:proofErr w:type="gramStart"/>
      <w:r>
        <w:rPr>
          <w:color w:val="000000" w:themeColor="text1"/>
        </w:rPr>
        <w:t>Clause 6.3.1.4].</w:t>
      </w:r>
      <w:proofErr w:type="gramEnd"/>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a6"/>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a6"/>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a6"/>
              <w:spacing w:after="0"/>
              <w:rPr>
                <w:rFonts w:cs="Arial"/>
                <w:lang w:val="de-DE"/>
              </w:rPr>
            </w:pPr>
            <w:r>
              <w:rPr>
                <w:lang w:val="de-DE"/>
              </w:rPr>
              <w:lastRenderedPageBreak/>
              <w:t>Qualcomm</w:t>
            </w:r>
          </w:p>
        </w:tc>
        <w:tc>
          <w:tcPr>
            <w:tcW w:w="7560" w:type="dxa"/>
          </w:tcPr>
          <w:p w14:paraId="33FB0948" w14:textId="63134B1E" w:rsidR="00E653C0" w:rsidRPr="008D537E" w:rsidRDefault="00E653C0" w:rsidP="00E653C0">
            <w:pPr>
              <w:pStyle w:val="a6"/>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a6"/>
              <w:spacing w:after="0"/>
              <w:rPr>
                <w:lang w:val="de-DE"/>
              </w:rPr>
            </w:pPr>
            <w:r>
              <w:rPr>
                <w:lang w:val="de-DE"/>
              </w:rPr>
              <w:t>Intel</w:t>
            </w:r>
          </w:p>
        </w:tc>
        <w:tc>
          <w:tcPr>
            <w:tcW w:w="7560" w:type="dxa"/>
          </w:tcPr>
          <w:p w14:paraId="27E489D5" w14:textId="55864FAF" w:rsidR="00932E51" w:rsidRDefault="00932E51"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a6"/>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a6"/>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a6"/>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a6"/>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aff5"/>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aff5"/>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aff5"/>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aff5"/>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proofErr w:type="spellStart"/>
      <w:r w:rsidRPr="00C81F80">
        <w:rPr>
          <w:rFonts w:eastAsia="宋体"/>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proofErr w:type="spellStart"/>
      <w:r w:rsidRPr="00C81F80">
        <w:rPr>
          <w:rFonts w:eastAsia="宋体"/>
          <w:i/>
          <w:lang w:val="x-none" w:eastAsia="en-US"/>
        </w:rPr>
        <w:t>startingPRB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proofErr w:type="spellStart"/>
      <w:r w:rsidRPr="00C81F80">
        <w:rPr>
          <w:rFonts w:eastAsia="宋体"/>
          <w:i/>
          <w:lang w:val="x-none" w:eastAsia="en-US"/>
        </w:rPr>
        <w:t>secondHopPRB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proofErr w:type="spellStart"/>
      <w:r w:rsidRPr="00C81F80">
        <w:rPr>
          <w:rFonts w:eastAsia="宋体"/>
          <w:i/>
          <w:lang w:val="x-none" w:eastAsia="en-US"/>
        </w:rPr>
        <w:t>intraSlotFrequencyHopping</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t>-</w:t>
      </w:r>
      <w:r w:rsidRPr="00C81F80">
        <w:rPr>
          <w:rFonts w:eastAsia="宋体"/>
          <w:strike/>
          <w:color w:val="FF0000"/>
          <w:lang w:val="x-none" w:eastAsia="en-US"/>
        </w:rPr>
        <w:tab/>
        <w:t xml:space="preserve">if provided, an index of a second </w:t>
      </w:r>
      <w:r w:rsidRPr="00C81F80">
        <w:rPr>
          <w:rFonts w:eastAsia="等线"/>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proofErr w:type="spellStart"/>
      <w:r w:rsidRPr="00C81F80">
        <w:rPr>
          <w:rFonts w:eastAsia="宋体"/>
          <w:i/>
          <w:strike/>
          <w:color w:val="FF0000"/>
          <w:lang w:val="x-none" w:eastAsia="en-US"/>
        </w:rPr>
        <w:t>useInterlacePUCCH</w:t>
      </w:r>
      <w:proofErr w:type="spellEnd"/>
      <w:r w:rsidRPr="00C81F80">
        <w:rPr>
          <w:rFonts w:eastAsia="宋体"/>
          <w:i/>
          <w:strike/>
          <w:color w:val="FF0000"/>
          <w:lang w:val="x-none" w:eastAsia="en-US"/>
        </w:rPr>
        <w:t>-PUSCH</w:t>
      </w:r>
      <w:r w:rsidRPr="00C81F80">
        <w:rPr>
          <w:rFonts w:eastAsia="宋体"/>
          <w:iCs/>
          <w:strike/>
          <w:color w:val="FF0000"/>
          <w:lang w:val="x-none" w:eastAsia="en-US"/>
        </w:rPr>
        <w:t xml:space="preserve"> in </w:t>
      </w:r>
      <w:r w:rsidRPr="00C81F80">
        <w:rPr>
          <w:rFonts w:eastAsia="宋体"/>
          <w:i/>
          <w:strike/>
          <w:color w:val="FF0000"/>
          <w:lang w:val="x-none" w:eastAsia="en-US"/>
        </w:rPr>
        <w:t>BWP-</w:t>
      </w:r>
      <w:proofErr w:type="spellStart"/>
      <w:r w:rsidRPr="00C81F80">
        <w:rPr>
          <w:rFonts w:eastAsia="宋体"/>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proofErr w:type="spellStart"/>
      <w:r w:rsidRPr="00C81F80">
        <w:rPr>
          <w:rFonts w:eastAsia="宋体"/>
          <w:i/>
          <w:iCs/>
          <w:lang w:val="x-none" w:eastAsia="en-US"/>
        </w:rPr>
        <w:t>rb-SetIndex</w:t>
      </w:r>
      <w:proofErr w:type="spellEnd"/>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lastRenderedPageBreak/>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aff5"/>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aff5"/>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aff5"/>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aff5"/>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a6"/>
      </w:pPr>
    </w:p>
    <w:p w14:paraId="1F51C859" w14:textId="3E7F98B8" w:rsidR="007E2A03" w:rsidRDefault="007E2A03" w:rsidP="007E2A03">
      <w:pPr>
        <w:pStyle w:val="a6"/>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a6"/>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lastRenderedPageBreak/>
        <w:t>-</w:t>
      </w:r>
      <w:r w:rsidRPr="00C81F80">
        <w:rPr>
          <w:rFonts w:eastAsia="宋体"/>
          <w:lang w:val="x-none" w:eastAsia="en-US"/>
        </w:rPr>
        <w:tab/>
        <w:t xml:space="preserve">a PUCCH resource index </w:t>
      </w:r>
      <w:r w:rsidRPr="00C81F80">
        <w:rPr>
          <w:rFonts w:eastAsia="宋体"/>
          <w:lang w:val="en-US" w:eastAsia="en-US"/>
        </w:rPr>
        <w:t xml:space="preserve">provided by </w:t>
      </w:r>
      <w:proofErr w:type="spellStart"/>
      <w:r w:rsidRPr="00C81F80">
        <w:rPr>
          <w:rFonts w:eastAsia="宋体"/>
          <w:i/>
          <w:lang w:val="x-none" w:eastAsia="en-US"/>
        </w:rPr>
        <w:t>pucch-ResourceId</w:t>
      </w:r>
      <w:proofErr w:type="spellEnd"/>
    </w:p>
    <w:p w14:paraId="75FB5397"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proofErr w:type="spellStart"/>
      <w:r w:rsidRPr="00C81F80">
        <w:rPr>
          <w:rFonts w:eastAsia="宋体"/>
          <w:i/>
          <w:lang w:val="x-none" w:eastAsia="en-US"/>
        </w:rPr>
        <w:t>startingPRB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45C2BEB1"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proofErr w:type="spellStart"/>
      <w:r w:rsidRPr="00C81F80">
        <w:rPr>
          <w:rFonts w:eastAsia="宋体"/>
          <w:i/>
          <w:lang w:val="x-none" w:eastAsia="en-US"/>
        </w:rPr>
        <w:t>secondHopPRB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5B1A696F"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proofErr w:type="spellStart"/>
      <w:r w:rsidRPr="00C81F80">
        <w:rPr>
          <w:rFonts w:eastAsia="宋体"/>
          <w:i/>
          <w:lang w:val="x-none" w:eastAsia="en-US"/>
        </w:rPr>
        <w:t>intraSlotFrequencyHopping</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1F4BBF10" w14:textId="77777777" w:rsidR="007E2A03" w:rsidRPr="00C81F80" w:rsidRDefault="007E2A03" w:rsidP="007E2A03">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37ED8654" w14:textId="77777777" w:rsidR="007E2A03" w:rsidRPr="009D133C" w:rsidRDefault="007E2A03" w:rsidP="007E2A03">
      <w:pPr>
        <w:overflowPunct/>
        <w:autoSpaceDE/>
        <w:autoSpaceDN/>
        <w:adjustRightInd/>
        <w:spacing w:line="240" w:lineRule="auto"/>
        <w:ind w:left="568" w:hanging="284"/>
        <w:textAlignment w:val="auto"/>
        <w:rPr>
          <w:rFonts w:eastAsia="宋体"/>
          <w:iCs/>
          <w:lang w:val="x-none" w:eastAsia="en-US"/>
        </w:rPr>
      </w:pPr>
      <w:r w:rsidRPr="009D133C">
        <w:rPr>
          <w:rFonts w:eastAsia="宋体"/>
          <w:lang w:val="x-none" w:eastAsia="en-US"/>
        </w:rPr>
        <w:t>-</w:t>
      </w:r>
      <w:r w:rsidRPr="009D133C">
        <w:rPr>
          <w:rFonts w:eastAsia="宋体"/>
          <w:lang w:val="x-none" w:eastAsia="en-US"/>
        </w:rPr>
        <w:tab/>
        <w:t xml:space="preserve">if provided, an index of a second </w:t>
      </w:r>
      <w:r w:rsidRPr="009D133C">
        <w:rPr>
          <w:rFonts w:eastAsia="等线"/>
          <w:lang w:val="x-none" w:eastAsia="zh-CN"/>
        </w:rPr>
        <w:t>i</w:t>
      </w:r>
      <w:r w:rsidRPr="009D133C">
        <w:rPr>
          <w:rFonts w:eastAsia="宋体"/>
          <w:lang w:val="x-none" w:eastAsia="en-US"/>
        </w:rPr>
        <w:t>n</w:t>
      </w:r>
      <w:r w:rsidRPr="009D133C">
        <w:rPr>
          <w:rFonts w:eastAsia="宋体" w:hint="eastAsia"/>
          <w:lang w:val="x-none" w:eastAsia="en-US"/>
        </w:rPr>
        <w:t>terlace</w:t>
      </w:r>
      <w:r w:rsidRPr="009D133C">
        <w:rPr>
          <w:rFonts w:eastAsia="宋体"/>
          <w:lang w:val="x-none" w:eastAsia="en-US"/>
        </w:rPr>
        <w:t xml:space="preserve"> by </w:t>
      </w:r>
      <w:r w:rsidRPr="009D133C">
        <w:rPr>
          <w:rFonts w:eastAsia="宋体"/>
          <w:i/>
          <w:lang w:val="x-none" w:eastAsia="en-US"/>
        </w:rPr>
        <w:t>interlace1</w:t>
      </w:r>
      <w:r w:rsidRPr="009D133C">
        <w:rPr>
          <w:rFonts w:eastAsia="宋体"/>
          <w:lang w:val="x-none" w:eastAsia="en-US"/>
        </w:rPr>
        <w:t>, if</w:t>
      </w:r>
      <w:r w:rsidRPr="009D133C">
        <w:rPr>
          <w:rFonts w:eastAsia="宋体"/>
          <w:lang w:val="en-US" w:eastAsia="en-US"/>
        </w:rPr>
        <w:t xml:space="preserve"> a UE is provided </w:t>
      </w:r>
      <w:proofErr w:type="spellStart"/>
      <w:r w:rsidRPr="009D133C">
        <w:rPr>
          <w:rFonts w:eastAsia="宋体"/>
          <w:i/>
          <w:lang w:val="x-none" w:eastAsia="en-US"/>
        </w:rPr>
        <w:t>useInterlacePUCCH</w:t>
      </w:r>
      <w:proofErr w:type="spellEnd"/>
      <w:r w:rsidRPr="009D133C">
        <w:rPr>
          <w:rFonts w:eastAsia="宋体"/>
          <w:i/>
          <w:lang w:val="x-none" w:eastAsia="en-US"/>
        </w:rPr>
        <w:t>-PUSCH</w:t>
      </w:r>
      <w:r w:rsidRPr="009D133C">
        <w:rPr>
          <w:rFonts w:eastAsia="宋体"/>
          <w:iCs/>
          <w:lang w:val="x-none" w:eastAsia="en-US"/>
        </w:rPr>
        <w:t xml:space="preserve"> in </w:t>
      </w:r>
      <w:r w:rsidRPr="009D133C">
        <w:rPr>
          <w:rFonts w:eastAsia="宋体"/>
          <w:i/>
          <w:lang w:val="x-none" w:eastAsia="en-US"/>
        </w:rPr>
        <w:t>BWP-</w:t>
      </w:r>
      <w:proofErr w:type="spellStart"/>
      <w:r w:rsidRPr="009D133C">
        <w:rPr>
          <w:rFonts w:eastAsia="宋体"/>
          <w:i/>
          <w:lang w:val="x-none" w:eastAsia="en-US"/>
        </w:rPr>
        <w:t>UplinkDedicated</w:t>
      </w:r>
      <w:proofErr w:type="spellEnd"/>
    </w:p>
    <w:p w14:paraId="2E47233A"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proofErr w:type="spellStart"/>
      <w:r w:rsidRPr="00C81F80">
        <w:rPr>
          <w:rFonts w:eastAsia="宋体"/>
          <w:i/>
          <w:iCs/>
          <w:lang w:val="x-none" w:eastAsia="en-US"/>
        </w:rPr>
        <w:t>rb-SetIndex</w:t>
      </w:r>
      <w:proofErr w:type="spellEnd"/>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A1F3252"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a6"/>
        <w:jc w:val="center"/>
        <w:rPr>
          <w:color w:val="FF0000"/>
        </w:rPr>
      </w:pPr>
      <w:r w:rsidRPr="0088612B">
        <w:rPr>
          <w:color w:val="FF0000"/>
        </w:rPr>
        <w:t>*** Unchanged text omitted ***</w:t>
      </w:r>
    </w:p>
    <w:p w14:paraId="6405E279" w14:textId="77777777" w:rsidR="007E2A03" w:rsidRDefault="007E2A03" w:rsidP="007E2A0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21"/>
      </w:pPr>
      <w:r>
        <w:lastRenderedPageBreak/>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eastAsia="zh-TW"/>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C90EFB" w:rsidRDefault="00C90EFB">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C90EFB" w:rsidRDefault="00C90EFB">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proofErr w:type="gramStart"/>
      <w:r w:rsidRPr="0058380A">
        <w:rPr>
          <w:lang w:val="en-US"/>
        </w:rPr>
        <w:t>zero resource</w:t>
      </w:r>
      <w:proofErr w:type="gramEnd"/>
      <w:r w:rsidRPr="0058380A">
        <w:rPr>
          <w:lang w:val="en-US"/>
        </w:rPr>
        <w:t xml:space="preserv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proofErr w:type="spellStart"/>
            <w:r>
              <w:rPr>
                <w:rFonts w:ascii="Times New Roman" w:eastAsia="宋体" w:hAnsi="Times New Roman"/>
                <w:sz w:val="20"/>
                <w:szCs w:val="20"/>
                <w:lang w:val="x-none" w:eastAsia="en-US"/>
              </w:rPr>
              <w:t>amsung</w:t>
            </w:r>
            <w:proofErr w:type="spellEnd"/>
            <w:r>
              <w:rPr>
                <w:rFonts w:ascii="Times New Roman" w:eastAsia="宋体" w:hAnsi="Times New Roman"/>
                <w:sz w:val="20"/>
                <w:szCs w:val="20"/>
                <w:lang w:val="x-none" w:eastAsia="en-US"/>
              </w:rPr>
              <w:t xml:space="preserve"> </w:t>
            </w:r>
          </w:p>
        </w:tc>
        <w:tc>
          <w:tcPr>
            <w:tcW w:w="7560" w:type="dxa"/>
          </w:tcPr>
          <w:p w14:paraId="682D6B7E" w14:textId="544476FC"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a6"/>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a6"/>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a6"/>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a6"/>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a6"/>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a6"/>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a6"/>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a6"/>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a6"/>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a6"/>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a6"/>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a6"/>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a6"/>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a6"/>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a6"/>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lastRenderedPageBreak/>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21"/>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afd"/>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a6"/>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a6"/>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540DA10D" w:rsidR="000424D1" w:rsidRPr="00D11A4A" w:rsidRDefault="001D6A04" w:rsidP="00F74764">
            <w:pPr>
              <w:pStyle w:val="a6"/>
              <w:spacing w:after="0"/>
              <w:rPr>
                <w:sz w:val="20"/>
                <w:szCs w:val="20"/>
                <w:lang w:val="de-DE"/>
              </w:rPr>
            </w:pPr>
            <w:r>
              <w:rPr>
                <w:sz w:val="20"/>
                <w:szCs w:val="20"/>
                <w:lang w:val="de-DE"/>
              </w:rPr>
              <w:t>Huawei</w:t>
            </w:r>
          </w:p>
        </w:tc>
        <w:tc>
          <w:tcPr>
            <w:tcW w:w="7560" w:type="dxa"/>
          </w:tcPr>
          <w:p w14:paraId="5C199F59" w14:textId="24ABEE02" w:rsidR="000424D1" w:rsidRPr="00D11A4A" w:rsidRDefault="001D6A04" w:rsidP="00F74764">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5A6BC18B" w14:textId="77777777" w:rsidTr="00F74764">
        <w:tc>
          <w:tcPr>
            <w:tcW w:w="1525" w:type="dxa"/>
          </w:tcPr>
          <w:p w14:paraId="328DECC7" w14:textId="31FEF82D" w:rsidR="007570A6" w:rsidRPr="00D11A4A" w:rsidRDefault="007570A6" w:rsidP="007570A6">
            <w:pPr>
              <w:pStyle w:val="a6"/>
              <w:spacing w:after="0"/>
              <w:rPr>
                <w:sz w:val="20"/>
                <w:szCs w:val="20"/>
                <w:lang w:val="de-DE"/>
              </w:rPr>
            </w:pPr>
            <w:r>
              <w:rPr>
                <w:rFonts w:eastAsiaTheme="minorEastAsia"/>
                <w:sz w:val="20"/>
                <w:szCs w:val="20"/>
                <w:lang w:val="de-DE"/>
              </w:rPr>
              <w:t>Lenovo, Motorola Mobility</w:t>
            </w:r>
          </w:p>
        </w:tc>
        <w:tc>
          <w:tcPr>
            <w:tcW w:w="7560" w:type="dxa"/>
          </w:tcPr>
          <w:p w14:paraId="09C15F25" w14:textId="627CF403" w:rsidR="007570A6" w:rsidRPr="00D11A4A" w:rsidRDefault="007570A6" w:rsidP="007570A6">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11FB0C2E" w14:textId="77777777" w:rsidTr="00F74764">
        <w:tc>
          <w:tcPr>
            <w:tcW w:w="1525" w:type="dxa"/>
          </w:tcPr>
          <w:p w14:paraId="72ECC6B0" w14:textId="1CACF890" w:rsidR="007570A6" w:rsidRPr="00D11A4A" w:rsidRDefault="000A10DA" w:rsidP="007570A6">
            <w:pPr>
              <w:pStyle w:val="a6"/>
              <w:spacing w:after="0"/>
              <w:jc w:val="left"/>
              <w:rPr>
                <w:sz w:val="20"/>
                <w:szCs w:val="20"/>
                <w:lang w:val="de-DE"/>
              </w:rPr>
            </w:pPr>
            <w:r>
              <w:rPr>
                <w:sz w:val="20"/>
                <w:szCs w:val="20"/>
                <w:lang w:val="de-DE"/>
              </w:rPr>
              <w:t>MedaiTek</w:t>
            </w:r>
          </w:p>
        </w:tc>
        <w:tc>
          <w:tcPr>
            <w:tcW w:w="7560" w:type="dxa"/>
          </w:tcPr>
          <w:p w14:paraId="008F3BF0" w14:textId="5E1DCE56" w:rsidR="007570A6" w:rsidRPr="00D11A4A" w:rsidRDefault="000A10DA" w:rsidP="007570A6">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2B50639C" w14:textId="77777777" w:rsidTr="00F74764">
        <w:tc>
          <w:tcPr>
            <w:tcW w:w="1525" w:type="dxa"/>
          </w:tcPr>
          <w:p w14:paraId="670EF7B5" w14:textId="1AF4D696" w:rsidR="007570A6" w:rsidRPr="00AE3E11" w:rsidRDefault="00AE3E11" w:rsidP="007570A6">
            <w:pPr>
              <w:pStyle w:val="a6"/>
              <w:spacing w:after="0"/>
              <w:jc w:val="left"/>
              <w:rPr>
                <w:rFonts w:eastAsiaTheme="minorEastAsia"/>
                <w:sz w:val="20"/>
                <w:szCs w:val="20"/>
                <w:lang w:val="de-DE"/>
              </w:rPr>
            </w:pPr>
            <w:r w:rsidRPr="00AE3E11">
              <w:rPr>
                <w:rFonts w:eastAsiaTheme="minorEastAsia"/>
                <w:sz w:val="20"/>
                <w:szCs w:val="20"/>
                <w:lang w:val="de-DE"/>
              </w:rPr>
              <w:t>vivo</w:t>
            </w:r>
          </w:p>
        </w:tc>
        <w:tc>
          <w:tcPr>
            <w:tcW w:w="7560" w:type="dxa"/>
          </w:tcPr>
          <w:p w14:paraId="4441CC88" w14:textId="0D473164" w:rsidR="007570A6" w:rsidRPr="00AE3E11" w:rsidRDefault="00AE3E11" w:rsidP="007570A6">
            <w:pPr>
              <w:pStyle w:val="a6"/>
              <w:spacing w:after="0"/>
              <w:rPr>
                <w:rFonts w:eastAsiaTheme="minorEastAsia"/>
                <w:sz w:val="20"/>
                <w:szCs w:val="20"/>
                <w:lang w:val="de-DE"/>
              </w:rPr>
            </w:pPr>
            <w:r w:rsidRPr="00AE3E11">
              <w:rPr>
                <w:rFonts w:eastAsiaTheme="minorEastAsia"/>
                <w:sz w:val="20"/>
                <w:szCs w:val="20"/>
                <w:lang w:val="de-DE"/>
              </w:rPr>
              <w:t>Support FL’s proposal</w:t>
            </w:r>
          </w:p>
        </w:tc>
      </w:tr>
      <w:tr w:rsidR="007570A6" w14:paraId="7004D949" w14:textId="77777777" w:rsidTr="00F74764">
        <w:tc>
          <w:tcPr>
            <w:tcW w:w="1525" w:type="dxa"/>
          </w:tcPr>
          <w:p w14:paraId="460A2838" w14:textId="7E5A7763" w:rsidR="007570A6" w:rsidRDefault="007570A6" w:rsidP="007570A6">
            <w:pPr>
              <w:pStyle w:val="a6"/>
              <w:spacing w:after="0"/>
              <w:jc w:val="left"/>
              <w:rPr>
                <w:lang w:val="de-DE"/>
              </w:rPr>
            </w:pPr>
          </w:p>
        </w:tc>
        <w:tc>
          <w:tcPr>
            <w:tcW w:w="7560" w:type="dxa"/>
          </w:tcPr>
          <w:p w14:paraId="0EB5D04D" w14:textId="686824D9" w:rsidR="007570A6" w:rsidRDefault="007570A6" w:rsidP="007570A6">
            <w:pPr>
              <w:pStyle w:val="a6"/>
              <w:spacing w:after="0"/>
              <w:rPr>
                <w:rFonts w:eastAsia="Malgun Gothic"/>
                <w:lang w:val="de-DE" w:eastAsia="ko-KR"/>
              </w:rPr>
            </w:pPr>
          </w:p>
        </w:tc>
      </w:tr>
      <w:tr w:rsidR="007570A6" w14:paraId="09A996E3" w14:textId="77777777" w:rsidTr="00F74764">
        <w:tc>
          <w:tcPr>
            <w:tcW w:w="1525" w:type="dxa"/>
          </w:tcPr>
          <w:p w14:paraId="0510B205" w14:textId="5F29A11B" w:rsidR="007570A6" w:rsidRDefault="007570A6" w:rsidP="007570A6">
            <w:pPr>
              <w:pStyle w:val="a6"/>
              <w:spacing w:after="0"/>
              <w:jc w:val="left"/>
              <w:rPr>
                <w:lang w:val="de-DE"/>
              </w:rPr>
            </w:pPr>
          </w:p>
        </w:tc>
        <w:tc>
          <w:tcPr>
            <w:tcW w:w="7560" w:type="dxa"/>
          </w:tcPr>
          <w:p w14:paraId="6C8A1DE4" w14:textId="6FA31A02" w:rsidR="007570A6" w:rsidRDefault="007570A6" w:rsidP="007570A6">
            <w:pPr>
              <w:pStyle w:val="a6"/>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1"/>
      </w:pPr>
      <w:r>
        <w:t>References</w:t>
      </w:r>
    </w:p>
    <w:p w14:paraId="6194CDD5"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f5"/>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6"/>
    </w:p>
    <w:p w14:paraId="0F451D7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f5"/>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aff5"/>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aff5"/>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aff5"/>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A8B01" w14:textId="77777777" w:rsidR="009E1775" w:rsidRDefault="009E1775">
      <w:pPr>
        <w:spacing w:after="0" w:line="240" w:lineRule="auto"/>
      </w:pPr>
      <w:r>
        <w:separator/>
      </w:r>
    </w:p>
  </w:endnote>
  <w:endnote w:type="continuationSeparator" w:id="0">
    <w:p w14:paraId="7E326B88" w14:textId="77777777" w:rsidR="009E1775" w:rsidRDefault="009E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C90EFB" w:rsidRDefault="00C90EFB">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14</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13631" w14:textId="77777777" w:rsidR="009E1775" w:rsidRDefault="009E1775">
      <w:pPr>
        <w:spacing w:after="0" w:line="240" w:lineRule="auto"/>
      </w:pPr>
      <w:r>
        <w:separator/>
      </w:r>
    </w:p>
  </w:footnote>
  <w:footnote w:type="continuationSeparator" w:id="0">
    <w:p w14:paraId="4620C1B1" w14:textId="77777777" w:rsidR="009E1775" w:rsidRDefault="009E1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90EFB" w:rsidRDefault="00C90EF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6"/>
  </w:num>
  <w:num w:numId="10">
    <w:abstractNumId w:val="11"/>
  </w:num>
  <w:num w:numId="11">
    <w:abstractNumId w:val="8"/>
  </w:num>
  <w:num w:numId="12">
    <w:abstractNumId w:val="12"/>
  </w:num>
  <w:num w:numId="13">
    <w:abstractNumId w:val="13"/>
  </w:num>
  <w:num w:numId="14">
    <w:abstractNumId w:val="21"/>
  </w:num>
  <w:num w:numId="15">
    <w:abstractNumId w:val="20"/>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8"/>
  </w:num>
  <w:num w:numId="18">
    <w:abstractNumId w:val="1"/>
  </w:num>
  <w:num w:numId="19">
    <w:abstractNumId w:val="14"/>
  </w:num>
  <w:num w:numId="20">
    <w:abstractNumId w:val="3"/>
  </w:num>
  <w:num w:numId="21">
    <w:abstractNumId w:val="16"/>
  </w:num>
  <w:num w:numId="22">
    <w:abstractNumId w:val="9"/>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286E"/>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75"/>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E11"/>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0EFB"/>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3.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7DD20E4-4D3B-49F6-87EB-C42D2FAA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14</Pages>
  <Words>5259</Words>
  <Characters>29980</Characters>
  <Application>Microsoft Office Word</Application>
  <DocSecurity>0</DocSecurity>
  <Lines>249</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3</cp:revision>
  <cp:lastPrinted>2008-01-30T21:09:00Z</cp:lastPrinted>
  <dcterms:created xsi:type="dcterms:W3CDTF">2020-05-29T07:02:00Z</dcterms:created>
  <dcterms:modified xsi:type="dcterms:W3CDTF">2020-05-29T07:03:00Z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