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3"/>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F74764" w:rsidRPr="00390500" w:rsidRDefault="00F74764"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F74764" w:rsidRPr="00390500" w:rsidRDefault="00F74764"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F74764" w:rsidRPr="00390500" w:rsidRDefault="00F74764"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F74764" w:rsidRPr="00390500" w:rsidRDefault="00F74764"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F74764" w:rsidRPr="00390500" w:rsidRDefault="00F74764"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F74764" w:rsidRDefault="00F74764"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F74764" w:rsidRPr="00390500" w:rsidRDefault="00F74764"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F74764" w:rsidRDefault="00F74764" w:rsidP="00390500">
                            <w:pPr>
                              <w:jc w:val="center"/>
                            </w:pPr>
                            <w:r>
                              <w:t>*** Omitted text ***</w:t>
                            </w:r>
                          </w:p>
                          <w:p w14:paraId="1FC10783" w14:textId="77777777" w:rsidR="00F74764" w:rsidRPr="00390500" w:rsidRDefault="00F74764"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F74764" w:rsidRDefault="00F747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F74764" w:rsidRPr="00390500" w:rsidRDefault="00F74764"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F74764" w:rsidRPr="00390500" w:rsidRDefault="00F74764"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F74764" w:rsidRPr="00390500" w:rsidRDefault="00F74764"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F74764" w:rsidRPr="00390500" w:rsidRDefault="00F74764"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F74764" w:rsidRPr="00390500" w:rsidRDefault="00F74764"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F74764" w:rsidRDefault="00F74764"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F74764" w:rsidRPr="00390500" w:rsidRDefault="00F74764"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F74764" w:rsidRDefault="00F74764" w:rsidP="00390500">
                      <w:pPr>
                        <w:jc w:val="center"/>
                      </w:pPr>
                      <w:r>
                        <w:t>*** Omitted text ***</w:t>
                      </w:r>
                    </w:p>
                    <w:p w14:paraId="1FC10783" w14:textId="77777777" w:rsidR="00F74764" w:rsidRPr="00390500" w:rsidRDefault="00F74764"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F74764" w:rsidRDefault="00F74764"/>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3"/>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a6"/>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a6"/>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a6"/>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a6"/>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a6"/>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a6"/>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a6"/>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a6"/>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a6"/>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a6"/>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a6"/>
      </w:pPr>
    </w:p>
    <w:p w14:paraId="241B4505" w14:textId="104383A6"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corresponds to a licensed carrier. The moderator questions whether or not this can be achieved simply by gNB configuration?</w:t>
      </w:r>
    </w:p>
    <w:p w14:paraId="091E2158" w14:textId="63F1DC9F" w:rsidR="000017DC" w:rsidRDefault="000017DC" w:rsidP="00390500">
      <w:pPr>
        <w:pStyle w:val="a6"/>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a6"/>
      </w:pPr>
    </w:p>
    <w:tbl>
      <w:tblPr>
        <w:tblStyle w:val="af3"/>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a6"/>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a6"/>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a6"/>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a6"/>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a6"/>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a6"/>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537F00AA" w14:textId="488D9FD1" w:rsidR="00436C21" w:rsidRDefault="00436C21">
      <w:pPr>
        <w:pStyle w:val="21"/>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a6"/>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a6"/>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a6"/>
        <w:numPr>
          <w:ilvl w:val="0"/>
          <w:numId w:val="21"/>
        </w:numPr>
        <w:rPr>
          <w:lang w:val="en-US"/>
        </w:rPr>
      </w:pPr>
      <w:r>
        <w:rPr>
          <w:lang w:val="en-US"/>
        </w:rPr>
        <w:t>There is not consensus whether or not a spec change is needed</w:t>
      </w:r>
    </w:p>
    <w:p w14:paraId="6AE2975E" w14:textId="77777777" w:rsidR="00436C21" w:rsidRDefault="00436C21" w:rsidP="004A0F33">
      <w:pPr>
        <w:pStyle w:val="a6"/>
        <w:numPr>
          <w:ilvl w:val="1"/>
          <w:numId w:val="21"/>
        </w:numPr>
        <w:rPr>
          <w:lang w:val="en-US"/>
        </w:rPr>
      </w:pPr>
      <w:r>
        <w:rPr>
          <w:lang w:val="en-US"/>
        </w:rPr>
        <w:t>3 companies suggest that no spec change is needed</w:t>
      </w:r>
    </w:p>
    <w:p w14:paraId="11D5E331" w14:textId="6E40EAFB" w:rsidR="00436C21" w:rsidRDefault="00436C21" w:rsidP="004A0F33">
      <w:pPr>
        <w:pStyle w:val="a6"/>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a6"/>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a6"/>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a6"/>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a6"/>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a6"/>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a6"/>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a6"/>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a6"/>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af3"/>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a6"/>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a6"/>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a6"/>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a6"/>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a6"/>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a6"/>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a6"/>
              <w:spacing w:after="0"/>
              <w:rPr>
                <w:rFonts w:eastAsiaTheme="minorEastAsia" w:hint="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a6"/>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w:t>
            </w:r>
            <w:bookmarkStart w:id="31" w:name="_GoBack"/>
            <w:bookmarkEnd w:id="31"/>
            <w:r>
              <w:rPr>
                <w:rFonts w:ascii="Times New Roman" w:eastAsiaTheme="minorEastAsia" w:hAnsi="Times New Roman"/>
                <w:lang w:val="en-US"/>
              </w:rPr>
              <w:t xml:space="preserve">find a proper place in the spec to capture such </w:t>
            </w:r>
            <w:r>
              <w:rPr>
                <w:rFonts w:ascii="Times New Roman" w:eastAsiaTheme="minorEastAsia" w:hAnsi="Times New Roman"/>
                <w:lang w:val="en-US"/>
              </w:rPr>
              <w:t>generic</w:t>
            </w:r>
            <w:r>
              <w:rPr>
                <w:rFonts w:ascii="Times New Roman" w:eastAsiaTheme="minorEastAsia" w:hAnsi="Times New Roman"/>
                <w:lang w:val="en-US"/>
              </w:rPr>
              <w:t xml:space="preserve">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a6"/>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a6"/>
              <w:spacing w:after="0"/>
              <w:rPr>
                <w:rFonts w:eastAsiaTheme="minorEastAsia" w:hint="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first</w:t>
            </w:r>
            <w:r w:rsidR="001A546E">
              <w:rPr>
                <w:rFonts w:ascii="Times New Roman" w:eastAsiaTheme="minorEastAsia" w:hAnsi="Times New Roman"/>
                <w:lang w:val="en-US"/>
              </w:rPr>
              <w:t xml:space="preserve">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5AD06E99" w:rsidR="00436C21" w:rsidRPr="00B83DD7" w:rsidRDefault="00436C21" w:rsidP="00F74764">
            <w:pPr>
              <w:pStyle w:val="a6"/>
              <w:spacing w:after="0"/>
              <w:jc w:val="left"/>
              <w:rPr>
                <w:rFonts w:eastAsiaTheme="minorEastAsia" w:hint="eastAsia"/>
                <w:sz w:val="20"/>
                <w:szCs w:val="20"/>
                <w:lang w:val="de-DE"/>
              </w:rPr>
            </w:pPr>
          </w:p>
        </w:tc>
        <w:tc>
          <w:tcPr>
            <w:tcW w:w="7560" w:type="dxa"/>
          </w:tcPr>
          <w:p w14:paraId="4F0B544E" w14:textId="7E6B1285" w:rsidR="00436C21" w:rsidRPr="00D11A4A" w:rsidRDefault="00436C21" w:rsidP="00F74764">
            <w:pPr>
              <w:pStyle w:val="a6"/>
              <w:spacing w:after="0"/>
              <w:rPr>
                <w:sz w:val="20"/>
                <w:szCs w:val="20"/>
                <w:lang w:val="de-DE"/>
              </w:rPr>
            </w:pPr>
          </w:p>
        </w:tc>
      </w:tr>
      <w:tr w:rsidR="00436C21" w14:paraId="6048518E" w14:textId="77777777" w:rsidTr="00F74764">
        <w:tc>
          <w:tcPr>
            <w:tcW w:w="1525" w:type="dxa"/>
          </w:tcPr>
          <w:p w14:paraId="31E9946F" w14:textId="7EAFB290" w:rsidR="00436C21" w:rsidRPr="00C54BF3" w:rsidRDefault="00436C21" w:rsidP="00F74764">
            <w:pPr>
              <w:pStyle w:val="a6"/>
              <w:spacing w:after="0"/>
              <w:rPr>
                <w:rFonts w:eastAsiaTheme="minorEastAsia"/>
                <w:sz w:val="20"/>
                <w:szCs w:val="20"/>
                <w:lang w:val="de-DE"/>
              </w:rPr>
            </w:pPr>
          </w:p>
        </w:tc>
        <w:tc>
          <w:tcPr>
            <w:tcW w:w="7560" w:type="dxa"/>
          </w:tcPr>
          <w:p w14:paraId="68F02856" w14:textId="17CBC0CA" w:rsidR="00436C21" w:rsidRPr="00C54BF3" w:rsidRDefault="00436C21" w:rsidP="00F74764">
            <w:pPr>
              <w:pStyle w:val="a6"/>
              <w:spacing w:after="0"/>
              <w:rPr>
                <w:rFonts w:eastAsiaTheme="minorEastAsia"/>
                <w:sz w:val="20"/>
                <w:szCs w:val="20"/>
                <w:lang w:val="de-DE"/>
              </w:rPr>
            </w:pPr>
          </w:p>
        </w:tc>
      </w:tr>
      <w:tr w:rsidR="00436C21" w14:paraId="47DCF1D3" w14:textId="77777777" w:rsidTr="00F74764">
        <w:tc>
          <w:tcPr>
            <w:tcW w:w="1525" w:type="dxa"/>
          </w:tcPr>
          <w:p w14:paraId="516DA2BB" w14:textId="12505EF2" w:rsidR="00436C21" w:rsidRPr="0090107F" w:rsidRDefault="00436C21" w:rsidP="00F74764">
            <w:pPr>
              <w:pStyle w:val="a6"/>
              <w:spacing w:after="0"/>
              <w:rPr>
                <w:sz w:val="20"/>
                <w:szCs w:val="20"/>
                <w:lang w:val="de-DE"/>
              </w:rPr>
            </w:pPr>
          </w:p>
        </w:tc>
        <w:tc>
          <w:tcPr>
            <w:tcW w:w="7560" w:type="dxa"/>
          </w:tcPr>
          <w:p w14:paraId="7608BA38" w14:textId="35622C75" w:rsidR="00436C21" w:rsidRPr="0090107F" w:rsidRDefault="00436C21" w:rsidP="00F74764">
            <w:pPr>
              <w:pStyle w:val="a6"/>
              <w:spacing w:after="0"/>
              <w:rPr>
                <w:sz w:val="20"/>
                <w:szCs w:val="20"/>
                <w:lang w:val="de-DE"/>
              </w:rPr>
            </w:pPr>
          </w:p>
        </w:tc>
      </w:tr>
      <w:tr w:rsidR="00436C21" w14:paraId="53B7AF90" w14:textId="77777777" w:rsidTr="00F74764">
        <w:tc>
          <w:tcPr>
            <w:tcW w:w="1525" w:type="dxa"/>
          </w:tcPr>
          <w:p w14:paraId="023612AF" w14:textId="1A70E718" w:rsidR="00436C21" w:rsidRDefault="00436C21" w:rsidP="00F74764">
            <w:pPr>
              <w:pStyle w:val="a6"/>
              <w:spacing w:after="0"/>
              <w:rPr>
                <w:lang w:val="de-DE"/>
              </w:rPr>
            </w:pPr>
          </w:p>
        </w:tc>
        <w:tc>
          <w:tcPr>
            <w:tcW w:w="7560" w:type="dxa"/>
          </w:tcPr>
          <w:p w14:paraId="6F776DAE" w14:textId="3057269B" w:rsidR="00436C21" w:rsidRDefault="00436C21" w:rsidP="00F74764">
            <w:pPr>
              <w:pStyle w:val="a6"/>
              <w:spacing w:after="0"/>
              <w:rPr>
                <w:lang w:val="de-DE"/>
              </w:rPr>
            </w:pPr>
          </w:p>
        </w:tc>
      </w:tr>
    </w:tbl>
    <w:p w14:paraId="2D6D4EA3" w14:textId="77777777" w:rsidR="00436C21" w:rsidRDefault="00436C21" w:rsidP="00436C21">
      <w:pPr>
        <w:pStyle w:val="a6"/>
        <w:rPr>
          <w:lang w:val="en-US"/>
        </w:rPr>
      </w:pPr>
    </w:p>
    <w:p w14:paraId="6CC2A305" w14:textId="1785A823" w:rsidR="00436C21" w:rsidRDefault="00436C21" w:rsidP="00436C21">
      <w:pPr>
        <w:pStyle w:val="a6"/>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a6"/>
        <w:rPr>
          <w:rFonts w:eastAsia="Malgun Gothic" w:cs="Arial"/>
          <w:lang w:val="de-DE" w:eastAsia="ko-KR"/>
        </w:rPr>
      </w:pPr>
      <w:r w:rsidRPr="004A0F33">
        <w:rPr>
          <w:rFonts w:eastAsia="Malgun Gothic" w:cs="Arial"/>
          <w:highlight w:val="cyan"/>
          <w:lang w:val="de-DE" w:eastAsia="ko-KR"/>
        </w:rPr>
        <w:t>FL Reccomendation</w:t>
      </w:r>
    </w:p>
    <w:p w14:paraId="7D900ABF" w14:textId="3AEB7E22" w:rsidR="004A0F33" w:rsidRPr="00436C21" w:rsidRDefault="004A0F33" w:rsidP="009D133C">
      <w:pPr>
        <w:pStyle w:val="a6"/>
        <w:ind w:left="567"/>
        <w:rPr>
          <w:lang w:val="en-US"/>
        </w:rPr>
      </w:pPr>
      <w:r>
        <w:rPr>
          <w:lang w:val="en-US"/>
        </w:rPr>
        <w:t>No spec change needed regarding Proposal 2</w:t>
      </w:r>
      <w:r w:rsidR="007E2A03">
        <w:rPr>
          <w:lang w:val="en-US"/>
        </w:rPr>
        <w:t>; it can be handled by gNB implementation</w:t>
      </w: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lastRenderedPageBreak/>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a6"/>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a6"/>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a6"/>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w:t>
      </w:r>
      <w:r>
        <w:rPr>
          <w:color w:val="000000" w:themeColor="text1"/>
        </w:rPr>
        <w:lastRenderedPageBreak/>
        <w:t xml:space="preserve">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w:t>
      </w:r>
      <w:proofErr w:type="gramStart"/>
      <w:r>
        <w:rPr>
          <w:color w:val="000000" w:themeColor="text1"/>
        </w:rPr>
        <w:t>is</w:t>
      </w:r>
      <w:proofErr w:type="gramEnd"/>
      <w:r>
        <w:rPr>
          <w:color w:val="000000" w:themeColor="text1"/>
        </w:rPr>
        <w:t xml:space="preserve">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t>Qualcomm</w:t>
            </w:r>
          </w:p>
        </w:tc>
        <w:tc>
          <w:tcPr>
            <w:tcW w:w="7560" w:type="dxa"/>
          </w:tcPr>
          <w:p w14:paraId="33FB0948" w14:textId="63134B1E" w:rsidR="00E653C0" w:rsidRPr="008D537E" w:rsidRDefault="00E653C0" w:rsidP="00E653C0">
            <w:pPr>
              <w:pStyle w:val="a6"/>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a6"/>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a6"/>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a6"/>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a6"/>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afb"/>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afb"/>
        <w:numPr>
          <w:ilvl w:val="0"/>
          <w:numId w:val="17"/>
        </w:numPr>
        <w:jc w:val="both"/>
        <w:rPr>
          <w:rFonts w:ascii="Times New Roman" w:hAnsi="Times New Roman"/>
          <w:kern w:val="2"/>
          <w:sz w:val="20"/>
          <w:szCs w:val="20"/>
        </w:rPr>
      </w:pPr>
      <w:r>
        <w:rPr>
          <w:rFonts w:ascii="Times New Roman" w:hAnsi="Times New Roman"/>
          <w:kern w:val="2"/>
          <w:sz w:val="20"/>
          <w:szCs w:val="20"/>
          <w:lang w:val="en-US"/>
        </w:rPr>
        <w:lastRenderedPageBreak/>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afb"/>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afb"/>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r w:rsidRPr="00C81F80">
        <w:rPr>
          <w:rFonts w:eastAsia="宋体"/>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r w:rsidRPr="00C81F80">
        <w:rPr>
          <w:rFonts w:eastAsia="宋体"/>
          <w:i/>
          <w:lang w:val="x-none" w:eastAsia="en-US"/>
        </w:rPr>
        <w:t>startingPRB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r w:rsidRPr="00C81F80">
        <w:rPr>
          <w:rFonts w:eastAsia="宋体"/>
          <w:i/>
          <w:lang w:val="x-none" w:eastAsia="en-US"/>
        </w:rPr>
        <w:t>secondHopPRB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r w:rsidRPr="00C81F80">
        <w:rPr>
          <w:rFonts w:eastAsia="宋体"/>
          <w:i/>
          <w:lang w:val="x-none" w:eastAsia="en-US"/>
        </w:rPr>
        <w:t>intraSlotFrequencyHopping</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DengXian"/>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r w:rsidRPr="00C81F80">
        <w:rPr>
          <w:rFonts w:eastAsia="宋体"/>
          <w:i/>
          <w:strike/>
          <w:color w:val="FF0000"/>
          <w:lang w:val="x-none" w:eastAsia="en-US"/>
        </w:rPr>
        <w:t>useInterlacePUCCH-PUSCH</w:t>
      </w:r>
      <w:r w:rsidRPr="00C81F80">
        <w:rPr>
          <w:rFonts w:eastAsia="宋体"/>
          <w:iCs/>
          <w:strike/>
          <w:color w:val="FF0000"/>
          <w:lang w:val="x-none" w:eastAsia="en-US"/>
        </w:rPr>
        <w:t xml:space="preserve"> in </w:t>
      </w:r>
      <w:r w:rsidRPr="00C81F80">
        <w:rPr>
          <w:rFonts w:eastAsia="宋体"/>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r w:rsidRPr="00C81F80">
        <w:rPr>
          <w:rFonts w:eastAsia="宋体"/>
          <w:i/>
          <w:iCs/>
          <w:lang w:val="x-none" w:eastAsia="en-US"/>
        </w:rPr>
        <w:t>rb-SetIndex</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lastRenderedPageBreak/>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afb"/>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afb"/>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afb"/>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afb"/>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a6"/>
      </w:pPr>
    </w:p>
    <w:p w14:paraId="1F51C859" w14:textId="3E7F98B8" w:rsidR="007E2A03" w:rsidRDefault="007E2A03" w:rsidP="007E2A03">
      <w:pPr>
        <w:pStyle w:val="a6"/>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a6"/>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r w:rsidRPr="00C81F80">
        <w:rPr>
          <w:rFonts w:eastAsia="宋体"/>
          <w:i/>
          <w:lang w:val="x-none" w:eastAsia="en-US"/>
        </w:rPr>
        <w:t>pucch-ResourceId</w:t>
      </w:r>
    </w:p>
    <w:p w14:paraId="75FB5397"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r w:rsidRPr="00C81F80">
        <w:rPr>
          <w:rFonts w:eastAsia="宋体"/>
          <w:i/>
          <w:lang w:val="x-none" w:eastAsia="en-US"/>
        </w:rPr>
        <w:t>startingPRB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45C2BEB1"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r w:rsidRPr="00C81F80">
        <w:rPr>
          <w:rFonts w:eastAsia="宋体"/>
          <w:i/>
          <w:lang w:val="x-none" w:eastAsia="en-US"/>
        </w:rPr>
        <w:t>secondHopPRB</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5B1A696F"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r w:rsidRPr="00C81F80">
        <w:rPr>
          <w:rFonts w:eastAsia="宋体"/>
          <w:i/>
          <w:lang w:val="x-none" w:eastAsia="en-US"/>
        </w:rPr>
        <w:t>intraSlotFrequencyHopping</w:t>
      </w:r>
      <w:r w:rsidRPr="00C81F80">
        <w:rPr>
          <w:rFonts w:eastAsia="宋体"/>
          <w:lang w:val="x-none" w:eastAsia="en-US"/>
        </w:rPr>
        <w:t>, if</w:t>
      </w:r>
      <w:r w:rsidRPr="00C81F80">
        <w:rPr>
          <w:rFonts w:eastAsia="宋体"/>
          <w:lang w:val="en-US" w:eastAsia="en-US"/>
        </w:rPr>
        <w:t xml:space="preserve"> a UE is not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1F4BBF10" w14:textId="77777777" w:rsidR="007E2A03" w:rsidRPr="00C81F80" w:rsidRDefault="007E2A03" w:rsidP="007E2A03">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lastRenderedPageBreak/>
        <w:t>-</w:t>
      </w:r>
      <w:r w:rsidRPr="00C81F80">
        <w:rPr>
          <w:rFonts w:eastAsia="宋体"/>
          <w:lang w:val="x-none" w:eastAsia="en-US"/>
        </w:rPr>
        <w:tab/>
        <w:t xml:space="preserve">an index of a first </w:t>
      </w:r>
      <w:r w:rsidRPr="00C81F80">
        <w:rPr>
          <w:rFonts w:eastAsia="DengXian"/>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37ED8654" w14:textId="77777777" w:rsidR="007E2A03" w:rsidRPr="009D133C" w:rsidRDefault="007E2A03" w:rsidP="007E2A03">
      <w:pPr>
        <w:overflowPunct/>
        <w:autoSpaceDE/>
        <w:autoSpaceDN/>
        <w:adjustRightInd/>
        <w:spacing w:line="240" w:lineRule="auto"/>
        <w:ind w:left="568" w:hanging="284"/>
        <w:textAlignment w:val="auto"/>
        <w:rPr>
          <w:rFonts w:eastAsia="宋体"/>
          <w:iCs/>
          <w:lang w:val="x-none" w:eastAsia="en-US"/>
        </w:rPr>
      </w:pPr>
      <w:r w:rsidRPr="009D133C">
        <w:rPr>
          <w:rFonts w:eastAsia="宋体"/>
          <w:lang w:val="x-none" w:eastAsia="en-US"/>
        </w:rPr>
        <w:t>-</w:t>
      </w:r>
      <w:r w:rsidRPr="009D133C">
        <w:rPr>
          <w:rFonts w:eastAsia="宋体"/>
          <w:lang w:val="x-none" w:eastAsia="en-US"/>
        </w:rPr>
        <w:tab/>
        <w:t xml:space="preserve">if provided, an index of a second </w:t>
      </w:r>
      <w:r w:rsidRPr="009D133C">
        <w:rPr>
          <w:rFonts w:eastAsia="DengXian"/>
          <w:lang w:val="x-none" w:eastAsia="zh-CN"/>
        </w:rPr>
        <w:t>i</w:t>
      </w:r>
      <w:r w:rsidRPr="009D133C">
        <w:rPr>
          <w:rFonts w:eastAsia="宋体"/>
          <w:lang w:val="x-none" w:eastAsia="en-US"/>
        </w:rPr>
        <w:t>n</w:t>
      </w:r>
      <w:r w:rsidRPr="009D133C">
        <w:rPr>
          <w:rFonts w:eastAsia="宋体" w:hint="eastAsia"/>
          <w:lang w:val="x-none" w:eastAsia="en-US"/>
        </w:rPr>
        <w:t>terlace</w:t>
      </w:r>
      <w:r w:rsidRPr="009D133C">
        <w:rPr>
          <w:rFonts w:eastAsia="宋体"/>
          <w:lang w:val="x-none" w:eastAsia="en-US"/>
        </w:rPr>
        <w:t xml:space="preserve"> by </w:t>
      </w:r>
      <w:r w:rsidRPr="009D133C">
        <w:rPr>
          <w:rFonts w:eastAsia="宋体"/>
          <w:i/>
          <w:lang w:val="x-none" w:eastAsia="en-US"/>
        </w:rPr>
        <w:t>interlace1</w:t>
      </w:r>
      <w:r w:rsidRPr="009D133C">
        <w:rPr>
          <w:rFonts w:eastAsia="宋体"/>
          <w:lang w:val="x-none" w:eastAsia="en-US"/>
        </w:rPr>
        <w:t>, if</w:t>
      </w:r>
      <w:r w:rsidRPr="009D133C">
        <w:rPr>
          <w:rFonts w:eastAsia="宋体"/>
          <w:lang w:val="en-US" w:eastAsia="en-US"/>
        </w:rPr>
        <w:t xml:space="preserve"> a UE is provided </w:t>
      </w:r>
      <w:r w:rsidRPr="009D133C">
        <w:rPr>
          <w:rFonts w:eastAsia="宋体"/>
          <w:i/>
          <w:lang w:val="x-none" w:eastAsia="en-US"/>
        </w:rPr>
        <w:t>useInterlacePUCCH-PUSCH</w:t>
      </w:r>
      <w:r w:rsidRPr="009D133C">
        <w:rPr>
          <w:rFonts w:eastAsia="宋体"/>
          <w:iCs/>
          <w:lang w:val="x-none" w:eastAsia="en-US"/>
        </w:rPr>
        <w:t xml:space="preserve"> in </w:t>
      </w:r>
      <w:r w:rsidRPr="009D133C">
        <w:rPr>
          <w:rFonts w:eastAsia="宋体"/>
          <w:i/>
          <w:lang w:val="x-none" w:eastAsia="en-US"/>
        </w:rPr>
        <w:t>BWP-UplinkDedicated</w:t>
      </w:r>
    </w:p>
    <w:p w14:paraId="2E47233A"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r w:rsidRPr="00C81F80">
        <w:rPr>
          <w:rFonts w:eastAsia="宋体"/>
          <w:i/>
          <w:iCs/>
          <w:lang w:val="x-none" w:eastAsia="en-US"/>
        </w:rPr>
        <w:t>rb-SetIndex</w:t>
      </w:r>
      <w:r w:rsidRPr="00C81F80">
        <w:rPr>
          <w:rFonts w:eastAsia="宋体"/>
          <w:lang w:val="x-none" w:eastAsia="en-US"/>
        </w:rPr>
        <w:t>, if</w:t>
      </w:r>
      <w:r w:rsidRPr="00C81F80">
        <w:rPr>
          <w:rFonts w:eastAsia="宋体"/>
          <w:lang w:val="en-US" w:eastAsia="en-US"/>
        </w:rPr>
        <w:t xml:space="preserve"> a UE is provided </w:t>
      </w:r>
      <w:r w:rsidRPr="00C81F80">
        <w:rPr>
          <w:rFonts w:eastAsia="宋体"/>
          <w:i/>
          <w:lang w:val="x-none" w:eastAsia="en-US"/>
        </w:rPr>
        <w:t>useInterlacePUCCH-PUSCH</w:t>
      </w:r>
      <w:r w:rsidRPr="00C81F80">
        <w:rPr>
          <w:rFonts w:eastAsia="宋体"/>
          <w:iCs/>
          <w:lang w:val="x-none" w:eastAsia="en-US"/>
        </w:rPr>
        <w:t xml:space="preserve"> in </w:t>
      </w:r>
      <w:r w:rsidRPr="00C81F80">
        <w:rPr>
          <w:rFonts w:eastAsia="宋体"/>
          <w:i/>
          <w:lang w:val="x-none" w:eastAsia="en-US"/>
        </w:rPr>
        <w:t>BWP-UplinkDedicated</w:t>
      </w:r>
    </w:p>
    <w:p w14:paraId="7A1F3252"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a6"/>
        <w:jc w:val="center"/>
        <w:rPr>
          <w:color w:val="FF0000"/>
        </w:rPr>
      </w:pPr>
      <w:r w:rsidRPr="0088612B">
        <w:rPr>
          <w:color w:val="FF0000"/>
        </w:rPr>
        <w:t>*** Unchanged text omitted ***</w:t>
      </w:r>
    </w:p>
    <w:p w14:paraId="6405E279" w14:textId="77777777" w:rsidR="007E2A03" w:rsidRDefault="007E2A03" w:rsidP="007E2A0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F74764" w:rsidRDefault="00F74764">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F74764" w:rsidRDefault="00F74764">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lastRenderedPageBreak/>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r>
              <w:rPr>
                <w:rFonts w:ascii="Times New Roman" w:eastAsia="宋体" w:hAnsi="Times New Roman"/>
                <w:sz w:val="20"/>
                <w:szCs w:val="20"/>
                <w:lang w:val="x-none" w:eastAsia="en-US"/>
              </w:rPr>
              <w:t xml:space="preserve">amsung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a6"/>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a6"/>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a6"/>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a6"/>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a6"/>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 xml:space="preserve">indicated set of RB sets and intra-cell guard bands defined in Clause 7 between the indicated RB sets, if any. For DCI 0_0 monitored in a common search space, the UE shall </w:t>
      </w:r>
      <w:r w:rsidRPr="00A77340">
        <w:rPr>
          <w:rFonts w:eastAsia="Times New Roman"/>
          <w:color w:val="000000"/>
          <w:lang w:eastAsia="en-US"/>
        </w:rPr>
        <w:lastRenderedPageBreak/>
        <w:t>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21"/>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af3"/>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a6"/>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a6"/>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a6"/>
              <w:spacing w:after="0"/>
              <w:rPr>
                <w:rFonts w:eastAsiaTheme="minorEastAsia" w:hint="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a6"/>
              <w:spacing w:after="0"/>
              <w:rPr>
                <w:rFonts w:eastAsiaTheme="minorEastAsia" w:hint="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3225F497" w:rsidR="000424D1" w:rsidRPr="00D11A4A" w:rsidRDefault="000424D1" w:rsidP="00F74764">
            <w:pPr>
              <w:pStyle w:val="a6"/>
              <w:spacing w:after="0"/>
              <w:rPr>
                <w:sz w:val="20"/>
                <w:szCs w:val="20"/>
                <w:lang w:val="de-DE"/>
              </w:rPr>
            </w:pPr>
          </w:p>
        </w:tc>
        <w:tc>
          <w:tcPr>
            <w:tcW w:w="7560" w:type="dxa"/>
          </w:tcPr>
          <w:p w14:paraId="5C199F59" w14:textId="09C6FEB4" w:rsidR="000424D1" w:rsidRPr="00D11A4A" w:rsidRDefault="000424D1" w:rsidP="00F74764">
            <w:pPr>
              <w:pStyle w:val="a6"/>
              <w:spacing w:after="0"/>
              <w:rPr>
                <w:sz w:val="20"/>
                <w:szCs w:val="20"/>
                <w:lang w:val="de-DE"/>
              </w:rPr>
            </w:pPr>
          </w:p>
        </w:tc>
      </w:tr>
      <w:tr w:rsidR="000424D1" w14:paraId="5A6BC18B" w14:textId="77777777" w:rsidTr="00F74764">
        <w:tc>
          <w:tcPr>
            <w:tcW w:w="1525" w:type="dxa"/>
          </w:tcPr>
          <w:p w14:paraId="328DECC7" w14:textId="2BE3A6AA" w:rsidR="000424D1" w:rsidRPr="00D11A4A" w:rsidRDefault="000424D1" w:rsidP="00F74764">
            <w:pPr>
              <w:pStyle w:val="a6"/>
              <w:spacing w:after="0"/>
              <w:rPr>
                <w:sz w:val="20"/>
                <w:szCs w:val="20"/>
                <w:lang w:val="de-DE"/>
              </w:rPr>
            </w:pPr>
          </w:p>
        </w:tc>
        <w:tc>
          <w:tcPr>
            <w:tcW w:w="7560" w:type="dxa"/>
          </w:tcPr>
          <w:p w14:paraId="09C15F25" w14:textId="75251D58" w:rsidR="000424D1" w:rsidRPr="00D11A4A" w:rsidRDefault="000424D1" w:rsidP="00F74764">
            <w:pPr>
              <w:pStyle w:val="a6"/>
              <w:spacing w:after="0"/>
              <w:rPr>
                <w:sz w:val="20"/>
                <w:szCs w:val="20"/>
                <w:lang w:val="de-DE"/>
              </w:rPr>
            </w:pPr>
          </w:p>
        </w:tc>
      </w:tr>
      <w:tr w:rsidR="000424D1" w14:paraId="11FB0C2E" w14:textId="77777777" w:rsidTr="00F74764">
        <w:tc>
          <w:tcPr>
            <w:tcW w:w="1525" w:type="dxa"/>
          </w:tcPr>
          <w:p w14:paraId="72ECC6B0" w14:textId="093A416E" w:rsidR="000424D1" w:rsidRPr="00D11A4A" w:rsidRDefault="000424D1" w:rsidP="00F74764">
            <w:pPr>
              <w:pStyle w:val="a6"/>
              <w:spacing w:after="0"/>
              <w:jc w:val="left"/>
              <w:rPr>
                <w:sz w:val="20"/>
                <w:szCs w:val="20"/>
                <w:lang w:val="de-DE"/>
              </w:rPr>
            </w:pPr>
          </w:p>
        </w:tc>
        <w:tc>
          <w:tcPr>
            <w:tcW w:w="7560" w:type="dxa"/>
          </w:tcPr>
          <w:p w14:paraId="008F3BF0" w14:textId="577D9E99" w:rsidR="000424D1" w:rsidRPr="00D11A4A" w:rsidRDefault="000424D1" w:rsidP="00F74764">
            <w:pPr>
              <w:pStyle w:val="a6"/>
              <w:spacing w:after="0"/>
              <w:rPr>
                <w:sz w:val="20"/>
                <w:szCs w:val="20"/>
                <w:lang w:val="de-DE"/>
              </w:rPr>
            </w:pPr>
          </w:p>
        </w:tc>
      </w:tr>
      <w:tr w:rsidR="000424D1" w14:paraId="2B50639C" w14:textId="77777777" w:rsidTr="00F74764">
        <w:tc>
          <w:tcPr>
            <w:tcW w:w="1525" w:type="dxa"/>
          </w:tcPr>
          <w:p w14:paraId="670EF7B5" w14:textId="0B0F637B" w:rsidR="000424D1" w:rsidRPr="00C54BF3" w:rsidRDefault="000424D1" w:rsidP="00F74764">
            <w:pPr>
              <w:pStyle w:val="a6"/>
              <w:spacing w:after="0"/>
              <w:jc w:val="left"/>
              <w:rPr>
                <w:rFonts w:eastAsiaTheme="minorEastAsia"/>
                <w:lang w:val="de-DE"/>
              </w:rPr>
            </w:pPr>
          </w:p>
        </w:tc>
        <w:tc>
          <w:tcPr>
            <w:tcW w:w="7560" w:type="dxa"/>
          </w:tcPr>
          <w:p w14:paraId="4441CC88" w14:textId="1AECD761" w:rsidR="000424D1" w:rsidRDefault="000424D1" w:rsidP="00F74764">
            <w:pPr>
              <w:pStyle w:val="a6"/>
              <w:spacing w:after="0"/>
              <w:rPr>
                <w:rFonts w:eastAsia="Malgun Gothic"/>
                <w:lang w:val="de-DE" w:eastAsia="ko-KR"/>
              </w:rPr>
            </w:pPr>
          </w:p>
        </w:tc>
      </w:tr>
      <w:tr w:rsidR="000424D1" w14:paraId="7004D949" w14:textId="77777777" w:rsidTr="00F74764">
        <w:tc>
          <w:tcPr>
            <w:tcW w:w="1525" w:type="dxa"/>
          </w:tcPr>
          <w:p w14:paraId="460A2838" w14:textId="7E5A7763" w:rsidR="000424D1" w:rsidRDefault="000424D1" w:rsidP="00F74764">
            <w:pPr>
              <w:pStyle w:val="a6"/>
              <w:spacing w:after="0"/>
              <w:jc w:val="left"/>
              <w:rPr>
                <w:lang w:val="de-DE"/>
              </w:rPr>
            </w:pPr>
          </w:p>
        </w:tc>
        <w:tc>
          <w:tcPr>
            <w:tcW w:w="7560" w:type="dxa"/>
          </w:tcPr>
          <w:p w14:paraId="0EB5D04D" w14:textId="686824D9" w:rsidR="000424D1" w:rsidRDefault="000424D1" w:rsidP="00F74764">
            <w:pPr>
              <w:pStyle w:val="a6"/>
              <w:spacing w:after="0"/>
              <w:rPr>
                <w:rFonts w:eastAsia="Malgun Gothic"/>
                <w:lang w:val="de-DE" w:eastAsia="ko-KR"/>
              </w:rPr>
            </w:pPr>
          </w:p>
        </w:tc>
      </w:tr>
      <w:tr w:rsidR="000424D1" w14:paraId="09A996E3" w14:textId="77777777" w:rsidTr="00F74764">
        <w:tc>
          <w:tcPr>
            <w:tcW w:w="1525" w:type="dxa"/>
          </w:tcPr>
          <w:p w14:paraId="0510B205" w14:textId="5F29A11B" w:rsidR="000424D1" w:rsidRDefault="000424D1" w:rsidP="00F74764">
            <w:pPr>
              <w:pStyle w:val="a6"/>
              <w:spacing w:after="0"/>
              <w:jc w:val="left"/>
              <w:rPr>
                <w:lang w:val="de-DE"/>
              </w:rPr>
            </w:pPr>
          </w:p>
        </w:tc>
        <w:tc>
          <w:tcPr>
            <w:tcW w:w="7560" w:type="dxa"/>
          </w:tcPr>
          <w:p w14:paraId="6C8A1DE4" w14:textId="6FA31A02" w:rsidR="000424D1" w:rsidRDefault="000424D1" w:rsidP="00F74764">
            <w:pPr>
              <w:pStyle w:val="a6"/>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1"/>
      </w:pPr>
      <w:r>
        <w:t>References</w:t>
      </w:r>
    </w:p>
    <w:p w14:paraId="6194CDD5"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b"/>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6"/>
    </w:p>
    <w:p w14:paraId="0F451D7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b"/>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afb"/>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afb"/>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afb"/>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CA37E" w14:textId="77777777" w:rsidR="00562FF7" w:rsidRDefault="00562FF7">
      <w:pPr>
        <w:spacing w:after="0" w:line="240" w:lineRule="auto"/>
      </w:pPr>
      <w:r>
        <w:separator/>
      </w:r>
    </w:p>
  </w:endnote>
  <w:endnote w:type="continuationSeparator" w:id="0">
    <w:p w14:paraId="3F8F79B6" w14:textId="77777777" w:rsidR="00562FF7" w:rsidRDefault="0056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F74764" w:rsidRDefault="00F7476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B1769">
      <w:rPr>
        <w:rStyle w:val="af5"/>
        <w:noProof/>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B1769">
      <w:rPr>
        <w:rStyle w:val="af5"/>
        <w:noProof/>
      </w:rPr>
      <w:t>14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BB675" w14:textId="77777777" w:rsidR="00562FF7" w:rsidRDefault="00562FF7">
      <w:pPr>
        <w:spacing w:after="0" w:line="240" w:lineRule="auto"/>
      </w:pPr>
      <w:r>
        <w:separator/>
      </w:r>
    </w:p>
  </w:footnote>
  <w:footnote w:type="continuationSeparator" w:id="0">
    <w:p w14:paraId="23452AAE" w14:textId="77777777" w:rsidR="00562FF7" w:rsidRDefault="00562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F74764" w:rsidRDefault="00F747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6"/>
  </w:num>
  <w:num w:numId="10">
    <w:abstractNumId w:val="11"/>
  </w:num>
  <w:num w:numId="11">
    <w:abstractNumId w:val="8"/>
  </w:num>
  <w:num w:numId="12">
    <w:abstractNumId w:val="12"/>
  </w:num>
  <w:num w:numId="13">
    <w:abstractNumId w:val="13"/>
  </w:num>
  <w:num w:numId="14">
    <w:abstractNumId w:val="21"/>
  </w:num>
  <w:num w:numId="15">
    <w:abstractNumId w:val="20"/>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1"/>
  </w:num>
  <w:num w:numId="19">
    <w:abstractNumId w:val="14"/>
  </w:num>
  <w:num w:numId="20">
    <w:abstractNumId w:val="3"/>
  </w:num>
  <w:num w:numId="21">
    <w:abstractNumId w:val="16"/>
  </w:num>
  <w:num w:numId="22">
    <w:abstractNumId w:val="9"/>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6.xml><?xml version="1.0" encoding="utf-8"?>
<ds:datastoreItem xmlns:ds="http://schemas.openxmlformats.org/officeDocument/2006/customXml" ds:itemID="{809A81D3-2BC3-4DDE-96EA-887E814B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14</Pages>
  <Words>5083</Words>
  <Characters>28974</Characters>
  <Application>Microsoft Office Word</Application>
  <DocSecurity>0</DocSecurity>
  <Lines>241</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yi wang</cp:lastModifiedBy>
  <cp:revision>3</cp:revision>
  <cp:lastPrinted>2008-01-30T21:09:00Z</cp:lastPrinted>
  <dcterms:created xsi:type="dcterms:W3CDTF">2020-05-29T01:39:00Z</dcterms:created>
  <dcterms:modified xsi:type="dcterms:W3CDTF">2020-05-29T01:41:00Z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