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B43E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 xml:space="preserve">[100b-e-NR-5G_V2X_NRSL-Mode-2-04] Email discussion/approval </w:t>
      </w:r>
      <w:proofErr w:type="spellStart"/>
      <w:r>
        <w:rPr>
          <w:highlight w:val="cyan"/>
        </w:rPr>
        <w:t>w.r.t.</w:t>
      </w:r>
      <w:proofErr w:type="spellEnd"/>
      <w:r>
        <w:rPr>
          <w:highlight w:val="cyan"/>
        </w:rPr>
        <w:t xml:space="preserve">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TableGrid"/>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231E5FB7" w14:textId="77777777" w:rsidR="00E41505" w:rsidRDefault="008C2214" w:rsidP="0000254F">
      <w:pPr>
        <w:pStyle w:val="3GPPH1"/>
      </w:pPr>
      <w:r>
        <w:t>Discussion</w:t>
      </w:r>
    </w:p>
    <w:p w14:paraId="5F4AC62C" w14:textId="77777777"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52A165E4" w14:textId="77777777" w:rsidR="00A9325D" w:rsidRDefault="00A9325D" w:rsidP="007938E8">
      <w:pPr>
        <w:pStyle w:val="ListParagraph"/>
        <w:numPr>
          <w:ilvl w:val="0"/>
          <w:numId w:val="19"/>
        </w:numPr>
        <w:ind w:leftChars="0"/>
      </w:pPr>
      <w:r>
        <w:t>Option 1: no backward indication</w:t>
      </w:r>
    </w:p>
    <w:p w14:paraId="14CEC8DA" w14:textId="77777777" w:rsidR="00A9325D" w:rsidRDefault="00A9325D" w:rsidP="007938E8">
      <w:pPr>
        <w:pStyle w:val="ListParagraph"/>
        <w:numPr>
          <w:ilvl w:val="1"/>
          <w:numId w:val="19"/>
        </w:numPr>
        <w:ind w:leftChars="0"/>
      </w:pPr>
      <w:r>
        <w:t>Companies supporting this option argue that other mechanisms are sufficient</w:t>
      </w:r>
    </w:p>
    <w:p w14:paraId="5BFC11AF" w14:textId="77777777" w:rsidR="00A9325D" w:rsidRDefault="00A9325D" w:rsidP="007938E8">
      <w:pPr>
        <w:pStyle w:val="ListParagraph"/>
        <w:numPr>
          <w:ilvl w:val="0"/>
          <w:numId w:val="19"/>
        </w:numPr>
        <w:ind w:leftChars="0"/>
      </w:pPr>
      <w:r>
        <w:t>Option 2: 1-bit backward indication</w:t>
      </w:r>
    </w:p>
    <w:p w14:paraId="703F5325" w14:textId="77777777"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14:paraId="486593D9" w14:textId="77777777" w:rsidR="00A9325D" w:rsidRDefault="00A9325D" w:rsidP="007938E8">
      <w:pPr>
        <w:pStyle w:val="ListParagraph"/>
        <w:numPr>
          <w:ilvl w:val="0"/>
          <w:numId w:val="19"/>
        </w:numPr>
        <w:ind w:leftChars="0"/>
      </w:pPr>
      <w:r>
        <w:t>Option 3: full backward indication</w:t>
      </w:r>
    </w:p>
    <w:p w14:paraId="7BE5CAC3" w14:textId="77777777"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76FFCF48"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95683D">
            <w:r>
              <w:t>Bosch</w:t>
            </w:r>
          </w:p>
        </w:tc>
        <w:tc>
          <w:tcPr>
            <w:tcW w:w="1865" w:type="dxa"/>
          </w:tcPr>
          <w:p w14:paraId="29C667EE" w14:textId="77777777" w:rsidR="00A46343" w:rsidRDefault="00A46343" w:rsidP="0095683D">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95683D"/>
        </w:tc>
      </w:tr>
      <w:tr w:rsidR="00E75961" w14:paraId="6144F1BD" w14:textId="77777777" w:rsidTr="004A16D7">
        <w:tc>
          <w:tcPr>
            <w:tcW w:w="1661" w:type="dxa"/>
          </w:tcPr>
          <w:p w14:paraId="1D6577B3" w14:textId="77777777" w:rsidR="00E75961" w:rsidRPr="00E75961" w:rsidRDefault="00E75961" w:rsidP="00E75961">
            <w:r w:rsidRPr="00E75961">
              <w:t>Huawei/HiSilicon</w:t>
            </w:r>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 xml:space="preserve">Compared to Option 2, Option 3 provides full flexibility, and there is only 1 extra bit in case of </w:t>
            </w:r>
            <w:proofErr w:type="spellStart"/>
            <w:r w:rsidRPr="00E75961">
              <w:t>Nmax</w:t>
            </w:r>
            <w:proofErr w:type="spellEnd"/>
            <w:r w:rsidRPr="00E75961">
              <w:t xml:space="preserve">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r>
              <w:t>Futurewei</w:t>
            </w:r>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 xml:space="preserve">ZTE, </w:t>
            </w:r>
            <w:proofErr w:type="spellStart"/>
            <w:r>
              <w:t>Sanechips</w:t>
            </w:r>
            <w:proofErr w:type="spellEnd"/>
          </w:p>
        </w:tc>
        <w:tc>
          <w:tcPr>
            <w:tcW w:w="1865" w:type="dxa"/>
          </w:tcPr>
          <w:p w14:paraId="54321890" w14:textId="77777777" w:rsidR="008E0875" w:rsidRPr="008E0875" w:rsidRDefault="008E0875" w:rsidP="00BC0348">
            <w:pPr>
              <w:rPr>
                <w:rFonts w:eastAsia="SimSun"/>
                <w:lang w:eastAsia="zh-CN"/>
              </w:rPr>
            </w:pPr>
            <w:r w:rsidRPr="008E0875">
              <w:t xml:space="preserve">Option </w:t>
            </w:r>
            <w:r w:rsidRPr="008E0875">
              <w:rPr>
                <w:rFonts w:eastAsia="SimSun" w:hint="eastAsia"/>
                <w:lang w:val="en-US" w:eastAsia="zh-CN"/>
              </w:rPr>
              <w:t>1</w:t>
            </w:r>
          </w:p>
        </w:tc>
        <w:tc>
          <w:tcPr>
            <w:tcW w:w="4348" w:type="dxa"/>
          </w:tcPr>
          <w:p w14:paraId="20E5209C" w14:textId="77777777"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 xml:space="preserve">s argued that </w:t>
            </w:r>
            <w:proofErr w:type="spellStart"/>
            <w:r w:rsidRPr="008E0875">
              <w:rPr>
                <w:rFonts w:hint="eastAsia"/>
                <w:sz w:val="21"/>
                <w:lang w:val="en-US" w:eastAsia="zh-CN"/>
              </w:rPr>
              <w:t>backwark</w:t>
            </w:r>
            <w:proofErr w:type="spellEnd"/>
            <w:r w:rsidRPr="008E0875">
              <w:rPr>
                <w:rFonts w:hint="eastAsia"/>
                <w:sz w:val="21"/>
                <w:lang w:val="en-US" w:eastAsia="zh-CN"/>
              </w:rPr>
              <w:t xml:space="preserve">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C0348">
            <w:r>
              <w:t>Option 1</w:t>
            </w:r>
          </w:p>
        </w:tc>
        <w:tc>
          <w:tcPr>
            <w:tcW w:w="4348" w:type="dxa"/>
          </w:tcPr>
          <w:p w14:paraId="6376E69F" w14:textId="77777777" w:rsidR="005F656A" w:rsidRDefault="005F656A" w:rsidP="00BC0348">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C0348">
            <w:pPr>
              <w:jc w:val="both"/>
            </w:pPr>
          </w:p>
          <w:p w14:paraId="680D4960" w14:textId="77777777" w:rsidR="005F656A" w:rsidRPr="008E0875" w:rsidRDefault="005F656A" w:rsidP="00BC0348">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F93DD0">
            <w:bookmarkStart w:id="2" w:name="_Ref37777332"/>
            <w:r>
              <w:t>InterDigital</w:t>
            </w:r>
          </w:p>
        </w:tc>
        <w:tc>
          <w:tcPr>
            <w:tcW w:w="1865" w:type="dxa"/>
          </w:tcPr>
          <w:p w14:paraId="6D0F7F87" w14:textId="77777777" w:rsidR="004A16D7" w:rsidRDefault="004A16D7" w:rsidP="00F93DD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F93DD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F93DD0"/>
        </w:tc>
      </w:tr>
      <w:tr w:rsidR="00042D7E" w14:paraId="128D231D" w14:textId="77777777" w:rsidTr="004A16D7">
        <w:tc>
          <w:tcPr>
            <w:tcW w:w="1661" w:type="dxa"/>
          </w:tcPr>
          <w:p w14:paraId="1430BE31" w14:textId="79DBF334" w:rsidR="00042D7E" w:rsidRPr="00042D7E" w:rsidRDefault="009846A8" w:rsidP="00F93DD0">
            <w:r>
              <w:t>Panasonic</w:t>
            </w:r>
          </w:p>
        </w:tc>
        <w:tc>
          <w:tcPr>
            <w:tcW w:w="1865" w:type="dxa"/>
          </w:tcPr>
          <w:p w14:paraId="2CFD14A6" w14:textId="77777777" w:rsidR="00042D7E" w:rsidRPr="00042D7E" w:rsidRDefault="00042D7E" w:rsidP="00F93DD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F93DD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F93DD0"/>
        </w:tc>
      </w:tr>
      <w:tr w:rsidR="00DD67F3" w14:paraId="011EB6DD" w14:textId="77777777" w:rsidTr="004A16D7">
        <w:tc>
          <w:tcPr>
            <w:tcW w:w="1661" w:type="dxa"/>
          </w:tcPr>
          <w:p w14:paraId="0C1733DF" w14:textId="43B1FBB1" w:rsidR="00DD67F3" w:rsidRDefault="00DD67F3" w:rsidP="00F93DD0">
            <w:r>
              <w:t>OPPO</w:t>
            </w:r>
          </w:p>
        </w:tc>
        <w:tc>
          <w:tcPr>
            <w:tcW w:w="1865" w:type="dxa"/>
          </w:tcPr>
          <w:p w14:paraId="712DB43F" w14:textId="0B7D27FA" w:rsidR="00DD67F3" w:rsidRDefault="00DD67F3" w:rsidP="00F93DD0">
            <w:pPr>
              <w:rPr>
                <w:rFonts w:eastAsia="MS Mincho" w:hint="eastAsia"/>
                <w:lang w:eastAsia="ja-JP"/>
              </w:rPr>
            </w:pPr>
            <w:r>
              <w:rPr>
                <w:rFonts w:eastAsia="MS Mincho"/>
                <w:lang w:eastAsia="ja-JP"/>
              </w:rPr>
              <w:t>Option 1</w:t>
            </w:r>
          </w:p>
        </w:tc>
        <w:tc>
          <w:tcPr>
            <w:tcW w:w="4348" w:type="dxa"/>
          </w:tcPr>
          <w:p w14:paraId="0168C49C" w14:textId="020ABD4C" w:rsidR="00DD67F3" w:rsidRDefault="00DD67F3" w:rsidP="00F93DD0">
            <w:pPr>
              <w:rPr>
                <w:rFonts w:eastAsia="MS Mincho" w:hint="eastAsia"/>
                <w:lang w:eastAsia="ja-JP"/>
              </w:rPr>
            </w:pPr>
            <w:r>
              <w:rPr>
                <w:rFonts w:eastAsiaTheme="minorEastAsia"/>
                <w:lang w:eastAsia="zh-CN"/>
              </w:rPr>
              <w:t>Same view as Apple that useful scenario for backward indication is very limited. We don’t see much benefit to support this.</w:t>
            </w:r>
          </w:p>
        </w:tc>
        <w:tc>
          <w:tcPr>
            <w:tcW w:w="1757" w:type="dxa"/>
          </w:tcPr>
          <w:p w14:paraId="2B4B418E" w14:textId="77777777" w:rsidR="00DD67F3" w:rsidRDefault="00DD67F3" w:rsidP="00F93DD0"/>
        </w:tc>
      </w:tr>
    </w:tbl>
    <w:p w14:paraId="4B88D644" w14:textId="77777777" w:rsidR="00D85EB5" w:rsidRDefault="00D85EB5" w:rsidP="00D85EB5"/>
    <w:p w14:paraId="5B90DA86" w14:textId="77777777" w:rsidR="00D85EB5" w:rsidRDefault="00D85EB5"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ListParagraph"/>
        <w:numPr>
          <w:ilvl w:val="0"/>
          <w:numId w:val="19"/>
        </w:numPr>
        <w:ind w:leftChars="0"/>
      </w:pPr>
      <w:r>
        <w:lastRenderedPageBreak/>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ListParagraph"/>
        <w:numPr>
          <w:ilvl w:val="0"/>
          <w:numId w:val="19"/>
        </w:numPr>
        <w:ind w:leftChars="0"/>
      </w:pPr>
      <w:r>
        <w:t>In general, there are the following alternatives identified</w:t>
      </w:r>
    </w:p>
    <w:p w14:paraId="1792B2E4" w14:textId="77777777" w:rsidR="000C1328" w:rsidRDefault="000C1328" w:rsidP="007938E8">
      <w:pPr>
        <w:pStyle w:val="ListParagraph"/>
        <w:numPr>
          <w:ilvl w:val="1"/>
          <w:numId w:val="19"/>
        </w:numPr>
        <w:ind w:leftChars="0"/>
      </w:pPr>
      <w:r>
        <w:t>Keep excluding by all configured period values</w:t>
      </w:r>
    </w:p>
    <w:p w14:paraId="71E5A36D" w14:textId="77777777" w:rsidR="000C1328" w:rsidRDefault="000C1328" w:rsidP="007938E8">
      <w:pPr>
        <w:pStyle w:val="ListParagraph"/>
        <w:numPr>
          <w:ilvl w:val="1"/>
          <w:numId w:val="19"/>
        </w:numPr>
        <w:ind w:leftChars="0"/>
      </w:pPr>
      <w:r>
        <w:t>Exclude only using TX UE period value</w:t>
      </w:r>
    </w:p>
    <w:p w14:paraId="11BB7B32" w14:textId="77777777" w:rsidR="000C1328" w:rsidRDefault="000C1328" w:rsidP="007938E8">
      <w:pPr>
        <w:pStyle w:val="ListParagraph"/>
        <w:numPr>
          <w:ilvl w:val="1"/>
          <w:numId w:val="19"/>
        </w:numPr>
        <w:ind w:leftChars="0"/>
      </w:pPr>
      <w:r>
        <w:t>Do not apply this exclusion at all</w:t>
      </w:r>
    </w:p>
    <w:p w14:paraId="6071E489" w14:textId="77777777" w:rsidR="000C1328" w:rsidRDefault="000C1328" w:rsidP="007938E8">
      <w:pPr>
        <w:pStyle w:val="ListParagraph"/>
        <w:numPr>
          <w:ilvl w:val="1"/>
          <w:numId w:val="19"/>
        </w:numPr>
        <w:ind w:leftChars="0"/>
      </w:pPr>
      <w:r>
        <w:t>Separately configure a set of periods for exclusion</w:t>
      </w:r>
    </w:p>
    <w:p w14:paraId="0C593E87" w14:textId="77777777" w:rsidR="000C1328" w:rsidRDefault="000C1328" w:rsidP="007938E8">
      <w:pPr>
        <w:pStyle w:val="ListParagraph"/>
        <w:numPr>
          <w:ilvl w:val="1"/>
          <w:numId w:val="19"/>
        </w:numPr>
        <w:ind w:leftChars="0"/>
      </w:pPr>
      <w:r>
        <w:t>Apply other mechanisms for reduced exclusion rate</w:t>
      </w:r>
    </w:p>
    <w:p w14:paraId="56C083F4" w14:textId="77777777" w:rsidR="000C1328" w:rsidRDefault="000C1328" w:rsidP="007938E8">
      <w:pPr>
        <w:pStyle w:val="ListParagraph"/>
        <w:numPr>
          <w:ilvl w:val="2"/>
          <w:numId w:val="19"/>
        </w:numPr>
        <w:ind w:leftChars="0"/>
      </w:pPr>
      <w:r>
        <w:t>Probabilistic exclusion</w:t>
      </w:r>
    </w:p>
    <w:p w14:paraId="32930959" w14:textId="77777777" w:rsidR="000C1328" w:rsidRDefault="000C1328" w:rsidP="007938E8">
      <w:pPr>
        <w:pStyle w:val="ListParagraph"/>
        <w:numPr>
          <w:ilvl w:val="2"/>
          <w:numId w:val="19"/>
        </w:numPr>
        <w:ind w:leftChars="0"/>
      </w:pPr>
      <w:r>
        <w:t>Reduced number of excluded resources</w:t>
      </w:r>
    </w:p>
    <w:p w14:paraId="4DDA6FC7" w14:textId="77777777" w:rsidR="000C1328" w:rsidRDefault="000C1328" w:rsidP="007938E8">
      <w:pPr>
        <w:pStyle w:val="ListParagraph"/>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855802">
            <w:r>
              <w:t>Source</w:t>
            </w:r>
          </w:p>
        </w:tc>
        <w:tc>
          <w:tcPr>
            <w:tcW w:w="1868" w:type="dxa"/>
          </w:tcPr>
          <w:p w14:paraId="7B6C449A" w14:textId="77777777" w:rsidR="00BA2792" w:rsidRDefault="00BA2792" w:rsidP="00855802">
            <w:r>
              <w:t>Option</w:t>
            </w:r>
          </w:p>
        </w:tc>
        <w:tc>
          <w:tcPr>
            <w:tcW w:w="4343" w:type="dxa"/>
          </w:tcPr>
          <w:p w14:paraId="0390D02B" w14:textId="77777777" w:rsidR="00BA2792" w:rsidRDefault="00BA2792" w:rsidP="00855802">
            <w:r>
              <w:t>Comment</w:t>
            </w:r>
          </w:p>
        </w:tc>
        <w:tc>
          <w:tcPr>
            <w:tcW w:w="1759" w:type="dxa"/>
          </w:tcPr>
          <w:p w14:paraId="658EBDC9" w14:textId="77777777" w:rsidR="00BA2792" w:rsidRDefault="00BA2792" w:rsidP="00855802"/>
        </w:tc>
      </w:tr>
      <w:tr w:rsidR="00BA2792" w14:paraId="5302E5E4" w14:textId="77777777" w:rsidTr="008C3933">
        <w:tc>
          <w:tcPr>
            <w:tcW w:w="1661" w:type="dxa"/>
          </w:tcPr>
          <w:p w14:paraId="01232DD3" w14:textId="77777777" w:rsidR="00BA2792" w:rsidRDefault="0013476A" w:rsidP="00855802">
            <w:r>
              <w:t>Ericsson</w:t>
            </w:r>
          </w:p>
        </w:tc>
        <w:tc>
          <w:tcPr>
            <w:tcW w:w="1868" w:type="dxa"/>
          </w:tcPr>
          <w:p w14:paraId="3DA1A49C" w14:textId="77777777" w:rsidR="00BA2792" w:rsidRDefault="00BA2792" w:rsidP="00855802"/>
        </w:tc>
        <w:tc>
          <w:tcPr>
            <w:tcW w:w="4343" w:type="dxa"/>
          </w:tcPr>
          <w:p w14:paraId="7D34CDE9" w14:textId="77777777" w:rsidR="00BA2792" w:rsidRDefault="0013476A" w:rsidP="00855802">
            <w:r>
              <w:t xml:space="preserve">For periods of 16 or more slots (i.e., 32/2), we do not see the need to make any changes to the specification. </w:t>
            </w:r>
          </w:p>
        </w:tc>
        <w:tc>
          <w:tcPr>
            <w:tcW w:w="1759" w:type="dxa"/>
          </w:tcPr>
          <w:p w14:paraId="6DCC55C2" w14:textId="77777777" w:rsidR="00BA2792" w:rsidRDefault="00BA2792" w:rsidP="00855802"/>
        </w:tc>
      </w:tr>
      <w:tr w:rsidR="00BA2792" w14:paraId="2D7015AD" w14:textId="77777777" w:rsidTr="008C3933">
        <w:tc>
          <w:tcPr>
            <w:tcW w:w="1661" w:type="dxa"/>
          </w:tcPr>
          <w:p w14:paraId="313A43C1" w14:textId="77777777" w:rsidR="00BA2792" w:rsidRPr="00915B08" w:rsidRDefault="00915B08" w:rsidP="00855802">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855802"/>
        </w:tc>
      </w:tr>
      <w:tr w:rsidR="003443E8" w14:paraId="450C11EB" w14:textId="77777777" w:rsidTr="008C3933">
        <w:tc>
          <w:tcPr>
            <w:tcW w:w="1661" w:type="dxa"/>
          </w:tcPr>
          <w:p w14:paraId="3FFC5ACD" w14:textId="77777777"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759" w:type="dxa"/>
          </w:tcPr>
          <w:p w14:paraId="45E6DF29" w14:textId="77777777" w:rsidR="003443E8" w:rsidRDefault="003443E8" w:rsidP="00855802"/>
        </w:tc>
      </w:tr>
      <w:tr w:rsidR="00E264BF" w14:paraId="09195D9C" w14:textId="77777777" w:rsidTr="008C3933">
        <w:tc>
          <w:tcPr>
            <w:tcW w:w="1661" w:type="dxa"/>
          </w:tcPr>
          <w:p w14:paraId="7B183F08" w14:textId="77777777" w:rsidR="00E264BF" w:rsidRPr="00E264BF" w:rsidRDefault="00E264BF" w:rsidP="00855802">
            <w:pPr>
              <w:rPr>
                <w:rFonts w:eastAsia="MS Mincho"/>
                <w:lang w:eastAsia="ja-JP"/>
              </w:rPr>
            </w:pPr>
            <w:r>
              <w:rPr>
                <w:rFonts w:eastAsia="MS Mincho" w:hint="eastAsia"/>
                <w:lang w:eastAsia="ja-JP"/>
              </w:rPr>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14:paraId="210CF4D5" w14:textId="77777777" w:rsidR="00E264BF" w:rsidRDefault="00E264BF" w:rsidP="00855802"/>
        </w:tc>
      </w:tr>
      <w:tr w:rsidR="001E082D" w14:paraId="594CFB59" w14:textId="77777777" w:rsidTr="008C3933">
        <w:tc>
          <w:tcPr>
            <w:tcW w:w="1661" w:type="dxa"/>
          </w:tcPr>
          <w:p w14:paraId="2D28CF10" w14:textId="77777777"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37D37A44" w14:textId="77777777"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855802"/>
        </w:tc>
      </w:tr>
      <w:tr w:rsidR="007C7895" w14:paraId="6A5F20BE" w14:textId="77777777" w:rsidTr="008C3933">
        <w:tc>
          <w:tcPr>
            <w:tcW w:w="1661" w:type="dxa"/>
          </w:tcPr>
          <w:p w14:paraId="795376C5" w14:textId="77777777" w:rsidR="007C7895" w:rsidRDefault="007C7895" w:rsidP="00855802">
            <w:pPr>
              <w:rPr>
                <w:rFonts w:eastAsia="Malgun Gothic"/>
                <w:lang w:eastAsia="ko-KR"/>
              </w:rPr>
            </w:pPr>
            <w:r>
              <w:rPr>
                <w:rFonts w:eastAsia="Malgun Gothic"/>
                <w:lang w:eastAsia="ko-KR"/>
              </w:rPr>
              <w:t>TCL</w:t>
            </w:r>
          </w:p>
        </w:tc>
        <w:tc>
          <w:tcPr>
            <w:tcW w:w="1868" w:type="dxa"/>
          </w:tcPr>
          <w:p w14:paraId="120063EC" w14:textId="77777777"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855802"/>
        </w:tc>
      </w:tr>
      <w:tr w:rsidR="00C4037B" w14:paraId="0DD782C5" w14:textId="77777777" w:rsidTr="008C3933">
        <w:tc>
          <w:tcPr>
            <w:tcW w:w="1661" w:type="dxa"/>
          </w:tcPr>
          <w:p w14:paraId="5E780478" w14:textId="77777777" w:rsidR="00C4037B" w:rsidRDefault="00C4037B" w:rsidP="00C4037B">
            <w:pPr>
              <w:rPr>
                <w:rFonts w:eastAsia="Malgun Gothic"/>
                <w:lang w:eastAsia="ko-KR"/>
              </w:rPr>
            </w:pPr>
            <w:r>
              <w:t>Qualcomm</w:t>
            </w:r>
          </w:p>
        </w:tc>
        <w:tc>
          <w:tcPr>
            <w:tcW w:w="1868" w:type="dxa"/>
          </w:tcPr>
          <w:p w14:paraId="3D505B91" w14:textId="77777777" w:rsidR="00C4037B" w:rsidRDefault="00C4037B" w:rsidP="00C4037B">
            <w:pPr>
              <w:jc w:val="both"/>
              <w:rPr>
                <w:rFonts w:eastAsia="Malgun Gothic"/>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95683D">
            <w:pPr>
              <w:rPr>
                <w:rFonts w:eastAsia="Malgun Gothic"/>
                <w:lang w:eastAsia="ko-KR"/>
              </w:rPr>
            </w:pPr>
            <w:r>
              <w:rPr>
                <w:rFonts w:eastAsia="Malgun Gothic"/>
                <w:lang w:eastAsia="ko-KR"/>
              </w:rPr>
              <w:t>Bosch</w:t>
            </w:r>
          </w:p>
        </w:tc>
        <w:tc>
          <w:tcPr>
            <w:tcW w:w="1868" w:type="dxa"/>
          </w:tcPr>
          <w:p w14:paraId="3529DD3F" w14:textId="77777777"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95683D">
            <w:pPr>
              <w:jc w:val="both"/>
              <w:rPr>
                <w:rFonts w:eastAsia="Malgun Gothic"/>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95683D"/>
        </w:tc>
      </w:tr>
      <w:tr w:rsidR="00E75961" w14:paraId="7478BDB9" w14:textId="77777777" w:rsidTr="008C3933">
        <w:tc>
          <w:tcPr>
            <w:tcW w:w="1661" w:type="dxa"/>
          </w:tcPr>
          <w:p w14:paraId="75B27604" w14:textId="77777777" w:rsidR="00E75961" w:rsidRPr="00E75961" w:rsidRDefault="00E75961" w:rsidP="00E75961">
            <w:pPr>
              <w:rPr>
                <w:rFonts w:eastAsia="Malgun Gothic"/>
                <w:lang w:eastAsia="ko-KR"/>
              </w:rPr>
            </w:pPr>
            <w:r w:rsidRPr="00E75961">
              <w:t>Huawei/HiSilicon</w:t>
            </w:r>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 xml:space="preserve">ZTE, </w:t>
            </w:r>
            <w:proofErr w:type="spellStart"/>
            <w:r>
              <w:t>Sanechips</w:t>
            </w:r>
            <w:proofErr w:type="spellEnd"/>
          </w:p>
        </w:tc>
        <w:tc>
          <w:tcPr>
            <w:tcW w:w="1868" w:type="dxa"/>
          </w:tcPr>
          <w:p w14:paraId="195D99D0" w14:textId="77777777" w:rsidR="008E0875" w:rsidRPr="008E0875" w:rsidRDefault="008E0875" w:rsidP="00BC0348">
            <w:pPr>
              <w:jc w:val="both"/>
              <w:rPr>
                <w:lang w:val="en-US"/>
              </w:rPr>
            </w:pPr>
            <w:r w:rsidRPr="008E0875">
              <w:rPr>
                <w:lang w:val="en-US"/>
              </w:rPr>
              <w:t>Option 2b</w:t>
            </w:r>
          </w:p>
        </w:tc>
        <w:tc>
          <w:tcPr>
            <w:tcW w:w="4343" w:type="dxa"/>
          </w:tcPr>
          <w:p w14:paraId="36E28C64" w14:textId="77777777" w:rsidR="008E0875" w:rsidRPr="008E0875" w:rsidRDefault="008E0875" w:rsidP="00BC0348">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C0348">
            <w:pPr>
              <w:jc w:val="both"/>
              <w:rPr>
                <w:lang w:val="en-US"/>
              </w:rPr>
            </w:pPr>
            <w:r>
              <w:rPr>
                <w:lang w:val="en-US"/>
              </w:rPr>
              <w:t>Option 1</w:t>
            </w:r>
          </w:p>
        </w:tc>
        <w:tc>
          <w:tcPr>
            <w:tcW w:w="4343" w:type="dxa"/>
          </w:tcPr>
          <w:p w14:paraId="4CD7AADB" w14:textId="77777777" w:rsidR="005F656A" w:rsidRPr="008E0875" w:rsidRDefault="005F656A" w:rsidP="00BC0348">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F93DD0">
            <w:pPr>
              <w:rPr>
                <w:rFonts w:eastAsia="Malgun Gothic"/>
                <w:lang w:eastAsia="ko-KR"/>
              </w:rPr>
            </w:pPr>
            <w:r>
              <w:rPr>
                <w:rFonts w:eastAsia="Malgun Gothic"/>
                <w:lang w:eastAsia="ko-KR"/>
              </w:rPr>
              <w:t>InterDigital</w:t>
            </w:r>
          </w:p>
        </w:tc>
        <w:tc>
          <w:tcPr>
            <w:tcW w:w="1868" w:type="dxa"/>
          </w:tcPr>
          <w:p w14:paraId="36DBD445" w14:textId="77777777" w:rsidR="004A16D7" w:rsidRDefault="004A16D7" w:rsidP="00F93DD0">
            <w:pPr>
              <w:jc w:val="both"/>
              <w:rPr>
                <w:rFonts w:eastAsia="Malgun Gothic"/>
                <w:lang w:val="en-US" w:eastAsia="ko-KR"/>
              </w:rPr>
            </w:pPr>
            <w:r>
              <w:rPr>
                <w:rFonts w:eastAsia="Malgun Gothic"/>
                <w:lang w:val="en-US" w:eastAsia="ko-KR"/>
              </w:rPr>
              <w:t>Option 2a</w:t>
            </w:r>
          </w:p>
        </w:tc>
        <w:tc>
          <w:tcPr>
            <w:tcW w:w="4343" w:type="dxa"/>
          </w:tcPr>
          <w:p w14:paraId="2A6B374E" w14:textId="77777777" w:rsidR="004A16D7" w:rsidRDefault="004A16D7" w:rsidP="00F93DD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F93DD0"/>
        </w:tc>
      </w:tr>
      <w:tr w:rsidR="00C223D1" w14:paraId="60C5C6C4" w14:textId="77777777" w:rsidTr="004A16D7">
        <w:tc>
          <w:tcPr>
            <w:tcW w:w="1661" w:type="dxa"/>
          </w:tcPr>
          <w:p w14:paraId="505C8AB2" w14:textId="18315316" w:rsidR="00C223D1" w:rsidRPr="00C223D1" w:rsidRDefault="009846A8" w:rsidP="00F93DD0">
            <w:pPr>
              <w:rPr>
                <w:rFonts w:eastAsia="MS Mincho"/>
                <w:lang w:eastAsia="ja-JP"/>
              </w:rPr>
            </w:pPr>
            <w:r>
              <w:rPr>
                <w:rFonts w:eastAsia="MS Mincho"/>
                <w:lang w:eastAsia="ja-JP"/>
              </w:rPr>
              <w:t>Panasonic</w:t>
            </w:r>
          </w:p>
        </w:tc>
        <w:tc>
          <w:tcPr>
            <w:tcW w:w="1868" w:type="dxa"/>
          </w:tcPr>
          <w:p w14:paraId="0941A3C9" w14:textId="77777777" w:rsidR="00C223D1" w:rsidRPr="00C223D1" w:rsidRDefault="00C223D1" w:rsidP="00F93DD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F93DD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F93DD0">
            <w:pPr>
              <w:rPr>
                <w:rFonts w:eastAsia="MS Mincho"/>
                <w:lang w:val="en-US" w:eastAsia="ja-JP"/>
              </w:rPr>
            </w:pPr>
            <w:r>
              <w:rPr>
                <w:rFonts w:eastAsia="MS Mincho"/>
                <w:lang w:val="en-US" w:eastAsia="ja-JP"/>
              </w:rPr>
              <w:t xml:space="preserve">For the period introduced in NR </w:t>
            </w:r>
            <w:r>
              <w:rPr>
                <w:lang w:val="en-US" w:eastAsia="ko-KR"/>
              </w:rPr>
              <w:t xml:space="preserve"> (e.g., 0-99ms), option 2b is applied</w:t>
            </w:r>
            <w:r w:rsidR="00BA3C57">
              <w:rPr>
                <w:lang w:val="en-US" w:eastAsia="ko-KR"/>
              </w:rPr>
              <w:t>.</w:t>
            </w:r>
          </w:p>
        </w:tc>
        <w:tc>
          <w:tcPr>
            <w:tcW w:w="1759" w:type="dxa"/>
          </w:tcPr>
          <w:p w14:paraId="6EA59158" w14:textId="77777777" w:rsidR="00C223D1" w:rsidRDefault="00C223D1" w:rsidP="00F93DD0"/>
        </w:tc>
      </w:tr>
      <w:tr w:rsidR="00DD67F3" w14:paraId="685920C6" w14:textId="77777777" w:rsidTr="004A16D7">
        <w:tc>
          <w:tcPr>
            <w:tcW w:w="1661" w:type="dxa"/>
          </w:tcPr>
          <w:p w14:paraId="0A865734" w14:textId="6DEB4B82" w:rsidR="00DD67F3" w:rsidRDefault="00DD67F3" w:rsidP="00F93DD0">
            <w:pPr>
              <w:rPr>
                <w:rFonts w:eastAsia="MS Mincho"/>
                <w:lang w:eastAsia="ja-JP"/>
              </w:rPr>
            </w:pPr>
            <w:r>
              <w:rPr>
                <w:rFonts w:eastAsia="MS Mincho"/>
                <w:lang w:eastAsia="ja-JP"/>
              </w:rPr>
              <w:t>OPPO</w:t>
            </w:r>
          </w:p>
        </w:tc>
        <w:tc>
          <w:tcPr>
            <w:tcW w:w="1868" w:type="dxa"/>
          </w:tcPr>
          <w:p w14:paraId="5ECC2D72" w14:textId="051B0F37" w:rsidR="00DD67F3" w:rsidRDefault="00DD67F3" w:rsidP="00F93DD0">
            <w:pPr>
              <w:jc w:val="both"/>
              <w:rPr>
                <w:rFonts w:eastAsia="MS Mincho"/>
                <w:lang w:val="en-US" w:eastAsia="ja-JP"/>
              </w:rPr>
            </w:pPr>
            <w:r>
              <w:rPr>
                <w:rFonts w:eastAsia="MS Mincho"/>
                <w:lang w:val="en-US" w:eastAsia="ja-JP"/>
              </w:rPr>
              <w:t>Option 2c</w:t>
            </w:r>
          </w:p>
        </w:tc>
        <w:tc>
          <w:tcPr>
            <w:tcW w:w="4343" w:type="dxa"/>
          </w:tcPr>
          <w:p w14:paraId="59F85A29" w14:textId="4A53AAD5" w:rsidR="00DD67F3" w:rsidRDefault="00DD67F3" w:rsidP="00F93DD0">
            <w:pPr>
              <w:rPr>
                <w:rFonts w:eastAsia="MS Mincho" w:hint="eastAsia"/>
                <w:lang w:val="en-US" w:eastAsia="ja-JP"/>
              </w:rPr>
            </w:pPr>
            <w:r>
              <w:rPr>
                <w:lang w:val="en-US" w:eastAsia="ko-KR"/>
              </w:rPr>
              <w:t>Excessive exclusion should be avoided since NR SL supports [1:99] reservation periodicity. No exclusion (2b) or only the periodicity used (2a) may be too few. Therefore, details for Option 2c should be discussed.</w:t>
            </w:r>
          </w:p>
        </w:tc>
        <w:tc>
          <w:tcPr>
            <w:tcW w:w="1759" w:type="dxa"/>
          </w:tcPr>
          <w:p w14:paraId="27A7B861" w14:textId="77777777" w:rsidR="00DD67F3" w:rsidRDefault="00DD67F3" w:rsidP="00F93DD0"/>
        </w:tc>
      </w:tr>
    </w:tbl>
    <w:p w14:paraId="1E673954" w14:textId="77777777" w:rsidR="00BA2792" w:rsidRPr="002E6F6B" w:rsidRDefault="00BA2792" w:rsidP="00842A04"/>
    <w:p w14:paraId="790F031C" w14:textId="77777777" w:rsidR="001A1933" w:rsidRDefault="00746444" w:rsidP="0000254F">
      <w:pPr>
        <w:pStyle w:val="3GPPH1"/>
      </w:pPr>
      <w:r>
        <w:t>S</w:t>
      </w:r>
      <w:r w:rsidR="001A086B">
        <w:t xml:space="preserve">ummary of proposals on the </w:t>
      </w:r>
      <w:bookmarkEnd w:id="2"/>
      <w:r>
        <w:t>relevant issues</w:t>
      </w:r>
    </w:p>
    <w:p w14:paraId="4FF740D5" w14:textId="77777777" w:rsidR="00A9325D" w:rsidRDefault="00A9325D" w:rsidP="00A9325D">
      <w:r>
        <w:t xml:space="preserve">Last time the backward indication issue and periods for exclusion of slots not monitored in the sensing window were discussed. The following issues are still open based on </w:t>
      </w:r>
      <w:proofErr w:type="spellStart"/>
      <w:r>
        <w:t>tdoc</w:t>
      </w:r>
      <w:proofErr w:type="spellEnd"/>
      <w:r>
        <w:t xml:space="preserve"> review:</w:t>
      </w:r>
    </w:p>
    <w:p w14:paraId="5B7F085D" w14:textId="77777777" w:rsidR="00A9325D" w:rsidRPr="00467964" w:rsidRDefault="00A9325D" w:rsidP="00A9325D"/>
    <w:p w14:paraId="3370C196" w14:textId="77777777" w:rsidR="00A9325D" w:rsidRDefault="00A9325D" w:rsidP="007938E8">
      <w:pPr>
        <w:pStyle w:val="ListParagraph"/>
        <w:numPr>
          <w:ilvl w:val="0"/>
          <w:numId w:val="17"/>
        </w:numPr>
        <w:ind w:leftChars="0"/>
      </w:pPr>
      <w:r>
        <w:t>Backward signalling option</w:t>
      </w:r>
    </w:p>
    <w:p w14:paraId="07BF5D41" w14:textId="77777777"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ListParagraph"/>
        <w:numPr>
          <w:ilvl w:val="0"/>
          <w:numId w:val="17"/>
        </w:numPr>
        <w:ind w:leftChars="0"/>
      </w:pPr>
      <w:r>
        <w:t>Periods for exclusion if a slot is not monitored in a sensing window</w:t>
      </w:r>
    </w:p>
    <w:p w14:paraId="728A41D8" w14:textId="77777777"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ListParagraph"/>
        <w:numPr>
          <w:ilvl w:val="1"/>
          <w:numId w:val="17"/>
        </w:numPr>
        <w:ind w:leftChars="0"/>
      </w:pPr>
      <w:r>
        <w:t>Separate set / sub-set / handling</w:t>
      </w:r>
    </w:p>
    <w:p w14:paraId="15722B5E" w14:textId="77777777"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3"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3"/>
    </w:p>
    <w:bookmarkStart w:id="4"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4"/>
    </w:p>
    <w:bookmarkStart w:id="5"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5"/>
    </w:p>
    <w:bookmarkStart w:id="6"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6"/>
    </w:p>
    <w:bookmarkStart w:id="7"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7"/>
    </w:p>
    <w:bookmarkStart w:id="8"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8"/>
    </w:p>
    <w:bookmarkStart w:id="9"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9"/>
    </w:p>
    <w:bookmarkStart w:id="10"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 xml:space="preserve">ZTE, </w:t>
      </w:r>
      <w:proofErr w:type="spellStart"/>
      <w:r w:rsidR="00610BCA">
        <w:t>Sanechips</w:t>
      </w:r>
      <w:bookmarkEnd w:id="10"/>
      <w:proofErr w:type="spellEnd"/>
    </w:p>
    <w:bookmarkStart w:id="11"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1"/>
    </w:p>
    <w:bookmarkStart w:id="12"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2"/>
    </w:p>
    <w:bookmarkStart w:id="13"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3"/>
    </w:p>
    <w:bookmarkStart w:id="14" w:name="_Ref38274133"/>
    <w:p w14:paraId="4AC109F5" w14:textId="77777777" w:rsidR="00610BCA" w:rsidRDefault="00114A7B" w:rsidP="007938E8">
      <w:pPr>
        <w:widowControl w:val="0"/>
        <w:numPr>
          <w:ilvl w:val="0"/>
          <w:numId w:val="14"/>
        </w:numPr>
        <w:autoSpaceDN w:val="0"/>
        <w:jc w:val="both"/>
      </w:pPr>
      <w:r>
        <w:lastRenderedPageBreak/>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4"/>
    </w:p>
    <w:bookmarkStart w:id="15"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5"/>
    </w:p>
    <w:p w14:paraId="41BB488C" w14:textId="77777777" w:rsidR="00610BCA" w:rsidRDefault="00422A85" w:rsidP="007938E8">
      <w:pPr>
        <w:widowControl w:val="0"/>
        <w:numPr>
          <w:ilvl w:val="0"/>
          <w:numId w:val="14"/>
        </w:numPr>
        <w:autoSpaceDN w:val="0"/>
        <w:jc w:val="both"/>
      </w:pPr>
      <w:hyperlink r:id="rId12" w:history="1">
        <w:r w:rsidR="00610BCA">
          <w:rPr>
            <w:rStyle w:val="Hyperlink"/>
          </w:rPr>
          <w:t>R1-2002041</w:t>
        </w:r>
      </w:hyperlink>
      <w:r w:rsidR="00610BCA">
        <w:tab/>
      </w:r>
      <w:proofErr w:type="spellStart"/>
      <w:r w:rsidR="00610BCA" w:rsidRPr="00000FB2">
        <w:rPr>
          <w:rFonts w:ascii="Times New Roman" w:eastAsia="SimSun" w:hAnsi="Times New Roman"/>
          <w:bCs/>
          <w:iCs/>
          <w:szCs w:val="20"/>
        </w:rPr>
        <w:t>Remianing</w:t>
      </w:r>
      <w:proofErr w:type="spellEnd"/>
      <w:r w:rsidR="00610BCA">
        <w:t xml:space="preserve"> details on mode-2 resource allocation</w:t>
      </w:r>
      <w:r w:rsidR="00610BCA">
        <w:tab/>
        <w:t>Futurewei</w:t>
      </w:r>
    </w:p>
    <w:bookmarkStart w:id="16"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6"/>
    </w:p>
    <w:bookmarkStart w:id="17"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7"/>
    </w:p>
    <w:bookmarkStart w:id="18"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8"/>
    </w:p>
    <w:bookmarkStart w:id="19"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r>
      <w:proofErr w:type="spellStart"/>
      <w:r w:rsidR="00610BCA">
        <w:t>Spreadtrum</w:t>
      </w:r>
      <w:proofErr w:type="spellEnd"/>
      <w:r w:rsidR="00610BCA">
        <w:t xml:space="preserve"> Communications</w:t>
      </w:r>
      <w:bookmarkEnd w:id="19"/>
    </w:p>
    <w:bookmarkStart w:id="20"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0"/>
    </w:p>
    <w:bookmarkStart w:id="21" w:name="_Ref38274084"/>
    <w:p w14:paraId="569FFCEA"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1"/>
    </w:p>
    <w:bookmarkStart w:id="22"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2"/>
    </w:p>
    <w:bookmarkStart w:id="23"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3"/>
    </w:p>
    <w:bookmarkStart w:id="24"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4"/>
    </w:p>
    <w:bookmarkStart w:id="25"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5"/>
    </w:p>
    <w:p w14:paraId="6E036FC4" w14:textId="77777777" w:rsidR="00610BCA" w:rsidRDefault="00422A85" w:rsidP="007938E8">
      <w:pPr>
        <w:widowControl w:val="0"/>
        <w:numPr>
          <w:ilvl w:val="0"/>
          <w:numId w:val="14"/>
        </w:numPr>
        <w:autoSpaceDN w:val="0"/>
        <w:jc w:val="both"/>
      </w:pPr>
      <w:hyperlink r:id="rId13"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6"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r>
      <w:proofErr w:type="spellStart"/>
      <w:r w:rsidR="00610BCA">
        <w:t>ASUSTeK</w:t>
      </w:r>
      <w:bookmarkEnd w:id="26"/>
      <w:proofErr w:type="spellEnd"/>
    </w:p>
    <w:bookmarkStart w:id="27"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7"/>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A294C" w14:textId="77777777" w:rsidR="00422A85" w:rsidRDefault="00422A85">
      <w:r>
        <w:separator/>
      </w:r>
    </w:p>
  </w:endnote>
  <w:endnote w:type="continuationSeparator" w:id="0">
    <w:p w14:paraId="39E69C62" w14:textId="77777777" w:rsidR="00422A85" w:rsidRDefault="0042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AA7E" w14:textId="77777777" w:rsidR="00422A85" w:rsidRDefault="00422A85">
      <w:r>
        <w:separator/>
      </w:r>
    </w:p>
  </w:footnote>
  <w:footnote w:type="continuationSeparator" w:id="0">
    <w:p w14:paraId="3C38286F" w14:textId="77777777" w:rsidR="00422A85" w:rsidRDefault="0042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85"/>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2C"/>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F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8CCC0"/>
  <w15:docId w15:val="{B2B2F1DC-BAC6-444C-9ED9-EC38156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EA87-1638-4CFD-86E1-2CCCB163F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3.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B139F-D586-400C-A326-9F3F53FA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5</Pages>
  <Words>2769</Words>
  <Characters>15786</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18518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3</cp:revision>
  <cp:lastPrinted>2013-05-13T15:37:00Z</cp:lastPrinted>
  <dcterms:created xsi:type="dcterms:W3CDTF">2020-04-22T02:46:00Z</dcterms:created>
  <dcterms:modified xsi:type="dcterms:W3CDTF">2020-04-22T02:47:00Z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1" name="ContentTypeId">
    <vt:lpwstr>0x0101002A0DCFEE08FDFC4D9D773AE2051EFBA8</vt:lpwstr>
  </property>
</Properties>
</file>