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002E4394"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601861" w:rsidRPr="00601861">
        <w:rPr>
          <w:rFonts w:ascii="Calibri" w:eastAsia="Calibri" w:hAnsi="Calibri"/>
          <w:b/>
          <w:bCs/>
          <w:sz w:val="22"/>
          <w:szCs w:val="22"/>
        </w:rPr>
        <w:t>[100b-e-NR-IAB-03] Email discussion/approval regarding IAB Operation in Paired Spectrum</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2A5AE29"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01861">
        <w:t xml:space="preserve"> operation in paired spectrum.</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6620AA1C" w14:textId="77777777" w:rsidR="00601861" w:rsidRDefault="00601861" w:rsidP="00601861">
      <w:pPr>
        <w:rPr>
          <w:highlight w:val="cyan"/>
        </w:rPr>
      </w:pPr>
      <w:r>
        <w:rPr>
          <w:highlight w:val="cyan"/>
        </w:rPr>
        <w:t>[100b-e-NR-IAB-03] Email discussion/approval regarding IAB Operation in Paired Spectrum</w:t>
      </w:r>
    </w:p>
    <w:p w14:paraId="0E2AD582" w14:textId="77777777" w:rsidR="00601861" w:rsidRDefault="00601861" w:rsidP="00D50958">
      <w:pPr>
        <w:numPr>
          <w:ilvl w:val="0"/>
          <w:numId w:val="23"/>
        </w:numPr>
        <w:rPr>
          <w:highlight w:val="cyan"/>
        </w:rPr>
      </w:pPr>
      <w:r>
        <w:rPr>
          <w:highlight w:val="cyan"/>
        </w:rPr>
        <w:t xml:space="preserve">DU Resource Configuration </w:t>
      </w:r>
    </w:p>
    <w:p w14:paraId="1C4D8DD5" w14:textId="77777777" w:rsidR="00601861" w:rsidRDefault="00601861" w:rsidP="00D50958">
      <w:pPr>
        <w:numPr>
          <w:ilvl w:val="0"/>
          <w:numId w:val="23"/>
        </w:numPr>
        <w:rPr>
          <w:highlight w:val="cyan"/>
        </w:rPr>
      </w:pPr>
      <w:r>
        <w:rPr>
          <w:highlight w:val="cyan"/>
        </w:rPr>
        <w:t xml:space="preserve">Soft resource availability indication in paired spectrum </w:t>
      </w:r>
    </w:p>
    <w:p w14:paraId="6646E14B" w14:textId="77777777" w:rsidR="00601861" w:rsidRDefault="00601861" w:rsidP="00601861">
      <w:r>
        <w:rPr>
          <w:highlight w:val="cyan"/>
        </w:rPr>
        <w:t>By 4/24, with potential TP/LS by 4/29 (ATT, Thomas)</w:t>
      </w:r>
    </w:p>
    <w:p w14:paraId="7176EDF2" w14:textId="77777777" w:rsidR="00C81571" w:rsidRDefault="00C81571">
      <w:pPr>
        <w:rPr>
          <w:b/>
          <w:i/>
          <w:sz w:val="28"/>
        </w:rPr>
      </w:pPr>
      <w:r>
        <w:br w:type="page"/>
      </w:r>
    </w:p>
    <w:p w14:paraId="31C1D878" w14:textId="77777777" w:rsidR="00FA0EBF" w:rsidRPr="00450639" w:rsidRDefault="00FA0EBF" w:rsidP="00FA0EBF">
      <w:pPr>
        <w:pStyle w:val="Heading2"/>
        <w:rPr>
          <w:lang w:val="en-GB"/>
        </w:rPr>
      </w:pPr>
      <w:r>
        <w:rPr>
          <w:lang w:val="en-GB"/>
        </w:rPr>
        <w:lastRenderedPageBreak/>
        <w:t>DU Resource Configuration</w:t>
      </w:r>
    </w:p>
    <w:p w14:paraId="749A481C" w14:textId="77777777" w:rsidR="00FA0EBF" w:rsidRPr="00E235C5" w:rsidRDefault="00FA0EBF" w:rsidP="00FA0EB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R1-2002203, R1-2002650</w:t>
      </w:r>
    </w:p>
    <w:p w14:paraId="5DCD562D" w14:textId="77777777" w:rsidR="00FA0EBF" w:rsidRDefault="00FA0EBF" w:rsidP="00FA0EBF">
      <w:pPr>
        <w:rPr>
          <w:rFonts w:ascii="Calibri" w:eastAsia="Calibri" w:hAnsi="Calibri"/>
          <w:sz w:val="22"/>
          <w:szCs w:val="22"/>
        </w:rPr>
      </w:pPr>
      <w:r>
        <w:rPr>
          <w:rFonts w:asciiTheme="minorHAnsi" w:hAnsiTheme="minorHAnsi" w:cstheme="minorHAnsi"/>
          <w:b/>
          <w:lang w:val="en-GB"/>
        </w:rPr>
        <w:t xml:space="preserve">Background: </w:t>
      </w:r>
      <w:r w:rsidRPr="00E7236D">
        <w:rPr>
          <w:rFonts w:ascii="Calibri" w:eastAsia="Calibri" w:hAnsi="Calibri" w:hint="eastAsia"/>
          <w:sz w:val="22"/>
          <w:szCs w:val="22"/>
        </w:rPr>
        <w:t xml:space="preserve">In RAN1#99 meeting, </w:t>
      </w:r>
      <w:r w:rsidRPr="00E7236D">
        <w:rPr>
          <w:rFonts w:ascii="Calibri" w:eastAsia="Calibri" w:hAnsi="Calibri"/>
          <w:sz w:val="22"/>
          <w:szCs w:val="22"/>
        </w:rPr>
        <w:t>following working assumption regarding IAB in paired spectrum was captured in the chairman’s note as:</w:t>
      </w:r>
    </w:p>
    <w:p w14:paraId="296FEDDE" w14:textId="77777777" w:rsidR="00FA0EBF" w:rsidRPr="00E7236D" w:rsidRDefault="00FA0EBF" w:rsidP="00FA0EBF">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A0EBF" w:rsidRPr="00C52FE2" w14:paraId="7E0B15E0" w14:textId="77777777" w:rsidTr="00443618">
        <w:tc>
          <w:tcPr>
            <w:tcW w:w="9837" w:type="dxa"/>
            <w:shd w:val="clear" w:color="auto" w:fill="auto"/>
          </w:tcPr>
          <w:p w14:paraId="4605183E" w14:textId="77777777" w:rsidR="00FA0EBF" w:rsidRPr="00C52FE2" w:rsidRDefault="00FA0EBF" w:rsidP="0044361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4C7FDE03" w14:textId="77777777" w:rsidR="00FA0EBF" w:rsidRPr="00C52FE2" w:rsidRDefault="00FA0EBF" w:rsidP="00443618">
            <w:pPr>
              <w:spacing w:after="180"/>
              <w:rPr>
                <w:rFonts w:eastAsia="Yu Mincho"/>
                <w:sz w:val="20"/>
              </w:rPr>
            </w:pPr>
            <w:r w:rsidRPr="00C52FE2">
              <w:rPr>
                <w:rFonts w:eastAsia="Yu Mincho"/>
                <w:sz w:val="20"/>
              </w:rPr>
              <w:t>For paired spectrum, the H/S/NA DU resource configuration framework is extended with the following:</w:t>
            </w:r>
          </w:p>
          <w:p w14:paraId="6074EA9C" w14:textId="77777777" w:rsidR="00FA0EBF" w:rsidRPr="00C52FE2" w:rsidRDefault="00FA0EBF"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0059547E" w14:textId="77777777" w:rsidR="00FA0EBF" w:rsidRPr="00C52FE2" w:rsidRDefault="00FA0EBF" w:rsidP="0044361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0A5323BF" w14:textId="77777777" w:rsidR="00FA0EBF" w:rsidRDefault="00FA0EBF" w:rsidP="00FA0EBF">
      <w:pPr>
        <w:rPr>
          <w:lang w:eastAsia="ko-KR"/>
        </w:rPr>
      </w:pPr>
    </w:p>
    <w:p w14:paraId="328F1182" w14:textId="77777777" w:rsidR="00FA0EBF" w:rsidRPr="00E7236D" w:rsidRDefault="00FA0EBF" w:rsidP="00FA0EBF">
      <w:pPr>
        <w:rPr>
          <w:rFonts w:ascii="Calibri" w:eastAsia="Calibri" w:hAnsi="Calibri"/>
          <w:sz w:val="22"/>
          <w:szCs w:val="22"/>
        </w:rPr>
      </w:pPr>
      <w:r>
        <w:rPr>
          <w:rFonts w:ascii="Calibri" w:eastAsia="Calibri" w:hAnsi="Calibri"/>
          <w:sz w:val="22"/>
          <w:szCs w:val="22"/>
        </w:rPr>
        <w:t>C</w:t>
      </w:r>
      <w:r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Pr="00E7236D">
        <w:rPr>
          <w:rFonts w:ascii="Calibri" w:eastAsia="Calibri" w:hAnsi="Calibri"/>
          <w:sz w:val="22"/>
          <w:szCs w:val="22"/>
        </w:rPr>
        <w:t xml:space="preserve">any additional specification impact) was raised during RAN1#100-e, </w:t>
      </w:r>
      <w:proofErr w:type="gramStart"/>
      <w:r w:rsidRPr="00E7236D">
        <w:rPr>
          <w:rFonts w:ascii="Calibri" w:eastAsia="Calibri" w:hAnsi="Calibri"/>
          <w:sz w:val="22"/>
          <w:szCs w:val="22"/>
        </w:rPr>
        <w:t>however</w:t>
      </w:r>
      <w:proofErr w:type="gramEnd"/>
      <w:r w:rsidRPr="00E7236D">
        <w:rPr>
          <w:rFonts w:ascii="Calibri" w:eastAsia="Calibri" w:hAnsi="Calibri"/>
          <w:sz w:val="22"/>
          <w:szCs w:val="22"/>
        </w:rPr>
        <w:t xml:space="preserve"> was not concluded. </w:t>
      </w:r>
    </w:p>
    <w:p w14:paraId="4B2A272C" w14:textId="603C0999" w:rsidR="00BD1C69" w:rsidRDefault="00BD1C69" w:rsidP="000114C1">
      <w:pPr>
        <w:rPr>
          <w:rFonts w:asciiTheme="minorHAnsi" w:hAnsiTheme="minorHAnsi" w:cstheme="minorHAnsi"/>
          <w:b/>
          <w:lang w:val="en-GB"/>
        </w:rPr>
      </w:pPr>
    </w:p>
    <w:p w14:paraId="7A4916C2" w14:textId="4F39DE57" w:rsidR="00FA0EBF" w:rsidRDefault="00FA0EBF" w:rsidP="000114C1">
      <w:pPr>
        <w:rPr>
          <w:rFonts w:asciiTheme="minorHAnsi" w:hAnsiTheme="minorHAnsi" w:cstheme="minorHAnsi"/>
          <w:b/>
          <w:lang w:val="en-GB"/>
        </w:rPr>
      </w:pPr>
      <w:r w:rsidRPr="00FA0EBF">
        <w:rPr>
          <w:rFonts w:asciiTheme="minorHAnsi" w:hAnsiTheme="minorHAnsi" w:cstheme="minorHAnsi"/>
          <w:b/>
          <w:highlight w:val="yellow"/>
          <w:lang w:val="en-GB"/>
        </w:rPr>
        <w:t>FL Proposal 2.1</w:t>
      </w:r>
      <w:r>
        <w:rPr>
          <w:rFonts w:asciiTheme="minorHAnsi" w:hAnsiTheme="minorHAnsi" w:cstheme="minorHAnsi"/>
          <w:b/>
          <w:lang w:val="en-GB"/>
        </w:rPr>
        <w:t xml:space="preserve">: Confirm the WA, update the IAB higher layer parameters list, and inform RAN3. </w:t>
      </w: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443618">
        <w:tc>
          <w:tcPr>
            <w:tcW w:w="1696" w:type="dxa"/>
          </w:tcPr>
          <w:p w14:paraId="7046FBE9" w14:textId="77777777"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443618">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443618">
        <w:tc>
          <w:tcPr>
            <w:tcW w:w="1696" w:type="dxa"/>
          </w:tcPr>
          <w:p w14:paraId="351E84E7" w14:textId="77777777" w:rsidR="00C8060C" w:rsidRPr="00EF0778" w:rsidRDefault="00C8060C" w:rsidP="00443618">
            <w:pPr>
              <w:rPr>
                <w:rFonts w:ascii="Calibri" w:eastAsia="Calibri" w:hAnsi="Calibri"/>
                <w:b/>
                <w:bCs/>
                <w:sz w:val="22"/>
                <w:szCs w:val="22"/>
              </w:rPr>
            </w:pPr>
          </w:p>
        </w:tc>
        <w:tc>
          <w:tcPr>
            <w:tcW w:w="2265" w:type="dxa"/>
          </w:tcPr>
          <w:p w14:paraId="6EDD5D4B" w14:textId="77777777" w:rsidR="00C8060C" w:rsidRDefault="00C8060C" w:rsidP="00443618">
            <w:pPr>
              <w:rPr>
                <w:rFonts w:ascii="Calibri" w:eastAsia="Calibri" w:hAnsi="Calibri"/>
                <w:b/>
                <w:bCs/>
                <w:sz w:val="22"/>
                <w:szCs w:val="22"/>
              </w:rPr>
            </w:pPr>
          </w:p>
        </w:tc>
        <w:tc>
          <w:tcPr>
            <w:tcW w:w="6109" w:type="dxa"/>
          </w:tcPr>
          <w:p w14:paraId="3D50FC1C" w14:textId="77777777" w:rsidR="00C8060C" w:rsidRPr="00EF0778" w:rsidRDefault="00C8060C" w:rsidP="00443618">
            <w:pPr>
              <w:rPr>
                <w:rFonts w:ascii="Calibri" w:eastAsia="Calibri" w:hAnsi="Calibri"/>
                <w:b/>
                <w:bCs/>
                <w:sz w:val="22"/>
                <w:szCs w:val="22"/>
              </w:rPr>
            </w:pP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5118391B" w14:textId="77777777" w:rsidR="00DD6AF9" w:rsidRPr="00450639" w:rsidRDefault="00DD6AF9" w:rsidP="00DD6AF9">
      <w:pPr>
        <w:pStyle w:val="Heading2"/>
        <w:rPr>
          <w:lang w:val="en-GB"/>
        </w:rPr>
      </w:pPr>
      <w:r>
        <w:rPr>
          <w:lang w:val="en-GB"/>
        </w:rPr>
        <w:lastRenderedPageBreak/>
        <w:t>IAB Node Multiplexing Capability</w:t>
      </w:r>
    </w:p>
    <w:p w14:paraId="29539ACD" w14:textId="77777777" w:rsidR="00DD6AF9" w:rsidRPr="00E235C5" w:rsidRDefault="00DD6AF9" w:rsidP="00DD6AF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R1-2002650</w:t>
      </w:r>
    </w:p>
    <w:p w14:paraId="076663B9" w14:textId="4E42E2AD" w:rsidR="00DD6AF9" w:rsidRDefault="00DD6AF9" w:rsidP="00DD6AF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In RAN1#98bis and RAN1#99 meetings, following</w:t>
      </w:r>
      <w:r>
        <w:rPr>
          <w:rFonts w:asciiTheme="minorHAnsi" w:hAnsiTheme="minorHAnsi" w:cstheme="minorHAnsi"/>
          <w:bCs/>
          <w:lang w:val="en-GB"/>
        </w:rPr>
        <w:t xml:space="preserve"> </w:t>
      </w:r>
      <w:r w:rsidRPr="00E7236D">
        <w:rPr>
          <w:rFonts w:asciiTheme="minorHAnsi" w:hAnsiTheme="minorHAnsi" w:cstheme="minorHAnsi"/>
          <w:bCs/>
          <w:lang w:val="en-GB"/>
        </w:rPr>
        <w:t>are agreed and capture</w:t>
      </w:r>
      <w:r>
        <w:rPr>
          <w:rFonts w:asciiTheme="minorHAnsi" w:hAnsiTheme="minorHAnsi" w:cstheme="minorHAnsi"/>
          <w:bCs/>
          <w:lang w:val="en-GB"/>
        </w:rPr>
        <w:t>d</w:t>
      </w:r>
      <w:r w:rsidRPr="00E7236D">
        <w:rPr>
          <w:rFonts w:asciiTheme="minorHAnsi" w:hAnsiTheme="minorHAnsi" w:cstheme="minorHAnsi"/>
          <w:bCs/>
          <w:lang w:val="en-GB"/>
        </w:rPr>
        <w:t xml:space="preserve"> in the </w:t>
      </w:r>
      <w:r>
        <w:rPr>
          <w:rFonts w:asciiTheme="minorHAnsi" w:hAnsiTheme="minorHAnsi" w:cstheme="minorHAnsi"/>
          <w:bCs/>
          <w:lang w:val="en-GB"/>
        </w:rPr>
        <w:t>C</w:t>
      </w:r>
      <w:r w:rsidRPr="00E7236D">
        <w:rPr>
          <w:rFonts w:asciiTheme="minorHAnsi" w:hAnsiTheme="minorHAnsi" w:cstheme="minorHAnsi"/>
          <w:bCs/>
          <w:lang w:val="en-GB"/>
        </w:rPr>
        <w:t>hairman’s note</w:t>
      </w:r>
      <w:r>
        <w:rPr>
          <w:rFonts w:asciiTheme="minorHAnsi" w:hAnsiTheme="minorHAnsi" w:cstheme="minorHAnsi"/>
          <w:bCs/>
          <w:lang w:val="en-GB"/>
        </w:rPr>
        <w:t>s</w:t>
      </w:r>
      <w:r w:rsidRPr="00E7236D">
        <w:rPr>
          <w:rFonts w:asciiTheme="minorHAnsi" w:hAnsiTheme="minorHAnsi" w:cstheme="minorHAnsi"/>
          <w:bCs/>
          <w:lang w:val="en-GB"/>
        </w:rPr>
        <w:t>:</w:t>
      </w:r>
    </w:p>
    <w:p w14:paraId="7E0C5AFD" w14:textId="77777777" w:rsidR="00DD6AF9" w:rsidRPr="00C52FE2" w:rsidRDefault="00DD6AF9" w:rsidP="00DD6AF9">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3B0B9140" w14:textId="77777777" w:rsidR="00DD6AF9" w:rsidRPr="00C52FE2" w:rsidRDefault="00DD6AF9" w:rsidP="00DD6AF9">
      <w:pPr>
        <w:spacing w:after="180"/>
        <w:rPr>
          <w:rFonts w:eastAsia="Yu Mincho"/>
          <w:sz w:val="20"/>
        </w:rPr>
      </w:pPr>
      <w:r w:rsidRPr="00C52FE2">
        <w:rPr>
          <w:rFonts w:eastAsia="Yu Mincho"/>
          <w:sz w:val="20"/>
        </w:rPr>
        <w:t>For paired spectrum, the H/S/NA DU resource configuration framework is extended with the following:</w:t>
      </w:r>
    </w:p>
    <w:p w14:paraId="45D0091C" w14:textId="77777777" w:rsidR="00DD6AF9" w:rsidRPr="00C52FE2" w:rsidRDefault="00DD6AF9"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58FA4E3D" w14:textId="77777777" w:rsidR="00DD6AF9" w:rsidRDefault="00DD6AF9" w:rsidP="00DD6AF9">
      <w:pPr>
        <w:rPr>
          <w:rFonts w:eastAsia="Yu Mincho"/>
          <w:sz w:val="20"/>
        </w:rPr>
      </w:pPr>
      <w:r w:rsidRPr="00C52FE2">
        <w:rPr>
          <w:rFonts w:eastAsia="Yu Mincho"/>
          <w:sz w:val="20"/>
        </w:rPr>
        <w:t>FFS: whether the definition of half-duplex operation has to be modified for IAB nodes operating in paired spectrum</w:t>
      </w:r>
    </w:p>
    <w:p w14:paraId="1598568D" w14:textId="77777777" w:rsidR="00DD6AF9" w:rsidRPr="0037326C" w:rsidRDefault="00DD6AF9" w:rsidP="00DD6AF9">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DD6AF9" w:rsidRPr="00C52FE2" w14:paraId="6F06FE70" w14:textId="77777777" w:rsidTr="00443618">
        <w:tc>
          <w:tcPr>
            <w:tcW w:w="9837" w:type="dxa"/>
            <w:shd w:val="clear" w:color="auto" w:fill="auto"/>
          </w:tcPr>
          <w:p w14:paraId="103D1147" w14:textId="77777777" w:rsidR="00DD6AF9" w:rsidRPr="00C52FE2" w:rsidRDefault="00DD6AF9" w:rsidP="00443618">
            <w:pPr>
              <w:spacing w:before="180"/>
              <w:rPr>
                <w:b/>
                <w:bCs/>
                <w:sz w:val="20"/>
              </w:rPr>
            </w:pPr>
            <w:r w:rsidRPr="00C52FE2">
              <w:rPr>
                <w:sz w:val="20"/>
                <w:highlight w:val="green"/>
              </w:rPr>
              <w:t>Agreements</w:t>
            </w:r>
            <w:r w:rsidRPr="00C52FE2">
              <w:rPr>
                <w:b/>
                <w:bCs/>
                <w:sz w:val="20"/>
              </w:rPr>
              <w:t>:</w:t>
            </w:r>
          </w:p>
          <w:p w14:paraId="11CC9129" w14:textId="77777777" w:rsidR="00DD6AF9" w:rsidRPr="00C52FE2" w:rsidRDefault="00DD6AF9" w:rsidP="0044361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6FE9867E" w14:textId="77777777" w:rsidR="00DD6AF9" w:rsidRPr="00C52FE2" w:rsidRDefault="00DD6AF9" w:rsidP="00D50958">
            <w:pPr>
              <w:pStyle w:val="maintext"/>
              <w:numPr>
                <w:ilvl w:val="0"/>
                <w:numId w:val="22"/>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6CD97D3E" w14:textId="77777777" w:rsidR="00DD6AF9" w:rsidRPr="00C52FE2" w:rsidRDefault="00DD6AF9" w:rsidP="0044361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6EA69BE5" w14:textId="77777777" w:rsidR="00DD6AF9" w:rsidRPr="00C52FE2" w:rsidRDefault="00DD6AF9" w:rsidP="0044361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08B7A17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MT-TX/DU-TX</w:t>
            </w:r>
          </w:p>
          <w:p w14:paraId="07B952A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6BA3B783"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MT-RX/DU-TX</w:t>
            </w:r>
          </w:p>
          <w:p w14:paraId="02C4124E"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MT-RX/DU-RX</w:t>
            </w:r>
          </w:p>
          <w:p w14:paraId="36FEFB99" w14:textId="77777777" w:rsidR="00DD6AF9" w:rsidRPr="00C52FE2" w:rsidRDefault="00DD6AF9" w:rsidP="00443618">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7A5C0811" w14:textId="77777777" w:rsidR="00DD6AF9" w:rsidRDefault="00DD6AF9" w:rsidP="00DD6AF9">
      <w:pPr>
        <w:rPr>
          <w:lang w:eastAsia="ko-KR"/>
        </w:rPr>
      </w:pPr>
    </w:p>
    <w:p w14:paraId="37AE7E45" w14:textId="76FEF61D" w:rsidR="00DD6AF9" w:rsidRDefault="00DD6AF9" w:rsidP="00DD6AF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Pr>
          <w:rFonts w:asciiTheme="minorHAnsi" w:hAnsiTheme="minorHAnsi" w:cstheme="minorHAnsi"/>
          <w:bCs/>
          <w:lang w:val="en-GB"/>
        </w:rPr>
        <w:t xml:space="preserve">therefore there was </w:t>
      </w:r>
      <w:proofErr w:type="gramStart"/>
      <w:r>
        <w:rPr>
          <w:rFonts w:asciiTheme="minorHAnsi" w:hAnsiTheme="minorHAnsi" w:cstheme="minorHAnsi"/>
          <w:bCs/>
          <w:lang w:val="en-GB"/>
        </w:rPr>
        <w:t>a</w:t>
      </w:r>
      <w:proofErr w:type="gramEnd"/>
      <w:r>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2E34ACA0" w14:textId="35CF33CB" w:rsidR="00DD6AF9" w:rsidRDefault="00DD6AF9" w:rsidP="00DD6AF9">
      <w:pPr>
        <w:rPr>
          <w:rFonts w:asciiTheme="minorHAnsi" w:hAnsiTheme="minorHAnsi" w:cstheme="minorHAnsi"/>
          <w:bCs/>
          <w:lang w:val="en-GB"/>
        </w:rPr>
      </w:pPr>
    </w:p>
    <w:p w14:paraId="6902B907" w14:textId="01375747" w:rsidR="00DD6AF9" w:rsidRPr="00E7236D" w:rsidRDefault="00DD6AF9" w:rsidP="00DD6AF9">
      <w:pPr>
        <w:rPr>
          <w:rFonts w:asciiTheme="minorHAnsi" w:hAnsiTheme="minorHAnsi" w:cstheme="minorHAnsi"/>
          <w:bCs/>
          <w:lang w:val="en-GB"/>
        </w:rPr>
      </w:pPr>
      <w:r w:rsidRPr="00DD6AF9">
        <w:rPr>
          <w:rFonts w:asciiTheme="minorHAnsi" w:hAnsiTheme="minorHAnsi" w:cstheme="minorHAnsi"/>
          <w:b/>
          <w:highlight w:val="yellow"/>
          <w:lang w:val="en-GB"/>
        </w:rPr>
        <w:t xml:space="preserve">FL </w:t>
      </w:r>
      <w:r>
        <w:rPr>
          <w:rFonts w:asciiTheme="minorHAnsi" w:hAnsiTheme="minorHAnsi" w:cstheme="minorHAnsi"/>
          <w:b/>
          <w:highlight w:val="yellow"/>
          <w:lang w:val="en-GB"/>
        </w:rPr>
        <w:t xml:space="preserve">Conclusion </w:t>
      </w:r>
      <w:r w:rsidRPr="00DD6AF9">
        <w:rPr>
          <w:rFonts w:asciiTheme="minorHAnsi" w:hAnsiTheme="minorHAnsi" w:cstheme="minorHAnsi"/>
          <w:b/>
          <w:highlight w:val="yellow"/>
          <w:lang w:val="en-GB"/>
        </w:rPr>
        <w:t>2.2</w:t>
      </w:r>
      <w:r>
        <w:rPr>
          <w:rFonts w:asciiTheme="minorHAnsi" w:hAnsiTheme="minorHAnsi" w:cstheme="minorHAnsi"/>
          <w:bCs/>
          <w:lang w:val="en-GB"/>
        </w:rPr>
        <w:t>: No additional specification impact for 38.213 is required for the definition of half-duplex operation in case of IAB nodes operating in paired spectrum. Further discussion of the multiplexing capability indication for IAB nodes operating in paired spectrum can be discussed under the IAB-MT Features agenda item.</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443618">
        <w:tc>
          <w:tcPr>
            <w:tcW w:w="1696" w:type="dxa"/>
          </w:tcPr>
          <w:p w14:paraId="1F4936F2"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62BCDBA2" w:rsidR="00017E50" w:rsidRPr="00EF0778" w:rsidRDefault="00017E50" w:rsidP="00443618">
            <w:pPr>
              <w:rPr>
                <w:rFonts w:ascii="Calibri" w:eastAsia="Calibri" w:hAnsi="Calibri"/>
                <w:b/>
                <w:bCs/>
                <w:sz w:val="22"/>
                <w:szCs w:val="22"/>
              </w:rPr>
            </w:pPr>
            <w:r>
              <w:rPr>
                <w:rFonts w:ascii="Calibri" w:eastAsia="Calibri" w:hAnsi="Calibri"/>
                <w:b/>
                <w:bCs/>
                <w:sz w:val="22"/>
                <w:szCs w:val="22"/>
              </w:rPr>
              <w:t xml:space="preserve">Do you agree with </w:t>
            </w:r>
            <w:r w:rsidR="00FA0EBF">
              <w:rPr>
                <w:rFonts w:ascii="Calibri" w:eastAsia="Calibri" w:hAnsi="Calibri"/>
                <w:b/>
                <w:bCs/>
                <w:sz w:val="22"/>
                <w:szCs w:val="22"/>
              </w:rPr>
              <w:t>Conclusion 2.2</w:t>
            </w:r>
            <w:r>
              <w:rPr>
                <w:rFonts w:ascii="Calibri" w:eastAsia="Calibri" w:hAnsi="Calibri"/>
                <w:b/>
                <w:bCs/>
                <w:sz w:val="22"/>
                <w:szCs w:val="22"/>
              </w:rPr>
              <w:t>?</w:t>
            </w:r>
          </w:p>
        </w:tc>
        <w:tc>
          <w:tcPr>
            <w:tcW w:w="6109" w:type="dxa"/>
          </w:tcPr>
          <w:p w14:paraId="2A8990BD"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443618">
        <w:tc>
          <w:tcPr>
            <w:tcW w:w="1696" w:type="dxa"/>
          </w:tcPr>
          <w:p w14:paraId="7A1495FF" w14:textId="77777777" w:rsidR="00017E50" w:rsidRPr="00EF0778" w:rsidRDefault="00017E50" w:rsidP="00443618">
            <w:pPr>
              <w:rPr>
                <w:rFonts w:ascii="Calibri" w:eastAsia="Calibri" w:hAnsi="Calibri"/>
                <w:b/>
                <w:bCs/>
                <w:sz w:val="22"/>
                <w:szCs w:val="22"/>
              </w:rPr>
            </w:pPr>
          </w:p>
        </w:tc>
        <w:tc>
          <w:tcPr>
            <w:tcW w:w="2265" w:type="dxa"/>
          </w:tcPr>
          <w:p w14:paraId="02CB5DD6" w14:textId="77777777" w:rsidR="00017E50" w:rsidRDefault="00017E50" w:rsidP="00443618">
            <w:pPr>
              <w:rPr>
                <w:rFonts w:ascii="Calibri" w:eastAsia="Calibri" w:hAnsi="Calibri"/>
                <w:b/>
                <w:bCs/>
                <w:sz w:val="22"/>
                <w:szCs w:val="22"/>
              </w:rPr>
            </w:pPr>
          </w:p>
        </w:tc>
        <w:tc>
          <w:tcPr>
            <w:tcW w:w="6109" w:type="dxa"/>
          </w:tcPr>
          <w:p w14:paraId="4EDB9A81" w14:textId="77777777" w:rsidR="00017E50" w:rsidRPr="00EF0778" w:rsidRDefault="00017E50" w:rsidP="00443618">
            <w:pPr>
              <w:rPr>
                <w:rFonts w:ascii="Calibri" w:eastAsia="Calibri" w:hAnsi="Calibri"/>
                <w:b/>
                <w:bCs/>
                <w:sz w:val="22"/>
                <w:szCs w:val="22"/>
              </w:rPr>
            </w:pP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22C6F861" w14:textId="1A46CF50" w:rsidR="009051D0" w:rsidRPr="00DD6AF9" w:rsidRDefault="009051D0" w:rsidP="00DD6AF9">
      <w:pPr>
        <w:rPr>
          <w:rFonts w:ascii="Arial" w:hAnsi="Arial"/>
          <w:b/>
          <w:sz w:val="32"/>
          <w:szCs w:val="20"/>
        </w:rPr>
      </w:pPr>
    </w:p>
    <w:sectPr w:rsidR="009051D0" w:rsidRPr="00DD6AF9"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85989" w14:textId="77777777" w:rsidR="00D50958" w:rsidRDefault="00D50958" w:rsidP="00424124">
      <w:r>
        <w:separator/>
      </w:r>
    </w:p>
  </w:endnote>
  <w:endnote w:type="continuationSeparator" w:id="0">
    <w:p w14:paraId="7E6709D1" w14:textId="77777777" w:rsidR="00D50958" w:rsidRDefault="00D50958" w:rsidP="00424124">
      <w:r>
        <w:continuationSeparator/>
      </w:r>
    </w:p>
  </w:endnote>
  <w:endnote w:type="continuationNotice" w:id="1">
    <w:p w14:paraId="16BFF4B4" w14:textId="77777777" w:rsidR="00D50958" w:rsidRDefault="00D50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BE5C" w14:textId="77777777" w:rsidR="00D50958" w:rsidRDefault="00D50958" w:rsidP="00424124">
      <w:r>
        <w:separator/>
      </w:r>
    </w:p>
  </w:footnote>
  <w:footnote w:type="continuationSeparator" w:id="0">
    <w:p w14:paraId="338FB50F" w14:textId="77777777" w:rsidR="00D50958" w:rsidRDefault="00D50958" w:rsidP="00424124">
      <w:r>
        <w:continuationSeparator/>
      </w:r>
    </w:p>
  </w:footnote>
  <w:footnote w:type="continuationNotice" w:id="1">
    <w:p w14:paraId="4AAC527B" w14:textId="77777777" w:rsidR="00D50958" w:rsidRDefault="00D50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84A71B1"/>
    <w:multiLevelType w:val="hybridMultilevel"/>
    <w:tmpl w:val="DCFAE9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8"/>
  </w:num>
  <w:num w:numId="5">
    <w:abstractNumId w:val="12"/>
  </w:num>
  <w:num w:numId="6">
    <w:abstractNumId w:val="17"/>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5"/>
  </w:num>
  <w:num w:numId="15">
    <w:abstractNumId w:val="4"/>
  </w:num>
  <w:num w:numId="16">
    <w:abstractNumId w:val="22"/>
  </w:num>
  <w:num w:numId="17">
    <w:abstractNumId w:val="6"/>
  </w:num>
  <w:num w:numId="18">
    <w:abstractNumId w:val="16"/>
  </w:num>
  <w:num w:numId="19">
    <w:abstractNumId w:val="0"/>
  </w:num>
  <w:num w:numId="20">
    <w:abstractNumId w:val="10"/>
  </w:num>
  <w:num w:numId="21">
    <w:abstractNumId w:val="7"/>
  </w:num>
  <w:num w:numId="22">
    <w:abstractNumId w:val="13"/>
  </w:num>
  <w:num w:numId="23">
    <w:abstractNumId w:val="18"/>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1861"/>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0958"/>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6AF9"/>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0EBF"/>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7863235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1449532">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3992-C7B4-254C-9A64-816236F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544</Words>
  <Characters>3103</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4</cp:revision>
  <cp:lastPrinted>2016-02-23T10:51:00Z</cp:lastPrinted>
  <dcterms:created xsi:type="dcterms:W3CDTF">2020-04-20T04:26:00Z</dcterms:created>
  <dcterms:modified xsi:type="dcterms:W3CDTF">2020-04-20T04:50:00Z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