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67DF" w14:textId="77777777" w:rsidR="00DF6C9E" w:rsidRDefault="00C74BCE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R1-200xxxx</w:t>
      </w:r>
    </w:p>
    <w:p w14:paraId="09E567E0" w14:textId="77777777" w:rsidR="00DF6C9E" w:rsidRDefault="00C74BCE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09E567E1" w14:textId="77777777" w:rsidR="00DF6C9E" w:rsidRDefault="00C74BCE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9E567E2" w14:textId="77777777" w:rsidR="00DF6C9E" w:rsidRDefault="00C74BCE">
      <w:pPr>
        <w:rPr>
          <w:b/>
        </w:rPr>
      </w:pPr>
      <w:r>
        <w:rPr>
          <w:b/>
        </w:rPr>
        <w:t>Agenda item:    7.2.2.1.1</w:t>
      </w:r>
    </w:p>
    <w:p w14:paraId="09E567E3" w14:textId="77777777" w:rsidR="00DF6C9E" w:rsidRDefault="00C74BCE">
      <w:pPr>
        <w:rPr>
          <w:b/>
        </w:rPr>
      </w:pPr>
      <w:r>
        <w:rPr>
          <w:b/>
        </w:rPr>
        <w:t>Source:              Moderator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 w14:paraId="09E567E4" w14:textId="77777777" w:rsidR="00DF6C9E" w:rsidRDefault="00C74BCE">
      <w:pPr>
        <w:rPr>
          <w:b/>
        </w:rPr>
      </w:pPr>
      <w:r>
        <w:rPr>
          <w:b/>
        </w:rPr>
        <w:t xml:space="preserve">Title:                  Email discussion on </w:t>
      </w:r>
      <w:proofErr w:type="spellStart"/>
      <w:r>
        <w:rPr>
          <w:b/>
        </w:rPr>
        <w:t>k_SSB</w:t>
      </w:r>
      <w:proofErr w:type="spellEnd"/>
      <w:r>
        <w:rPr>
          <w:b/>
        </w:rPr>
        <w:t xml:space="preserve"> indication in PBCH for SSB on sync raster and off-sync raster</w:t>
      </w:r>
    </w:p>
    <w:p w14:paraId="09E567E5" w14:textId="77777777" w:rsidR="00DF6C9E" w:rsidRDefault="00C74BCE"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 w14:paraId="09E567E6" w14:textId="77777777" w:rsidR="00DF6C9E" w:rsidRDefault="00C74BCE">
      <w:pPr>
        <w:pStyle w:val="1"/>
        <w:numPr>
          <w:ilvl w:val="0"/>
          <w:numId w:val="11"/>
        </w:numPr>
      </w:pPr>
      <w:r>
        <w:t>Introduction</w:t>
      </w:r>
    </w:p>
    <w:p w14:paraId="09E567E7" w14:textId="77777777" w:rsidR="00DF6C9E" w:rsidRDefault="00C74BCE">
      <w:r>
        <w:t>For agenda item 7.2.2.1.1 on NR-U initial access signals and channels, after preparation stage email discussion, it was agreed to discuss the following in email discussion.</w:t>
      </w:r>
    </w:p>
    <w:p w14:paraId="09E567E8" w14:textId="77777777" w:rsidR="00DF6C9E" w:rsidRDefault="00DF6C9E"/>
    <w:p w14:paraId="09E567E9" w14:textId="77777777" w:rsidR="00DF6C9E" w:rsidRDefault="00C74BCE">
      <w:pPr>
        <w:rPr>
          <w:color w:val="000000"/>
        </w:rPr>
      </w:pPr>
      <w:r>
        <w:rPr>
          <w:color w:val="000000"/>
          <w:highlight w:val="cyan"/>
        </w:rPr>
        <w:t xml:space="preserve">[100b-e-NR-unlic-NRU-InitSignalChannel-01] Email discussion/approval on </w:t>
      </w:r>
      <w:proofErr w:type="spellStart"/>
      <w:r>
        <w:rPr>
          <w:highlight w:val="cyan"/>
          <w:lang w:eastAsia="zh-CN"/>
        </w:rPr>
        <w:t>k_SSB</w:t>
      </w:r>
      <w:proofErr w:type="spellEnd"/>
      <w:r>
        <w:rPr>
          <w:highlight w:val="cyan"/>
          <w:lang w:eastAsia="zh-CN"/>
        </w:rPr>
        <w:t xml:space="preserve"> indication in PBCH for SSB on sync raster and off-sync raster by 4/22</w:t>
      </w:r>
      <w:r>
        <w:rPr>
          <w:color w:val="000000"/>
          <w:highlight w:val="cyan"/>
        </w:rPr>
        <w:t>; if necessary, followed by endorsing the corresponding TP by 4/28 – Jing (Qualcomm)</w:t>
      </w:r>
    </w:p>
    <w:p w14:paraId="09E567EA" w14:textId="77777777" w:rsidR="00DF6C9E" w:rsidRDefault="00DF6C9E">
      <w:pPr>
        <w:rPr>
          <w:lang w:eastAsia="en-US"/>
        </w:rPr>
      </w:pPr>
    </w:p>
    <w:p w14:paraId="09E567EB" w14:textId="77777777" w:rsidR="00DF6C9E" w:rsidRDefault="00C74BCE">
      <w:pPr>
        <w:pStyle w:val="1"/>
      </w:pPr>
      <w:r>
        <w:t xml:space="preserve">Discussion on </w:t>
      </w:r>
      <w:proofErr w:type="spellStart"/>
      <w:r>
        <w:t>k_SSB</w:t>
      </w:r>
      <w:proofErr w:type="spellEnd"/>
      <w:r>
        <w:t xml:space="preserve"> indication</w:t>
      </w:r>
    </w:p>
    <w:p w14:paraId="09E567EC" w14:textId="77777777" w:rsidR="00DF6C9E" w:rsidRDefault="00C74BCE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</w:t>
      </w:r>
      <w:proofErr w:type="spellStart"/>
      <w:r>
        <w:rPr>
          <w:lang w:eastAsia="en-US"/>
        </w:rPr>
        <w:t>k_SSB</w:t>
      </w:r>
      <w:proofErr w:type="spellEnd"/>
      <w:r>
        <w:rPr>
          <w:lang w:eastAsia="en-US"/>
        </w:rPr>
        <w:t xml:space="preserve">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LSB with default interpretations.</w:t>
      </w:r>
    </w:p>
    <w:p w14:paraId="09E567ED" w14:textId="77777777" w:rsidR="00DF6C9E" w:rsidRDefault="00C74BCE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9E567EE" w14:textId="77777777" w:rsidR="00DF6C9E" w:rsidRDefault="00C74BCE">
      <w:pPr>
        <w:pStyle w:val="a"/>
        <w:numPr>
          <w:ilvl w:val="0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Alt 1. The assumed value for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SSB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dependent</w:t>
      </w:r>
    </w:p>
    <w:p w14:paraId="09E567EF" w14:textId="77777777" w:rsidR="00DF6C9E" w:rsidRDefault="00C74BCE">
      <w:pPr>
        <w:pStyle w:val="a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proofErr w:type="spellStart"/>
      <w:r>
        <w:rPr>
          <w:bCs/>
          <w:i/>
          <w:szCs w:val="20"/>
        </w:rPr>
        <w:t>ssb-SubcarrierOffset</w:t>
      </w:r>
      <w:proofErr w:type="spellEnd"/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,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set to ‘0’ for SS/PBCH on a sync raster.</w:t>
      </w:r>
    </w:p>
    <w:p w14:paraId="09E567F0" w14:textId="77777777" w:rsidR="00DF6C9E" w:rsidRDefault="00C74BCE">
      <w:pPr>
        <w:pStyle w:val="a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proofErr w:type="spellStart"/>
      <w:r>
        <w:rPr>
          <w:bCs/>
          <w:i/>
          <w:szCs w:val="20"/>
        </w:rPr>
        <w:t>ssb-SubcarrierOffset</w:t>
      </w:r>
      <w:proofErr w:type="spellEnd"/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>, for a SS/PBCH not on a sync raster,</w:t>
      </w:r>
    </w:p>
    <w:p w14:paraId="09E567F1" w14:textId="77777777" w:rsidR="00DF6C9E" w:rsidRDefault="00C74BCE">
      <w:pPr>
        <w:pStyle w:val="a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equal to integer multiple of 30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‘0’.</w:t>
      </w:r>
    </w:p>
    <w:p w14:paraId="09E567F2" w14:textId="77777777" w:rsidR="00DF6C9E" w:rsidRDefault="00C74BCE">
      <w:pPr>
        <w:pStyle w:val="a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Otherwise, 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not equal to integer multiple of 30 kHz but equal to integer multiple of 15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‘1’.</w:t>
      </w:r>
    </w:p>
    <w:p w14:paraId="09E567F3" w14:textId="77777777" w:rsidR="00DF6C9E" w:rsidRDefault="00C74BCE">
      <w:pPr>
        <w:pStyle w:val="a"/>
        <w:numPr>
          <w:ilvl w:val="0"/>
          <w:numId w:val="13"/>
        </w:numPr>
        <w:rPr>
          <w:bCs/>
          <w:szCs w:val="20"/>
        </w:rPr>
      </w:pPr>
      <w:r>
        <w:rPr>
          <w:bCs/>
          <w:szCs w:val="20"/>
        </w:rPr>
        <w:t xml:space="preserve">Alt 2. The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set to 0, and restrict the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of SSB on both sync raster and non-sync raster to be multiple of 30KHz away from the sync raster SSB</w:t>
      </w:r>
    </w:p>
    <w:bookmarkEnd w:id="0"/>
    <w:p w14:paraId="09E567F4" w14:textId="77777777" w:rsidR="00DF6C9E" w:rsidRDefault="00DF6C9E">
      <w:pPr>
        <w:rPr>
          <w:bCs/>
          <w:szCs w:val="20"/>
        </w:rPr>
      </w:pPr>
    </w:p>
    <w:p w14:paraId="09E567F5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1 TP for 38.211, 7.4.3.1----------------------------------</w:t>
      </w:r>
    </w:p>
    <w:p w14:paraId="09E567F6" w14:textId="77777777" w:rsidR="00DF6C9E" w:rsidRDefault="00C74BCE">
      <w:bookmarkStart w:id="1" w:name="_Toc26459752"/>
      <w:bookmarkStart w:id="2" w:name="_Toc36026676"/>
      <w:bookmarkStart w:id="3" w:name="_Toc29230417"/>
      <w:bookmarkStart w:id="4" w:name="_Toc19796526"/>
      <w:r>
        <w:t>7.4.3.1</w:t>
      </w:r>
      <w:r>
        <w:tab/>
        <w:t>Time-frequency structure of an SS/PBCH block</w:t>
      </w:r>
      <w:bookmarkEnd w:id="1"/>
      <w:bookmarkEnd w:id="2"/>
      <w:bookmarkEnd w:id="3"/>
      <w:bookmarkEnd w:id="4"/>
    </w:p>
    <w:p w14:paraId="09E567F7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09E567F8" w14:textId="77777777" w:rsidR="00DF6C9E" w:rsidRDefault="00C74BCE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69" w:dyaOrig="238" w14:anchorId="09E56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2pt" o:ole="">
            <v:imagedata r:id="rId14" o:title=""/>
          </v:shape>
          <o:OLEObject Type="Embed" ProgID="Equation.3" ShapeID="_x0000_i1025" DrawAspect="Content" ObjectID="_1649056425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8" w:dyaOrig="238" w14:anchorId="09E5683C">
          <v:shape id="_x0000_i1026" type="#_x0000_t75" style="width:6.8pt;height:12pt" o:ole="">
            <v:imagedata r:id="rId16" o:title=""/>
          </v:shape>
          <o:OLEObject Type="Embed" ProgID="Equation.3" ShapeID="_x0000_i1026" DrawAspect="Content" ObjectID="_1649056426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8" w14:anchorId="09E5683D">
          <v:shape id="_x0000_i1027" type="#_x0000_t75" style="width:7.85pt;height:9.4pt" o:ole="">
            <v:imagedata r:id="rId18" o:title=""/>
          </v:shape>
          <o:OLEObject Type="Embed" ProgID="Equation.3" ShapeID="_x0000_i1027" DrawAspect="Content" ObjectID="_1649056427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3E">
          <v:shape id="_x0000_i1028" type="#_x0000_t75" style="width:21.4pt;height:16.15pt" o:ole="">
            <v:imagedata r:id="rId20" o:title=""/>
          </v:shape>
          <o:OLEObject Type="Embed" ProgID="Equation.3" ShapeID="_x0000_i1028" DrawAspect="Content" ObjectID="_1649056428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lastRenderedPageBreak/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3F">
          <v:shape id="_x0000_i1029" type="#_x0000_t75" style="width:21.4pt;height:16.15pt" o:ole="">
            <v:imagedata r:id="rId20" o:title=""/>
          </v:shape>
          <o:OLEObject Type="Embed" ProgID="Equation.3" ShapeID="_x0000_i1029" DrawAspect="Content" ObjectID="_1649056429" r:id="rId22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0">
          <v:shape id="_x0000_i1030" type="#_x0000_t75" style="width:21.4pt;height:16.15pt" o:ole="">
            <v:imagedata r:id="rId20" o:title=""/>
          </v:shape>
          <o:OLEObject Type="Embed" ProgID="Equation.3" ShapeID="_x0000_i1030" DrawAspect="Content" ObjectID="_1649056430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</w:t>
      </w:r>
      <w:proofErr w:type="spellStart"/>
      <w:r>
        <w:rPr>
          <w:rFonts w:eastAsia="Malgun Gothic"/>
        </w:rPr>
        <w:t>ause</w:t>
      </w:r>
      <w:proofErr w:type="spellEnd"/>
      <w:r>
        <w:rPr>
          <w:rFonts w:eastAsia="Malgun Gothic"/>
        </w:rPr>
        <w:t xml:space="preserve"> 7.1.1 of [4, TS 38.212]. </w:t>
      </w:r>
      <w:ins w:id="5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set to 0 if the frequency offset between the lowest subcarrier of the SS/PBCH block and the lowest subcarrier of a SS/PBCH block located at the GSCN of </w:t>
        </w:r>
        <w:r>
          <w:t>a synchronization raster entry</w:t>
        </w:r>
        <w:r>
          <w:rPr>
            <w:lang w:val="en-US"/>
          </w:rPr>
          <w:t xml:space="preserve"> as </w:t>
        </w:r>
        <w:r>
          <w:t>defined in [X, TS 38.101</w:t>
        </w:r>
        <w:r>
          <w:rPr>
            <w:lang w:val="en-US"/>
          </w:rPr>
          <w:t>-1</w:t>
        </w:r>
        <w:r>
          <w:t xml:space="preserve">] is equal to 0 or integer multiple of 30 kHz, otherwise, </w:t>
        </w:r>
        <w:r>
          <w:rPr>
            <w:rFonts w:eastAsia="Malgun Gothic"/>
          </w:rPr>
          <w:t xml:space="preserve">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set to 1.</w:t>
        </w:r>
      </w:ins>
      <w:r>
        <w:rPr>
          <w:rFonts w:eastAsia="Malgun Gothic"/>
        </w:rPr>
        <w:t xml:space="preserve">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9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09E567FA" w14:textId="77777777" w:rsidR="00DF6C9E" w:rsidRDefault="00DF6C9E">
      <w:pPr>
        <w:rPr>
          <w:rFonts w:eastAsia="Malgun Gothic"/>
        </w:rPr>
      </w:pPr>
    </w:p>
    <w:p w14:paraId="09E567FB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09E567FC" w14:textId="77777777" w:rsidR="00DF6C9E" w:rsidRDefault="00C74BCE">
      <w:r>
        <w:t>7.4.3.1</w:t>
      </w:r>
      <w:r>
        <w:tab/>
        <w:t>Time-frequency structure of an SS/PBCH block</w:t>
      </w:r>
    </w:p>
    <w:p w14:paraId="09E567FD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09E567FE" w14:textId="77777777" w:rsidR="00DF6C9E" w:rsidRDefault="00C74BCE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71" w:dyaOrig="239" w14:anchorId="09E56841">
          <v:shape id="_x0000_i1031" type="#_x0000_t75" style="width:8.85pt;height:12pt" o:ole="">
            <v:imagedata r:id="rId14" o:title=""/>
          </v:shape>
          <o:OLEObject Type="Embed" ProgID="Equation.3" ShapeID="_x0000_i1031" DrawAspect="Content" ObjectID="_1649056431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43" w:dyaOrig="239" w14:anchorId="09E56842">
          <v:shape id="_x0000_i1032" type="#_x0000_t75" style="width:6.8pt;height:12pt" o:ole="">
            <v:imagedata r:id="rId16" o:title=""/>
          </v:shape>
          <o:OLEObject Type="Embed" ProgID="Equation.3" ShapeID="_x0000_i1032" DrawAspect="Content" ObjectID="_1649056432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57" w:dyaOrig="191" w14:anchorId="09E56843">
          <v:shape id="_x0000_i1033" type="#_x0000_t75" style="width:7.85pt;height:9.4pt" o:ole="">
            <v:imagedata r:id="rId18" o:title=""/>
          </v:shape>
          <o:OLEObject Type="Embed" ProgID="Equation.3" ShapeID="_x0000_i1033" DrawAspect="Content" ObjectID="_1649056433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44">
          <v:shape id="_x0000_i1034" type="#_x0000_t75" style="width:21.4pt;height:16.15pt" o:ole="">
            <v:imagedata r:id="rId20" o:title=""/>
          </v:shape>
          <o:OLEObject Type="Embed" ProgID="Equation.3" ShapeID="_x0000_i1034" DrawAspect="Content" ObjectID="_1649056434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45">
          <v:shape id="_x0000_i1035" type="#_x0000_t75" style="width:21.4pt;height:16.15pt" o:ole="">
            <v:imagedata r:id="rId20" o:title=""/>
          </v:shape>
          <o:OLEObject Type="Embed" ProgID="Equation.3" ShapeID="_x0000_i1035" DrawAspect="Content" ObjectID="_1649056435" r:id="rId28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6">
          <v:shape id="_x0000_i1036" type="#_x0000_t75" style="width:21.4pt;height:16.15pt" o:ole="">
            <v:imagedata r:id="rId20" o:title=""/>
          </v:shape>
          <o:OLEObject Type="Embed" ProgID="Equation.3" ShapeID="_x0000_i1036" DrawAspect="Content" ObjectID="_1649056436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6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0.</w:t>
        </w:r>
      </w:ins>
      <w:r>
        <w:rPr>
          <w:rFonts w:eastAsia="Malgun Gothic"/>
        </w:rPr>
        <w:t xml:space="preserve"> 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F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09E56800" w14:textId="77777777" w:rsidR="00DF6C9E" w:rsidRDefault="00DF6C9E">
      <w:pPr>
        <w:rPr>
          <w:rFonts w:eastAsia="Malgun Gothic"/>
        </w:rPr>
      </w:pPr>
    </w:p>
    <w:p w14:paraId="09E56801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afe"/>
        <w:tblW w:w="9362" w:type="dxa"/>
        <w:tblLayout w:type="fixed"/>
        <w:tblLook w:val="04A0" w:firstRow="1" w:lastRow="0" w:firstColumn="1" w:lastColumn="0" w:noHBand="0" w:noVBand="1"/>
      </w:tblPr>
      <w:tblGrid>
        <w:gridCol w:w="1795"/>
        <w:gridCol w:w="7567"/>
      </w:tblGrid>
      <w:tr w:rsidR="00DF6C9E" w14:paraId="09E56804" w14:textId="77777777">
        <w:tc>
          <w:tcPr>
            <w:tcW w:w="1795" w:type="dxa"/>
          </w:tcPr>
          <w:p w14:paraId="09E5680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09E56803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DF6C9E" w14:paraId="09E56809" w14:textId="77777777">
        <w:tc>
          <w:tcPr>
            <w:tcW w:w="1795" w:type="dxa"/>
          </w:tcPr>
          <w:p w14:paraId="09E56805" w14:textId="77777777" w:rsidR="00DF6C9E" w:rsidRDefault="00C74BCE">
            <w:pPr>
              <w:rPr>
                <w:rFonts w:eastAsia="Malgun Gothic"/>
              </w:rPr>
            </w:pPr>
            <w:bookmarkStart w:id="7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09E56806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We think that there is no need to restrict R15 SSB placement for </w:t>
            </w:r>
            <w:proofErr w:type="spellStart"/>
            <w:r>
              <w:rPr>
                <w:rFonts w:eastAsia="Malgun Gothic"/>
              </w:rPr>
              <w:t>Scell</w:t>
            </w:r>
            <w:proofErr w:type="spellEnd"/>
            <w:r>
              <w:rPr>
                <w:rFonts w:eastAsia="Malgun Gothic"/>
              </w:rPr>
              <w:t xml:space="preserve">. We prefer that restriction on 30kHz granularity applies only to </w:t>
            </w:r>
            <w:proofErr w:type="spellStart"/>
            <w:r>
              <w:rPr>
                <w:rFonts w:eastAsia="Malgun Gothic"/>
                <w:i/>
              </w:rPr>
              <w:t>ssb-SubcarrierOffset</w:t>
            </w:r>
            <w:proofErr w:type="spellEnd"/>
            <w:r>
              <w:rPr>
                <w:rFonts w:eastAsia="Malgun Gothic"/>
                <w:i/>
              </w:rPr>
              <w:t xml:space="preserve"> </w:t>
            </w:r>
            <w:r>
              <w:rPr>
                <w:rFonts w:eastAsia="Malgun Gothic"/>
              </w:rPr>
              <w:t>provided by MIB. This can be formulated as</w:t>
            </w:r>
          </w:p>
          <w:p w14:paraId="09E56807" w14:textId="77777777" w:rsidR="00DF6C9E" w:rsidRDefault="00C74BCE">
            <w:pPr>
              <w:rPr>
                <w:rFonts w:eastAsia="Malgun Gothic"/>
                <w:color w:val="FF0000"/>
                <w:u w:val="single"/>
              </w:rPr>
            </w:pPr>
            <w:r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  <w:u w:val="single"/>
              </w:rPr>
              <w:t xml:space="preserve">, provided by </w:t>
            </w:r>
            <w:proofErr w:type="spellStart"/>
            <w:r>
              <w:rPr>
                <w:rFonts w:eastAsia="Malgun Gothic"/>
                <w:i/>
                <w:iCs/>
                <w:color w:val="FF0000"/>
              </w:rPr>
              <w:t>ssb-SubcarrierOffset</w:t>
            </w:r>
            <w:proofErr w:type="spellEnd"/>
            <w:r>
              <w:rPr>
                <w:rFonts w:eastAsia="Malgun Gothic"/>
                <w:i/>
                <w:iCs/>
                <w:color w:val="FF0000"/>
              </w:rPr>
              <w:t xml:space="preserve">, </w:t>
            </w:r>
            <w:r>
              <w:rPr>
                <w:rFonts w:eastAsia="Malgun Gothic"/>
                <w:color w:val="FF0000"/>
                <w:u w:val="single"/>
              </w:rPr>
              <w:t>is set 0.</w:t>
            </w:r>
          </w:p>
          <w:p w14:paraId="09E56808" w14:textId="77777777" w:rsidR="00DF6C9E" w:rsidRDefault="00DF6C9E">
            <w:pPr>
              <w:rPr>
                <w:rFonts w:eastAsia="Malgun Gothic"/>
              </w:rPr>
            </w:pPr>
          </w:p>
        </w:tc>
      </w:tr>
      <w:bookmarkEnd w:id="7"/>
      <w:tr w:rsidR="00DF6C9E" w14:paraId="09E56810" w14:textId="77777777">
        <w:tc>
          <w:tcPr>
            <w:tcW w:w="1795" w:type="dxa"/>
          </w:tcPr>
          <w:p w14:paraId="09E5680A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09E5680B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</w:t>
            </w:r>
            <w:proofErr w:type="gramStart"/>
            <w:r>
              <w:rPr>
                <w:rFonts w:eastAsia="Malgun Gothic"/>
              </w:rPr>
              <w:t>First</w:t>
            </w:r>
            <w:proofErr w:type="gramEnd"/>
            <w:r>
              <w:rPr>
                <w:rFonts w:eastAsia="Malgun Gothic"/>
              </w:rPr>
              <w:t xml:space="preserve"> we agree with Nokia’s comment. Then, we have the following further clarification. </w:t>
            </w:r>
          </w:p>
          <w:p w14:paraId="09E5680C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0 to 23, and should not impact the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24 to 31 wherein those SSBs use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for other purpose instead of determining the subcarrier offset. Genetically setting LSB of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as 0 cannot make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from {25, 27, 29, 31}, but SSBs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as such value should not be impacted by indication of Q. Hence, the UE procedure for determining the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</w:t>
            </w:r>
            <w:proofErr w:type="spellStart"/>
            <w:r>
              <w:rPr>
                <w:rFonts w:eastAsia="Malgun Gothic"/>
                <w:i/>
              </w:rPr>
              <w:t>ssb-SubcarrierOffset</w:t>
            </w:r>
            <w:proofErr w:type="spellEnd"/>
            <w:r>
              <w:rPr>
                <w:rFonts w:eastAsia="Malgun Gothic"/>
              </w:rPr>
              <w:t xml:space="preserve">,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k_SSB as 0). </w:t>
            </w:r>
          </w:p>
          <w:p w14:paraId="09E5680D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To summarize, our revised proposal TP for Alt 2 is as follow. </w:t>
            </w:r>
          </w:p>
          <w:p w14:paraId="09E5680E" w14:textId="77777777" w:rsidR="00DF6C9E" w:rsidRDefault="00C74BCE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</w:t>
            </w:r>
            <w:r>
              <w:rPr>
                <w:rFonts w:eastAsia="Malgun Gothic"/>
                <w:color w:val="FF0000"/>
              </w:rPr>
              <w:lastRenderedPageBreak/>
              <w:t xml:space="preserve">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=2⋅floor(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>
              <w:rPr>
                <w:rFonts w:eastAsia="Malgun Gothic"/>
                <w:color w:val="FF0000"/>
              </w:rPr>
              <w:t>.</w:t>
            </w:r>
          </w:p>
          <w:p w14:paraId="09E5680F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1A" w14:textId="77777777">
        <w:tc>
          <w:tcPr>
            <w:tcW w:w="1795" w:type="dxa"/>
          </w:tcPr>
          <w:p w14:paraId="09E56811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lastRenderedPageBreak/>
              <w:t>LG Electronics</w:t>
            </w:r>
          </w:p>
        </w:tc>
        <w:tc>
          <w:tcPr>
            <w:tcW w:w="7567" w:type="dxa"/>
          </w:tcPr>
          <w:p w14:paraId="09E5681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Alt 1</w:t>
            </w:r>
            <w:r>
              <w:rPr>
                <w:rFonts w:eastAsia="Malgun Gothic"/>
              </w:rPr>
              <w:t>,</w:t>
            </w:r>
            <w:r>
              <w:rPr>
                <w:rFonts w:eastAsia="Malgun Gothic" w:hint="eastAsia"/>
              </w:rPr>
              <w:t xml:space="preserve"> with some modification.</w:t>
            </w:r>
          </w:p>
          <w:p w14:paraId="09E56813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</w:rPr>
              <w:t xml:space="preserve">Alt 1 takes advantage of supporting ANR functionality with full flexibility, since currently </w:t>
            </w:r>
            <w:proofErr w:type="spellStart"/>
            <w:r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is configured with </w:t>
            </w:r>
            <w:r>
              <w:rPr>
                <w:rFonts w:eastAsia="Malgun Gothic"/>
                <w:i/>
                <w:iCs/>
                <w:lang w:val="en-US"/>
              </w:rPr>
              <w:t>ARFCN-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ValueNR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having 15 kHz SCS granularity.</w:t>
            </w:r>
          </w:p>
          <w:p w14:paraId="09E56814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  <w:iCs/>
                <w:lang w:val="en-US"/>
              </w:rPr>
              <w:t xml:space="preserve">If we go with Alt 2, we need to restrict </w:t>
            </w:r>
            <w:proofErr w:type="spellStart"/>
            <w:r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to be configured only with 30 kHz SCS granularity, which can lead to additional impact on 38.331 specification.</w:t>
            </w:r>
          </w:p>
          <w:p w14:paraId="09E56815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Given that Q is indicated only when </w:t>
            </w:r>
            <w:proofErr w:type="spellStart"/>
            <w:r>
              <w:rPr>
                <w:rFonts w:eastAsia="Malgun Gothic"/>
                <w:lang w:val="en-US"/>
              </w:rPr>
              <w:t>k_SSB</w:t>
            </w:r>
            <w:proofErr w:type="spellEnd"/>
            <w:r>
              <w:rPr>
                <w:rFonts w:eastAsia="Malgun Gothic"/>
                <w:lang w:val="en-US"/>
              </w:rPr>
              <w:t xml:space="preserve"> is smaller than 24 as Samsung pointed out, we provide modified TP as follows:</w:t>
            </w:r>
          </w:p>
          <w:p w14:paraId="09E56816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bCs/>
                <w:szCs w:val="20"/>
              </w:rPr>
              <w:t xml:space="preserve">Alt 1.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 w:hint="eastAsia"/>
                <w:color w:val="FF0000"/>
              </w:rPr>
              <w:t xml:space="preserve"> is given by</w:t>
            </w:r>
          </w:p>
          <w:p w14:paraId="09E56817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eqArr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if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(D/1000)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mod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30=0</m:t>
                      </m:r>
                    </m:e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+1                   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otherwise</m:t>
                      </m:r>
                    </m:e>
                  </m:eqArr>
                </m:e>
              </m:d>
            </m:oMath>
          </w:p>
          <w:p w14:paraId="09E56818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rFonts w:eastAsia="Malgun Gothic"/>
                <w:color w:val="FF0000"/>
              </w:rPr>
              <w:t>w</w:t>
            </w:r>
            <w:r>
              <w:rPr>
                <w:rFonts w:eastAsia="Malgun Gothic" w:hint="eastAsia"/>
                <w:color w:val="FF0000"/>
              </w:rPr>
              <w:t xml:space="preserve">here </w:t>
            </w:r>
            <m:oMath>
              <m:r>
                <w:rPr>
                  <w:rFonts w:ascii="Cambria Math" w:eastAsia="Malgun Gothic" w:hAnsi="Cambria Math"/>
                  <w:color w:val="FF0000"/>
                </w:rPr>
                <m:t>D</m:t>
              </m:r>
            </m:oMath>
            <w:r>
              <w:rPr>
                <w:rFonts w:eastAsia="Malgun Gothic" w:hint="eastAsia"/>
                <w:color w:val="FF0000"/>
              </w:rPr>
              <w:t xml:space="preserve"> </w:t>
            </w:r>
            <w:r>
              <w:rPr>
                <w:rFonts w:eastAsia="Malgun Gothic"/>
                <w:color w:val="FF0000"/>
              </w:rPr>
              <w:t>is defined by the frequency distance between the lowest subcarrier of the SS/PBCH block and the lowest subcarrier of a SS/PBCH block located at the GSCN of a synchronization raster entry as defined in [X, TS 38.101-1].</w:t>
            </w:r>
          </w:p>
          <w:p w14:paraId="09E56819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24" w14:textId="77777777">
        <w:tc>
          <w:tcPr>
            <w:tcW w:w="1795" w:type="dxa"/>
          </w:tcPr>
          <w:p w14:paraId="09E5681B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Fujitsu</w:t>
            </w:r>
          </w:p>
        </w:tc>
        <w:tc>
          <w:tcPr>
            <w:tcW w:w="7567" w:type="dxa"/>
          </w:tcPr>
          <w:p w14:paraId="09E5681C" w14:textId="77777777" w:rsidR="00DF6C9E" w:rsidRDefault="00C74BCE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 2, with some modification.</w:t>
            </w:r>
          </w:p>
          <w:p w14:paraId="09E5681D" w14:textId="77777777" w:rsidR="00DF6C9E" w:rsidRDefault="00C74BCE">
            <w:pPr>
              <w:wordWrap/>
              <w:jc w:val="left"/>
            </w:pPr>
            <w:r>
              <w:rPr>
                <w:rFonts w:eastAsiaTheme="minorEastAsia"/>
                <w:lang w:eastAsia="zh-CN"/>
              </w:rPr>
              <w:t xml:space="preserve">Regarding 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we share the similar view with SS, and we are OK with the TP provided by SS.  We don’t see the necessity of the additional flexibility </w:t>
            </w:r>
            <w:r>
              <w:rPr>
                <w:bCs/>
                <w:szCs w:val="20"/>
              </w:rPr>
              <w:t xml:space="preserve">for an SSB not on a sync raster. Meanwhile, we also don’t see </w:t>
            </w:r>
            <w:r>
              <w:rPr>
                <w:rFonts w:eastAsiaTheme="minorEastAsia"/>
                <w:lang w:eastAsia="zh-CN"/>
              </w:rPr>
              <w:t xml:space="preserve">the necessity of changing measurement configuration with </w:t>
            </w:r>
            <w:proofErr w:type="spellStart"/>
            <w:r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>
              <w:rPr>
                <w:rFonts w:eastAsia="Malgun Gothic"/>
                <w:iCs/>
                <w:lang w:val="en-US"/>
              </w:rPr>
              <w:t xml:space="preserve"> in 38.331 if we adopt Alt 2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 xml:space="preserve">Indeed, Alt 2 would restrict position for SSB associated with RMSI but not on a sync raster. </w:t>
            </w:r>
            <w:proofErr w:type="spellStart"/>
            <w:r>
              <w:t>gNB</w:t>
            </w:r>
            <w:proofErr w:type="spellEnd"/>
            <w:r>
              <w:t xml:space="preserve"> should set proper position of SSB associated with RMSI. Following that, </w:t>
            </w:r>
            <w:r>
              <w:rPr>
                <w:rFonts w:eastAsia="Malgun Gothic"/>
                <w:lang w:val="en-US"/>
              </w:rPr>
              <w:t>for CGI report purpose,</w:t>
            </w:r>
            <w:r>
              <w:t xml:space="preserve"> </w:t>
            </w:r>
            <w:proofErr w:type="spellStart"/>
            <w:r>
              <w:t>gNB</w:t>
            </w:r>
            <w:proofErr w:type="spellEnd"/>
            <w:r>
              <w:t xml:space="preserve"> could set proper </w:t>
            </w:r>
            <w:proofErr w:type="spellStart"/>
            <w:r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. But that could be left to </w:t>
            </w:r>
            <w:proofErr w:type="spellStart"/>
            <w:r>
              <w:rPr>
                <w:rFonts w:eastAsia="Malgun Gothic"/>
                <w:lang w:val="en-US"/>
              </w:rPr>
              <w:t>gNB</w:t>
            </w:r>
            <w:proofErr w:type="spellEnd"/>
            <w:r>
              <w:rPr>
                <w:rFonts w:eastAsia="Malgun Gothic"/>
                <w:lang w:val="en-US"/>
              </w:rPr>
              <w:t xml:space="preserve"> implementation, not necessary to update </w:t>
            </w:r>
            <w:r>
              <w:rPr>
                <w:rFonts w:eastAsiaTheme="minorEastAsia"/>
                <w:lang w:eastAsia="zh-CN"/>
              </w:rPr>
              <w:t>38.331</w:t>
            </w:r>
            <w:r>
              <w:rPr>
                <w:rFonts w:eastAsia="Malgun Gothic"/>
                <w:lang w:val="en-US"/>
              </w:rPr>
              <w:t>.</w:t>
            </w:r>
          </w:p>
          <w:p w14:paraId="09E5681E" w14:textId="77777777" w:rsidR="00DF6C9E" w:rsidRDefault="00C74BCE">
            <w:pPr>
              <w:rPr>
                <w:rFonts w:eastAsia="Malgun Gothic"/>
                <w:lang w:val="en-US"/>
              </w:rPr>
            </w:pPr>
            <w:r>
              <w:rPr>
                <w:rFonts w:eastAsiaTheme="minorEastAsia"/>
                <w:lang w:eastAsia="zh-CN"/>
              </w:rPr>
              <w:t>Additionally, as also pointed out by SS and LG, Q is indicated only when SSB is associated with RMSI (i.e. when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&lt;24), that is, </w:t>
            </w:r>
            <w:proofErr w:type="spellStart"/>
            <w:r>
              <w:rPr>
                <w:i/>
                <w:iCs/>
              </w:rPr>
              <w:t>subCarrierSpacingCommon</w:t>
            </w:r>
            <w:proofErr w:type="spellEnd"/>
            <w:r>
              <w:rPr>
                <w:bCs/>
                <w:szCs w:val="20"/>
              </w:rPr>
              <w:t xml:space="preserve"> and LSB of </w:t>
            </w:r>
            <w:proofErr w:type="spellStart"/>
            <w:r>
              <w:rPr>
                <w:bCs/>
                <w:i/>
                <w:szCs w:val="20"/>
              </w:rPr>
              <w:t>ssb-SubcarrierOffset</w:t>
            </w:r>
            <w:proofErr w:type="spellEnd"/>
            <w:r>
              <w:rPr>
                <w:bCs/>
                <w:szCs w:val="20"/>
              </w:rPr>
              <w:t xml:space="preserve"> are used for determining Q by UE only 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&lt;24. </w:t>
            </w:r>
            <w:r>
              <w:rPr>
                <w:bCs/>
                <w:szCs w:val="20"/>
              </w:rPr>
              <w:t xml:space="preserve"> It would be better to clarify it. </w:t>
            </w:r>
            <w:proofErr w:type="gramStart"/>
            <w:r>
              <w:rPr>
                <w:bCs/>
                <w:szCs w:val="20"/>
              </w:rPr>
              <w:t>So</w:t>
            </w:r>
            <w:proofErr w:type="gramEnd"/>
            <w:r>
              <w:rPr>
                <w:bCs/>
                <w:szCs w:val="20"/>
              </w:rPr>
              <w:t xml:space="preserve"> on top of the TP on </w:t>
            </w:r>
            <w:r>
              <w:rPr>
                <w:rFonts w:eastAsiaTheme="minorEastAsia"/>
                <w:lang w:eastAsia="zh-CN"/>
              </w:rPr>
              <w:t xml:space="preserve">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r>
              <w:rPr>
                <w:rFonts w:eastAsia="Malgun Gothic"/>
                <w:lang w:val="en-US"/>
              </w:rPr>
              <w:t>we further provide a TP for determination of Q as follows:</w:t>
            </w:r>
          </w:p>
          <w:p w14:paraId="09E5681F" w14:textId="77777777" w:rsidR="00DF6C9E" w:rsidRDefault="00C74BCE">
            <w:r>
              <w:rPr>
                <w:rFonts w:eastAsia="Malgun Gothic"/>
                <w:lang w:val="en-US"/>
              </w:rPr>
              <w:t>------------------------------------</w:t>
            </w:r>
            <w:r>
              <w:t xml:space="preserve"> Text Proposal for 38.213, Section 4.1----------------------------</w:t>
            </w:r>
          </w:p>
          <w:p w14:paraId="09E56820" w14:textId="77777777" w:rsidR="00DF6C9E" w:rsidRDefault="00C74BCE">
            <w:pPr>
              <w:pStyle w:val="ab"/>
              <w:jc w:val="center"/>
            </w:pPr>
            <w:r>
              <w:t>*** Unchanged text omitted ***</w:t>
            </w:r>
          </w:p>
          <w:p w14:paraId="09E56821" w14:textId="77777777" w:rsidR="00DF6C9E" w:rsidRDefault="00C86277">
            <w:pPr>
              <w:ind w:left="720" w:hangingChars="300" w:hanging="720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SSB</m:t>
                  </m:r>
                </m:sub>
                <m:sup>
                  <m:r>
                    <w:rPr>
                      <w:rFonts w:ascii="Cambria Math"/>
                    </w:rPr>
                    <m:t>QCL</m:t>
                  </m:r>
                </m:sup>
              </m:sSubSup>
            </m:oMath>
            <w:r w:rsidR="00C74BCE">
              <w:t xml:space="preserve"> is either provided by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or, if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is not provided,</w:t>
            </w:r>
            <w:bookmarkStart w:id="8" w:name="OLE_LINK1"/>
            <w:r w:rsidR="00C74BCE">
              <w:rPr>
                <w:i/>
              </w:rPr>
              <w:t xml:space="preserve"> </w:t>
            </w:r>
            <w:r w:rsidR="00C74BCE">
              <w:t xml:space="preserve">obtained from a </w:t>
            </w:r>
            <w:r w:rsidR="00C74BCE">
              <w:rPr>
                <w:i/>
              </w:rPr>
              <w:t>MIB</w:t>
            </w:r>
            <w:r w:rsidR="00C74BCE">
              <w:t xml:space="preserve"> </w:t>
            </w:r>
            <w:r w:rsidR="00C74BCE">
              <w:rPr>
                <w:lang w:eastAsia="ja-JP"/>
              </w:rPr>
              <w:t>provided by a SS/PBCH block</w:t>
            </w:r>
            <w:r w:rsidR="00C74BCE">
              <w:t xml:space="preserve"> according to Table 4-1 </w:t>
            </w:r>
            <w:r w:rsidR="00C74BCE">
              <w:rPr>
                <w:color w:val="FF0000"/>
                <w:u w:val="singl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u w:val="single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u w:val="single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="00C74BCE">
              <w:rPr>
                <w:rFonts w:eastAsiaTheme="minorEastAsia"/>
                <w:color w:val="FF0000"/>
                <w:u w:val="single"/>
                <w:lang w:eastAsia="zh-CN"/>
              </w:rPr>
              <w:t>&lt;24 as defined in cl</w:t>
            </w:r>
            <w:proofErr w:type="spellStart"/>
            <w:r w:rsidR="00C74BCE">
              <w:rPr>
                <w:rFonts w:eastAsiaTheme="minorEastAsia"/>
                <w:color w:val="FF0000"/>
                <w:u w:val="single"/>
                <w:lang w:eastAsia="zh-CN"/>
              </w:rPr>
              <w:t>ause</w:t>
            </w:r>
            <w:proofErr w:type="spellEnd"/>
            <w:r w:rsidR="00C74BCE">
              <w:rPr>
                <w:rFonts w:eastAsiaTheme="minorEastAsia"/>
                <w:color w:val="FF0000"/>
                <w:u w:val="single"/>
                <w:lang w:eastAsia="zh-CN"/>
              </w:rPr>
              <w:t xml:space="preserve"> </w:t>
            </w:r>
            <w:r w:rsidR="00C74BCE">
              <w:rPr>
                <w:color w:val="FF0000"/>
                <w:u w:val="single"/>
                <w:lang w:eastAsia="en-US"/>
              </w:rPr>
              <w:t>7.4.3.1 of [4, 38.211]</w:t>
            </w:r>
            <w:r w:rsidR="00C74BCE">
              <w:rPr>
                <w:color w:val="FF0000"/>
                <w:u w:val="single"/>
              </w:rPr>
              <w:t>.</w:t>
            </w:r>
            <w:bookmarkEnd w:id="8"/>
          </w:p>
          <w:p w14:paraId="09E56822" w14:textId="77777777" w:rsidR="00DF6C9E" w:rsidRDefault="00C74BCE">
            <w:pPr>
              <w:pStyle w:val="ab"/>
              <w:jc w:val="center"/>
            </w:pPr>
            <w:r>
              <w:t>*** Unchanged text omitted ***</w:t>
            </w:r>
          </w:p>
          <w:p w14:paraId="09E56823" w14:textId="77777777" w:rsidR="00DF6C9E" w:rsidRDefault="00C74BCE">
            <w:pPr>
              <w:pStyle w:val="ab"/>
            </w:pPr>
            <w:r>
              <w:t>-------------------------------------- End Text Proposal --------------------------------------</w:t>
            </w:r>
          </w:p>
        </w:tc>
      </w:tr>
      <w:tr w:rsidR="00DF6C9E" w14:paraId="09E56827" w14:textId="77777777">
        <w:tc>
          <w:tcPr>
            <w:tcW w:w="1795" w:type="dxa"/>
          </w:tcPr>
          <w:p w14:paraId="09E56825" w14:textId="77777777" w:rsidR="00DF6C9E" w:rsidRDefault="00C74BC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567" w:type="dxa"/>
          </w:tcPr>
          <w:p w14:paraId="09E56826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 2. </w:t>
            </w:r>
          </w:p>
        </w:tc>
      </w:tr>
      <w:tr w:rsidR="00DF6C9E" w14:paraId="09E5682C" w14:textId="77777777">
        <w:tc>
          <w:tcPr>
            <w:tcW w:w="1795" w:type="dxa"/>
          </w:tcPr>
          <w:p w14:paraId="09E56828" w14:textId="77777777" w:rsidR="00DF6C9E" w:rsidRDefault="00C74BC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7567" w:type="dxa"/>
          </w:tcPr>
          <w:p w14:paraId="09E56829" w14:textId="77777777" w:rsidR="00DF6C9E" w:rsidRDefault="00C74BCE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We prefer Alt 2.</w:t>
            </w:r>
          </w:p>
          <w:p w14:paraId="09E5682A" w14:textId="77777777" w:rsidR="00DF6C9E" w:rsidRDefault="00C74BCE">
            <w:pPr>
              <w:rPr>
                <w:rFonts w:eastAsia="宋体"/>
                <w:bCs/>
                <w:szCs w:val="20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Compared to Alt 1, Alt 2 has less impact on spec, and only influences the non-sync SSB case that </w:t>
            </w:r>
            <w:r>
              <w:rPr>
                <w:bCs/>
                <w:szCs w:val="20"/>
              </w:rPr>
              <w:lastRenderedPageBreak/>
              <w:t xml:space="preserve">the distance between a sync raster and the </w:t>
            </w:r>
            <w:proofErr w:type="spellStart"/>
            <w:r>
              <w:rPr>
                <w:bCs/>
                <w:szCs w:val="20"/>
              </w:rPr>
              <w:t>center</w:t>
            </w:r>
            <w:proofErr w:type="spellEnd"/>
            <w:r>
              <w:rPr>
                <w:bCs/>
                <w:szCs w:val="20"/>
              </w:rPr>
              <w:t xml:space="preserve"> frequency of the SS/PBCH is not equal to integer multiple of 30 kHz but equal to integer multiple of 15 kHz</w:t>
            </w:r>
            <w:r>
              <w:rPr>
                <w:rFonts w:eastAsia="宋体" w:hint="eastAsia"/>
                <w:bCs/>
                <w:szCs w:val="20"/>
                <w:lang w:val="en-US" w:eastAsia="zh-CN"/>
              </w:rPr>
              <w:t>. From our understanding, we could avoid this case by implementation.</w:t>
            </w:r>
          </w:p>
          <w:p w14:paraId="09E5682B" w14:textId="77777777" w:rsidR="00DF6C9E" w:rsidRDefault="00DF6C9E">
            <w:pPr>
              <w:rPr>
                <w:rFonts w:eastAsia="宋体"/>
                <w:lang w:val="en-US" w:eastAsia="zh-CN"/>
              </w:rPr>
            </w:pPr>
          </w:p>
        </w:tc>
      </w:tr>
      <w:tr w:rsidR="00DF6C9E" w14:paraId="09E5682F" w14:textId="77777777">
        <w:tc>
          <w:tcPr>
            <w:tcW w:w="1795" w:type="dxa"/>
          </w:tcPr>
          <w:p w14:paraId="09E5682D" w14:textId="4E31C1B5" w:rsidR="00DF6C9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Ericsson</w:t>
            </w:r>
          </w:p>
        </w:tc>
        <w:tc>
          <w:tcPr>
            <w:tcW w:w="7567" w:type="dxa"/>
          </w:tcPr>
          <w:p w14:paraId="54A9BD58" w14:textId="77777777" w:rsidR="00C74BC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agree with Samsung’s TP</w:t>
            </w:r>
            <w:r w:rsidR="00C74BCE">
              <w:rPr>
                <w:rFonts w:eastAsia="Malgun Gothic"/>
              </w:rPr>
              <w:t xml:space="preserve"> for Alt-2</w:t>
            </w:r>
            <w:r>
              <w:rPr>
                <w:rFonts w:eastAsia="Malgun Gothic"/>
              </w:rPr>
              <w:t>.</w:t>
            </w:r>
          </w:p>
          <w:p w14:paraId="09E5682E" w14:textId="69E725ED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This TP </w:t>
            </w:r>
            <w:r w:rsidR="007A3C9E">
              <w:rPr>
                <w:rFonts w:eastAsia="Malgun Gothic"/>
              </w:rPr>
              <w:t xml:space="preserve">has the benefit of not restricting the SSB placement on an </w:t>
            </w:r>
            <w:proofErr w:type="spellStart"/>
            <w:r w:rsidR="007A3C9E">
              <w:rPr>
                <w:rFonts w:eastAsia="Malgun Gothic"/>
              </w:rPr>
              <w:t>SCell</w:t>
            </w:r>
            <w:proofErr w:type="spellEnd"/>
            <w:r>
              <w:rPr>
                <w:rFonts w:eastAsia="Malgun Gothic"/>
              </w:rPr>
              <w:t xml:space="preserve"> (agree with Nokia)</w:t>
            </w:r>
            <w:r w:rsidR="007A3C9E">
              <w:rPr>
                <w:rFonts w:eastAsia="Malgun Gothic"/>
              </w:rPr>
              <w:t xml:space="preserve">, as well as </w:t>
            </w:r>
            <w:r>
              <w:rPr>
                <w:rFonts w:eastAsia="Malgun Gothic"/>
              </w:rPr>
              <w:t>not</w:t>
            </w:r>
            <w:r w:rsidR="007A3C9E">
              <w:rPr>
                <w:rFonts w:eastAsia="Malgun Gothic"/>
              </w:rPr>
              <w:t xml:space="preserve"> modifying the </w:t>
            </w:r>
            <w:proofErr w:type="spellStart"/>
            <w:r w:rsidR="007A3C9E">
              <w:rPr>
                <w:rFonts w:eastAsia="Malgun Gothic"/>
              </w:rPr>
              <w:t>k_SSB</w:t>
            </w:r>
            <w:proofErr w:type="spellEnd"/>
            <w:r w:rsidR="007A3C9E">
              <w:rPr>
                <w:rFonts w:eastAsia="Malgun Gothic"/>
              </w:rPr>
              <w:t xml:space="preserve"> definition for the case when k </w:t>
            </w:r>
            <w:r>
              <w:rPr>
                <w:rFonts w:eastAsia="Malgun Gothic"/>
              </w:rPr>
              <w:t>&gt;=</w:t>
            </w:r>
            <w:r w:rsidR="007A3C9E">
              <w:rPr>
                <w:rFonts w:eastAsia="Malgun Gothic"/>
              </w:rPr>
              <w:t xml:space="preserve"> 24.</w:t>
            </w:r>
          </w:p>
        </w:tc>
      </w:tr>
      <w:tr w:rsidR="008C5398" w14:paraId="7E93AADD" w14:textId="77777777">
        <w:tc>
          <w:tcPr>
            <w:tcW w:w="1795" w:type="dxa"/>
          </w:tcPr>
          <w:p w14:paraId="100DC4E6" w14:textId="7E48EEAB" w:rsidR="008C5398" w:rsidRDefault="008C539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NTT DOCOMO</w:t>
            </w:r>
          </w:p>
        </w:tc>
        <w:tc>
          <w:tcPr>
            <w:tcW w:w="7567" w:type="dxa"/>
          </w:tcPr>
          <w:p w14:paraId="7B476FA9" w14:textId="4B58503A" w:rsidR="008C5398" w:rsidRPr="008C5398" w:rsidRDefault="008C539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We support Alt-2, and Samsung</w:t>
            </w:r>
            <w:r>
              <w:rPr>
                <w:rFonts w:eastAsia="MS Mincho"/>
                <w:lang w:eastAsia="ja-JP"/>
              </w:rPr>
              <w:t>’s TP.</w:t>
            </w:r>
          </w:p>
        </w:tc>
      </w:tr>
      <w:tr w:rsidR="004E0859" w14:paraId="38F85FCB" w14:textId="77777777">
        <w:tc>
          <w:tcPr>
            <w:tcW w:w="1795" w:type="dxa"/>
          </w:tcPr>
          <w:p w14:paraId="79AFE9E4" w14:textId="33176382" w:rsidR="004E0859" w:rsidRPr="004E0859" w:rsidRDefault="004E085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567" w:type="dxa"/>
          </w:tcPr>
          <w:p w14:paraId="6CACB714" w14:textId="21C8DE02" w:rsidR="004E0859" w:rsidRPr="004E0859" w:rsidRDefault="004E085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lt-2 for simplicity. </w:t>
            </w:r>
            <w:bookmarkStart w:id="9" w:name="_GoBack"/>
            <w:bookmarkEnd w:id="9"/>
          </w:p>
        </w:tc>
      </w:tr>
    </w:tbl>
    <w:p w14:paraId="09E56830" w14:textId="77777777" w:rsidR="00DF6C9E" w:rsidRDefault="00DF6C9E">
      <w:pPr>
        <w:rPr>
          <w:rFonts w:eastAsia="Malgun Gothic"/>
        </w:rPr>
      </w:pPr>
    </w:p>
    <w:p w14:paraId="09E56831" w14:textId="77777777" w:rsidR="00DF6C9E" w:rsidRDefault="00C74BCE">
      <w:pPr>
        <w:pStyle w:val="1"/>
      </w:pPr>
      <w:r>
        <w:t>References</w:t>
      </w:r>
    </w:p>
    <w:p w14:paraId="09E56832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[1]. R1-2001649, Remaining issues on initial access signals and </w:t>
      </w:r>
      <w:proofErr w:type="spellStart"/>
      <w:r>
        <w:rPr>
          <w:lang w:eastAsia="en-US"/>
        </w:rPr>
        <w:t>channles</w:t>
      </w:r>
      <w:proofErr w:type="spellEnd"/>
      <w:r>
        <w:rPr>
          <w:lang w:eastAsia="en-US"/>
        </w:rPr>
        <w:t>, vivo</w:t>
      </w:r>
    </w:p>
    <w:p w14:paraId="09E56833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[2]. R1-2001702, Remaining issues on the initial access signals for NR-U, ZTE, </w:t>
      </w:r>
      <w:proofErr w:type="spellStart"/>
      <w:r>
        <w:rPr>
          <w:lang w:eastAsia="en-US"/>
        </w:rPr>
        <w:t>Sanechips</w:t>
      </w:r>
      <w:proofErr w:type="spellEnd"/>
    </w:p>
    <w:p w14:paraId="09E56834" w14:textId="77777777" w:rsidR="00DF6C9E" w:rsidRDefault="00C74BCE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09E56835" w14:textId="77777777" w:rsidR="00DF6C9E" w:rsidRDefault="00C74BCE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09E56836" w14:textId="77777777" w:rsidR="00DF6C9E" w:rsidRDefault="00C74BCE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09E56837" w14:textId="77777777" w:rsidR="00DF6C9E" w:rsidRDefault="00C74BCE">
      <w:pPr>
        <w:rPr>
          <w:lang w:eastAsia="en-US"/>
        </w:rPr>
      </w:pPr>
      <w:r>
        <w:rPr>
          <w:lang w:eastAsia="en-US"/>
        </w:rPr>
        <w:t>[6]. R1-2002114, Initial access signals and channels for NR-U, Samsung</w:t>
      </w:r>
    </w:p>
    <w:p w14:paraId="09E56838" w14:textId="77777777" w:rsidR="00DF6C9E" w:rsidRDefault="00C74BCE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09E56839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[8]. R1-2002262, Remaining issues on initial access signals/channels, </w:t>
      </w:r>
      <w:proofErr w:type="spellStart"/>
      <w:r>
        <w:rPr>
          <w:lang w:eastAsia="en-US"/>
        </w:rPr>
        <w:t>Spreadtrum</w:t>
      </w:r>
      <w:proofErr w:type="spellEnd"/>
      <w:r>
        <w:rPr>
          <w:lang w:eastAsia="en-US"/>
        </w:rPr>
        <w:t xml:space="preserve"> Communications</w:t>
      </w:r>
    </w:p>
    <w:p w14:paraId="09E5683A" w14:textId="77777777" w:rsidR="00DF6C9E" w:rsidRDefault="00C74BCE">
      <w:pPr>
        <w:rPr>
          <w:lang w:eastAsia="en-US"/>
        </w:rPr>
      </w:pPr>
      <w:r>
        <w:rPr>
          <w:lang w:eastAsia="en-US"/>
        </w:rPr>
        <w:t xml:space="preserve">[9]. R1-2002575, </w:t>
      </w:r>
      <w:proofErr w:type="spellStart"/>
      <w:r>
        <w:rPr>
          <w:lang w:eastAsia="en-US"/>
        </w:rPr>
        <w:t>Maintainance</w:t>
      </w:r>
      <w:proofErr w:type="spellEnd"/>
      <w:r>
        <w:rPr>
          <w:lang w:eastAsia="en-US"/>
        </w:rPr>
        <w:t xml:space="preserve"> on the initial access signals and channels, Huawei, </w:t>
      </w:r>
      <w:proofErr w:type="spellStart"/>
      <w:r>
        <w:rPr>
          <w:lang w:eastAsia="en-US"/>
        </w:rPr>
        <w:t>HiSilicon</w:t>
      </w:r>
      <w:proofErr w:type="spellEnd"/>
    </w:p>
    <w:sectPr w:rsidR="00DF6C9E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56853" w14:textId="77777777" w:rsidR="002D106E" w:rsidRDefault="00C74BCE">
      <w:pPr>
        <w:spacing w:after="0" w:line="240" w:lineRule="auto"/>
      </w:pPr>
      <w:r>
        <w:separator/>
      </w:r>
    </w:p>
  </w:endnote>
  <w:endnote w:type="continuationSeparator" w:id="0">
    <w:p w14:paraId="09E56855" w14:textId="77777777" w:rsidR="002D106E" w:rsidRDefault="00C7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6847" w14:textId="77777777" w:rsidR="00DF6C9E" w:rsidRDefault="00C74BCE">
    <w:pPr>
      <w:pStyle w:val="af0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E56848" w14:textId="77777777" w:rsidR="00DF6C9E" w:rsidRDefault="00DF6C9E">
    <w:pPr>
      <w:pStyle w:val="af0"/>
    </w:pPr>
  </w:p>
  <w:p w14:paraId="09E56849" w14:textId="77777777" w:rsidR="00DF6C9E" w:rsidRDefault="00DF6C9E"/>
  <w:p w14:paraId="09E5684A" w14:textId="77777777" w:rsidR="00DF6C9E" w:rsidRDefault="00DF6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684B" w14:textId="10ECC049" w:rsidR="00DF6C9E" w:rsidRDefault="00C74BCE">
    <w:pPr>
      <w:pStyle w:val="af0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C5398">
      <w:rPr>
        <w:rStyle w:val="af9"/>
        <w:noProof/>
      </w:rPr>
      <w:t>4</w:t>
    </w:r>
    <w:r>
      <w:rPr>
        <w:rStyle w:val="af9"/>
      </w:rPr>
      <w:fldChar w:fldCharType="end"/>
    </w:r>
  </w:p>
  <w:p w14:paraId="09E5684C" w14:textId="77777777" w:rsidR="00DF6C9E" w:rsidRDefault="00DF6C9E">
    <w:pPr>
      <w:pStyle w:val="af0"/>
    </w:pPr>
  </w:p>
  <w:p w14:paraId="09E5684D" w14:textId="77777777" w:rsidR="00DF6C9E" w:rsidRDefault="00DF6C9E"/>
  <w:p w14:paraId="09E5684E" w14:textId="77777777" w:rsidR="00DF6C9E" w:rsidRDefault="00DF6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5684F" w14:textId="77777777" w:rsidR="002D106E" w:rsidRDefault="00C74BCE">
      <w:pPr>
        <w:spacing w:after="0" w:line="240" w:lineRule="auto"/>
      </w:pPr>
      <w:r>
        <w:separator/>
      </w:r>
    </w:p>
  </w:footnote>
  <w:footnote w:type="continuationSeparator" w:id="0">
    <w:p w14:paraId="09E56851" w14:textId="77777777" w:rsidR="002D106E" w:rsidRDefault="00C7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0" w15:restartNumberingAfterBreak="0">
    <w:nsid w:val="62A94002"/>
    <w:multiLevelType w:val="multilevel"/>
    <w:tmpl w:val="62A94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5F1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AB8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1A4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06E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59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A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2ED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3C9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398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CC2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ED4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BCE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3A62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2E4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29D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C9E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AAC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15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7A5294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7DF"/>
  <w15:docId w15:val="{6870EC3C-6B77-412C-9FF9-C85628E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1"/>
    <w:link w:val="a7"/>
    <w:qFormat/>
    <w:pPr>
      <w:jc w:val="left"/>
    </w:pPr>
  </w:style>
  <w:style w:type="paragraph" w:styleId="a8">
    <w:name w:val="caption"/>
    <w:basedOn w:val="a1"/>
    <w:next w:val="a1"/>
    <w:link w:val="a9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a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b">
    <w:name w:val="Body Text"/>
    <w:basedOn w:val="a1"/>
    <w:link w:val="ac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TOC3">
    <w:name w:val="toc 3"/>
    <w:basedOn w:val="a1"/>
    <w:next w:val="a1"/>
    <w:qFormat/>
    <w:pPr>
      <w:spacing w:after="100"/>
      <w:ind w:left="400"/>
    </w:pPr>
  </w:style>
  <w:style w:type="paragraph" w:styleId="ad">
    <w:name w:val="Plain Text"/>
    <w:basedOn w:val="a1"/>
    <w:link w:val="ae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a1"/>
    <w:next w:val="a1"/>
    <w:qFormat/>
    <w:pPr>
      <w:ind w:leftChars="1400" w:left="2975"/>
    </w:pPr>
  </w:style>
  <w:style w:type="paragraph" w:styleId="af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0">
    <w:name w:val="footer"/>
    <w:basedOn w:val="a1"/>
    <w:link w:val="af1"/>
    <w:qFormat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1"/>
    <w:link w:val="af3"/>
    <w:qFormat/>
    <w:pPr>
      <w:tabs>
        <w:tab w:val="center" w:pos="4252"/>
        <w:tab w:val="right" w:pos="8504"/>
      </w:tabs>
      <w:snapToGrid w:val="0"/>
    </w:pPr>
  </w:style>
  <w:style w:type="paragraph" w:styleId="af4">
    <w:name w:val="List"/>
    <w:basedOn w:val="a1"/>
    <w:qFormat/>
    <w:pPr>
      <w:ind w:left="360" w:hanging="360"/>
      <w:contextualSpacing/>
    </w:pPr>
  </w:style>
  <w:style w:type="paragraph" w:styleId="af5">
    <w:name w:val="footnote text"/>
    <w:basedOn w:val="a1"/>
    <w:link w:val="af6"/>
    <w:qFormat/>
    <w:pPr>
      <w:snapToGrid w:val="0"/>
      <w:jc w:val="left"/>
    </w:pPr>
    <w:rPr>
      <w:lang w:val="zh-CN" w:eastAsia="zh-CN"/>
    </w:rPr>
  </w:style>
  <w:style w:type="paragraph" w:styleId="af7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page number"/>
    <w:basedOn w:val="a2"/>
    <w:qFormat/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c">
    <w:name w:val="annotation reference"/>
    <w:qFormat/>
    <w:rPr>
      <w:sz w:val="18"/>
      <w:szCs w:val="18"/>
    </w:rPr>
  </w:style>
  <w:style w:type="character" w:styleId="afd">
    <w:name w:val="footnote reference"/>
    <w:qFormat/>
    <w:rPr>
      <w:vertAlign w:val="superscript"/>
    </w:rPr>
  </w:style>
  <w:style w:type="table" w:styleId="afe">
    <w:name w:val="Table Grid"/>
    <w:basedOn w:val="a3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9">
    <w:name w:val="题注 字符"/>
    <w:link w:val="a8"/>
    <w:uiPriority w:val="35"/>
    <w:qFormat/>
    <w:rPr>
      <w:b/>
      <w:lang w:val="en-GB" w:eastAsia="en-US" w:bidi="ar-SA"/>
    </w:rPr>
  </w:style>
  <w:style w:type="character" w:customStyle="1" w:styleId="ac">
    <w:name w:val="正文文本 字符"/>
    <w:link w:val="ab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宋体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宋体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f3">
    <w:name w:val="页眉 字符"/>
    <w:link w:val="af2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af6">
    <w:name w:val="脚注文本 字符"/>
    <w:link w:val="af5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basedOn w:val="a1"/>
    <w:link w:val="aff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e">
    <w:name w:val="纯文本 字符"/>
    <w:link w:val="ad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f0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f">
    <w:name w:val="列表段落 字符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标题 3 字符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1">
    <w:name w:val="页脚 字符"/>
    <w:link w:val="af0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4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7">
    <w:name w:val="批注文字 字符"/>
    <w:link w:val="a6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宋体" w:hAnsi="Arial"/>
      <w:snapToGrid/>
      <w:kern w:val="0"/>
      <w:szCs w:val="24"/>
      <w:lang w:eastAsia="en-US"/>
    </w:rPr>
  </w:style>
  <w:style w:type="paragraph" w:customStyle="1" w:styleId="Proposal">
    <w:name w:val="Proposal"/>
    <w:basedOn w:val="ab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B38-7B72-453D-861E-F9A44DF845C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BF08FB2-FAA9-4D2D-96EB-10A557223B6A}">
  <ds:schemaRefs/>
</ds:datastoreItem>
</file>

<file path=customXml/itemProps4.xml><?xml version="1.0" encoding="utf-8"?>
<ds:datastoreItem xmlns:ds="http://schemas.openxmlformats.org/officeDocument/2006/customXml" ds:itemID="{52441935-4644-45CB-848D-32FF5402770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5.xml><?xml version="1.0" encoding="utf-8"?>
<ds:datastoreItem xmlns:ds="http://schemas.openxmlformats.org/officeDocument/2006/customXml" ds:itemID="{A52DCE01-5C02-4A9A-A082-3F14FD8A0453}">
  <ds:schemaRefs/>
</ds:datastoreItem>
</file>

<file path=customXml/itemProps6.xml><?xml version="1.0" encoding="utf-8"?>
<ds:datastoreItem xmlns:ds="http://schemas.openxmlformats.org/officeDocument/2006/customXml" ds:itemID="{647796A5-FF0A-49FC-AF92-B871C3A06BF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37D647-F986-4C20-8669-F5684C8F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1754</Words>
  <Characters>10259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Gen Li (vivo)</cp:lastModifiedBy>
  <cp:revision>2</cp:revision>
  <cp:lastPrinted>2019-01-10T09:30:00Z</cp:lastPrinted>
  <dcterms:created xsi:type="dcterms:W3CDTF">2020-04-22T02:12:00Z</dcterms:created>
  <dcterms:modified xsi:type="dcterms:W3CDTF">2020-04-22T02:12:00Z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1587434463</vt:lpwstr>
  </property>
  <property fmtid="{D5CDD505-2E9C-101B-9397-08002B2CF9AE}" pid="13" name="_2015_ms_pID_725343">
    <vt:lpwstr>(3)W0MrCyweHYmTu0uLW7Lzceu4JSq6fmFpi4WY7pdDJ+/3ZceSpXf3pqP4+xit1aweUANdWHWn
Fsu21ytSyzOF3/gdEaUosx8X2RvD4M/ZMXpCl0ne8aPZ1wbjrpr25NGajBh2BORj3lIHK/6Z
4f5aV8zLmyNQIpD8x90Nor4DOodMYJ0fMYLDooXbkc1cqCvZag7m7gFRaJU2Lf0c/TkRnvF5
fX39dns8KnA+99XVEh</vt:lpwstr>
  </property>
  <property fmtid="{D5CDD505-2E9C-101B-9397-08002B2CF9AE}" pid="14" name="_2015_ms_pID_7253431">
    <vt:lpwstr>ADqHyspRw6G2C4GKHgCdquw6AD1j49ld6Cl60il8LPyTb4wCtnp2xG
FYpL6X+VqGFvEoIioGBQnWnX2ycw5z70HIoJx4FlZE3zeFQth0EbyWXoK5bLJ3vV5G3ZQHJ4
FUyeD4FDbZj9N5lgq6MZ6mBto/rbYQcdLPU4YCySN2KXgnCNI+WjjNapctlFrJHvMBHWzi6B
gyH3QLT66Mmhf68fNzRJnTbWUeI2wAefo5t4</vt:lpwstr>
  </property>
  <property fmtid="{D5CDD505-2E9C-101B-9397-08002B2CF9AE}" pid="15" name="_2015_ms_pID_7253432">
    <vt:lpwstr>JQ==</vt:lpwstr>
  </property>
</Properties>
</file>