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533AD65B" w:rsidR="00811268" w:rsidRPr="008A6859" w:rsidRDefault="00292728" w:rsidP="00811268">
      <w:pPr>
        <w:tabs>
          <w:tab w:val="center" w:pos="4536"/>
          <w:tab w:val="right" w:pos="8280"/>
          <w:tab w:val="right" w:pos="9639"/>
        </w:tabs>
        <w:ind w:right="2"/>
        <w:rPr>
          <w:rFonts w:ascii="Arial" w:hAnsi="Arial" w:cs="Arial"/>
          <w:b/>
          <w:bCs/>
          <w:sz w:val="28"/>
        </w:rPr>
      </w:pPr>
      <w:r w:rsidRPr="008A6859">
        <w:rPr>
          <w:rFonts w:ascii="Arial" w:hAnsi="Arial" w:cs="Arial"/>
          <w:b/>
          <w:bCs/>
          <w:sz w:val="28"/>
        </w:rPr>
        <w:t>3GPP TSG RAN WG1 #</w:t>
      </w:r>
      <w:r w:rsidRPr="008A6859">
        <w:rPr>
          <w:rFonts w:ascii="Arial" w:hAnsi="Arial" w:cs="Arial" w:hint="eastAsia"/>
          <w:b/>
          <w:bCs/>
          <w:sz w:val="28"/>
        </w:rPr>
        <w:t>100</w:t>
      </w:r>
      <w:r w:rsidR="008B10FC" w:rsidRPr="008A6859">
        <w:rPr>
          <w:rFonts w:ascii="Arial" w:hAnsi="Arial" w:cs="Arial"/>
          <w:b/>
          <w:bCs/>
          <w:sz w:val="28"/>
        </w:rPr>
        <w:t>bis</w:t>
      </w:r>
      <w:r w:rsidRPr="008A6859">
        <w:rPr>
          <w:rFonts w:ascii="Arial" w:hAnsi="Arial" w:cs="Arial" w:hint="eastAsia"/>
          <w:b/>
          <w:bCs/>
          <w:sz w:val="28"/>
        </w:rPr>
        <w:t>-e</w:t>
      </w:r>
      <w:r w:rsidR="00811268" w:rsidRPr="008A6859">
        <w:rPr>
          <w:rFonts w:ascii="Arial" w:hAnsi="Arial" w:cs="Arial"/>
          <w:b/>
          <w:bCs/>
          <w:sz w:val="28"/>
        </w:rPr>
        <w:tab/>
      </w:r>
      <w:r w:rsidR="00811268" w:rsidRPr="008A6859">
        <w:rPr>
          <w:rFonts w:ascii="Arial" w:hAnsi="Arial" w:cs="Arial"/>
          <w:b/>
          <w:bCs/>
          <w:sz w:val="28"/>
        </w:rPr>
        <w:tab/>
      </w:r>
      <w:r w:rsidR="00811268" w:rsidRPr="008A6859">
        <w:rPr>
          <w:rFonts w:ascii="Arial" w:hAnsi="Arial" w:cs="Arial"/>
          <w:b/>
          <w:bCs/>
          <w:sz w:val="28"/>
        </w:rPr>
        <w:tab/>
      </w:r>
      <w:r w:rsidR="00856953" w:rsidRPr="008A6859">
        <w:rPr>
          <w:rFonts w:ascii="Arial" w:hAnsi="Arial" w:cs="Arial"/>
          <w:b/>
          <w:bCs/>
          <w:sz w:val="28"/>
        </w:rPr>
        <w:t>R1-2002429</w:t>
      </w:r>
    </w:p>
    <w:p w14:paraId="0B31F29E" w14:textId="4A1B95EC" w:rsidR="008A34D9" w:rsidRPr="008A6859" w:rsidRDefault="00292728" w:rsidP="001640AD">
      <w:pPr>
        <w:pStyle w:val="a6"/>
        <w:ind w:left="1800" w:hanging="1800"/>
        <w:rPr>
          <w:rFonts w:cs="Arial"/>
          <w:bCs/>
          <w:noProof w:val="0"/>
          <w:sz w:val="28"/>
          <w:lang w:eastAsia="ja-JP"/>
        </w:rPr>
      </w:pPr>
      <w:r w:rsidRPr="008A6859">
        <w:rPr>
          <w:rFonts w:cs="Arial"/>
          <w:bCs/>
          <w:noProof w:val="0"/>
          <w:sz w:val="28"/>
          <w:lang w:eastAsia="ja-JP"/>
        </w:rPr>
        <w:t xml:space="preserve">e-Meeting, </w:t>
      </w:r>
      <w:r w:rsidR="00844FD7" w:rsidRPr="008A6859">
        <w:rPr>
          <w:rFonts w:cs="Arial"/>
          <w:bCs/>
          <w:noProof w:val="0"/>
          <w:sz w:val="28"/>
          <w:lang w:eastAsia="ja-JP"/>
        </w:rPr>
        <w:t>April</w:t>
      </w:r>
      <w:r w:rsidRPr="008A6859">
        <w:rPr>
          <w:rFonts w:cs="Arial"/>
          <w:bCs/>
          <w:noProof w:val="0"/>
          <w:sz w:val="28"/>
          <w:lang w:eastAsia="ja-JP"/>
        </w:rPr>
        <w:t xml:space="preserve"> 2</w:t>
      </w:r>
      <w:r w:rsidR="00844FD7" w:rsidRPr="008A6859">
        <w:rPr>
          <w:rFonts w:cs="Arial"/>
          <w:bCs/>
          <w:noProof w:val="0"/>
          <w:sz w:val="28"/>
          <w:lang w:eastAsia="ja-JP"/>
        </w:rPr>
        <w:t>0</w:t>
      </w:r>
      <w:r w:rsidRPr="008A6859">
        <w:rPr>
          <w:rFonts w:cs="Arial"/>
          <w:bCs/>
          <w:noProof w:val="0"/>
          <w:sz w:val="28"/>
          <w:lang w:eastAsia="ja-JP"/>
        </w:rPr>
        <w:t xml:space="preserve">th – </w:t>
      </w:r>
      <w:r w:rsidR="00844FD7" w:rsidRPr="008A6859">
        <w:rPr>
          <w:rFonts w:cs="Arial"/>
          <w:bCs/>
          <w:noProof w:val="0"/>
          <w:sz w:val="28"/>
          <w:lang w:eastAsia="ja-JP"/>
        </w:rPr>
        <w:t>30</w:t>
      </w:r>
      <w:r w:rsidRPr="008A6859">
        <w:rPr>
          <w:rFonts w:cs="Arial"/>
          <w:bCs/>
          <w:noProof w:val="0"/>
          <w:sz w:val="28"/>
          <w:lang w:eastAsia="ja-JP"/>
        </w:rPr>
        <w:t>th, 2020</w:t>
      </w:r>
    </w:p>
    <w:p w14:paraId="1F022CF3" w14:textId="77777777" w:rsidR="00292728" w:rsidRPr="008A6859" w:rsidRDefault="00292728" w:rsidP="001640AD">
      <w:pPr>
        <w:pStyle w:val="a6"/>
        <w:ind w:left="1800" w:hanging="1800"/>
        <w:rPr>
          <w:rFonts w:eastAsia="ＭＳ ゴシック"/>
          <w:noProof w:val="0"/>
          <w:sz w:val="24"/>
          <w:lang w:eastAsia="ja-JP"/>
        </w:rPr>
      </w:pPr>
    </w:p>
    <w:p w14:paraId="16354F5F" w14:textId="77777777" w:rsidR="001640AD" w:rsidRPr="008A6859" w:rsidRDefault="001640AD" w:rsidP="001640AD">
      <w:pPr>
        <w:pStyle w:val="a6"/>
        <w:ind w:left="1800" w:hanging="1800"/>
        <w:rPr>
          <w:rFonts w:eastAsia="ＭＳ ゴシック"/>
          <w:noProof w:val="0"/>
          <w:sz w:val="24"/>
          <w:lang w:eastAsia="ja-JP"/>
        </w:rPr>
      </w:pPr>
      <w:r w:rsidRPr="008A6859">
        <w:rPr>
          <w:rFonts w:eastAsia="ＭＳ ゴシック"/>
          <w:noProof w:val="0"/>
          <w:sz w:val="24"/>
        </w:rPr>
        <w:t>Source:</w:t>
      </w:r>
      <w:r w:rsidRPr="008A6859">
        <w:rPr>
          <w:rFonts w:eastAsia="ＭＳ ゴシック"/>
          <w:noProof w:val="0"/>
          <w:sz w:val="24"/>
        </w:rPr>
        <w:tab/>
        <w:t xml:space="preserve">NTT </w:t>
      </w:r>
      <w:r w:rsidRPr="008A6859">
        <w:rPr>
          <w:rFonts w:eastAsia="ＭＳ ゴシック" w:hint="eastAsia"/>
          <w:noProof w:val="0"/>
          <w:sz w:val="24"/>
        </w:rPr>
        <w:t>DOCOMO</w:t>
      </w:r>
      <w:r w:rsidRPr="008A6859">
        <w:rPr>
          <w:rFonts w:eastAsia="ＭＳ ゴシック" w:hint="eastAsia"/>
          <w:noProof w:val="0"/>
          <w:sz w:val="24"/>
          <w:lang w:eastAsia="ja-JP"/>
        </w:rPr>
        <w:t>, INC.</w:t>
      </w:r>
    </w:p>
    <w:p w14:paraId="1632BD4A" w14:textId="575D6498" w:rsidR="00900DAE" w:rsidRPr="008A6859" w:rsidRDefault="00D02352" w:rsidP="00D02352">
      <w:pPr>
        <w:pStyle w:val="a6"/>
        <w:ind w:left="1800" w:hanging="1800"/>
        <w:rPr>
          <w:sz w:val="24"/>
          <w:lang w:val="en-US" w:eastAsia="ja-JP"/>
        </w:rPr>
      </w:pPr>
      <w:r w:rsidRPr="008A6859">
        <w:rPr>
          <w:sz w:val="24"/>
          <w:lang w:val="en-US"/>
        </w:rPr>
        <w:t>Title:</w:t>
      </w:r>
      <w:r w:rsidR="00DB782C" w:rsidRPr="008A6859">
        <w:rPr>
          <w:sz w:val="24"/>
          <w:lang w:val="en-US"/>
        </w:rPr>
        <w:tab/>
      </w:r>
      <w:r w:rsidR="00856953" w:rsidRPr="008A6859">
        <w:rPr>
          <w:sz w:val="24"/>
          <w:lang w:val="en-US"/>
        </w:rPr>
        <w:t>Summary on UE features for additional enhancements for NB-IoT</w:t>
      </w:r>
    </w:p>
    <w:p w14:paraId="33948831" w14:textId="3AEF31D1" w:rsidR="00900DAE" w:rsidRPr="008A6859" w:rsidRDefault="00900DAE" w:rsidP="00D02352">
      <w:pPr>
        <w:pStyle w:val="a6"/>
        <w:tabs>
          <w:tab w:val="left" w:pos="1800"/>
        </w:tabs>
        <w:ind w:left="1800" w:hanging="1800"/>
        <w:rPr>
          <w:sz w:val="24"/>
          <w:lang w:val="en-US" w:eastAsia="ja-JP"/>
        </w:rPr>
      </w:pPr>
      <w:r w:rsidRPr="008A6859">
        <w:rPr>
          <w:sz w:val="24"/>
          <w:lang w:val="en-US"/>
        </w:rPr>
        <w:t>Agenda Item:</w:t>
      </w:r>
      <w:bookmarkStart w:id="0" w:name="Source"/>
      <w:bookmarkEnd w:id="0"/>
      <w:r w:rsidR="00D02352" w:rsidRPr="008A6859">
        <w:rPr>
          <w:sz w:val="24"/>
          <w:lang w:val="en-US"/>
        </w:rPr>
        <w:tab/>
      </w:r>
      <w:r w:rsidR="00856953" w:rsidRPr="008A6859">
        <w:rPr>
          <w:sz w:val="24"/>
          <w:lang w:val="en-US"/>
        </w:rPr>
        <w:t>6.2.5.2</w:t>
      </w:r>
    </w:p>
    <w:p w14:paraId="64397E24" w14:textId="77777777" w:rsidR="00900DAE" w:rsidRPr="008A6859" w:rsidRDefault="00900DAE" w:rsidP="00D02352">
      <w:pPr>
        <w:pBdr>
          <w:bottom w:val="single" w:sz="6" w:space="1" w:color="auto"/>
        </w:pBdr>
        <w:ind w:left="1800" w:hanging="1800"/>
        <w:rPr>
          <w:rFonts w:ascii="Arial" w:hAnsi="Arial"/>
          <w:b/>
          <w:lang w:val="en-US"/>
        </w:rPr>
      </w:pPr>
      <w:r w:rsidRPr="008A6859">
        <w:rPr>
          <w:rFonts w:ascii="Arial" w:hAnsi="Arial"/>
          <w:b/>
          <w:lang w:val="en-US"/>
        </w:rPr>
        <w:t>Document for:</w:t>
      </w:r>
      <w:bookmarkStart w:id="1" w:name="DocumentFor"/>
      <w:bookmarkEnd w:id="1"/>
      <w:r w:rsidR="00D02352" w:rsidRPr="008A6859">
        <w:rPr>
          <w:rFonts w:ascii="Arial" w:hAnsi="Arial"/>
          <w:b/>
          <w:lang w:val="en-US"/>
        </w:rPr>
        <w:t xml:space="preserve"> </w:t>
      </w:r>
      <w:r w:rsidR="00D02352" w:rsidRPr="008A6859">
        <w:rPr>
          <w:rFonts w:ascii="Arial" w:hAnsi="Arial"/>
          <w:b/>
          <w:lang w:val="en-US"/>
        </w:rPr>
        <w:tab/>
      </w:r>
      <w:r w:rsidRPr="008A6859">
        <w:rPr>
          <w:rFonts w:ascii="Arial" w:hAnsi="Arial"/>
          <w:b/>
          <w:lang w:val="en-US"/>
        </w:rPr>
        <w:t>Discussion and Decision</w:t>
      </w:r>
    </w:p>
    <w:p w14:paraId="0CA909B7" w14:textId="77777777" w:rsidR="001D2A61" w:rsidRPr="008A6859" w:rsidRDefault="001D2A61" w:rsidP="00FB28F5">
      <w:pPr>
        <w:pStyle w:val="1"/>
        <w:numPr>
          <w:ilvl w:val="0"/>
          <w:numId w:val="4"/>
        </w:numPr>
        <w:tabs>
          <w:tab w:val="num" w:pos="425"/>
        </w:tabs>
        <w:spacing w:before="180" w:after="120"/>
        <w:ind w:left="0" w:firstLine="0"/>
        <w:rPr>
          <w:rFonts w:eastAsia="ＭＳ 明朝"/>
          <w:b/>
          <w:bCs/>
          <w:szCs w:val="24"/>
          <w:lang w:val="en-US"/>
        </w:rPr>
      </w:pPr>
      <w:r w:rsidRPr="008A6859">
        <w:rPr>
          <w:rFonts w:eastAsia="ＭＳ 明朝" w:hint="eastAsia"/>
          <w:b/>
          <w:bCs/>
          <w:szCs w:val="24"/>
          <w:lang w:val="en-US"/>
        </w:rPr>
        <w:t>Introduction</w:t>
      </w:r>
    </w:p>
    <w:p w14:paraId="3D89A0F2" w14:textId="6E67924B" w:rsidR="00014E28" w:rsidRDefault="0036642F" w:rsidP="00956F10">
      <w:pPr>
        <w:spacing w:afterLines="50" w:after="120"/>
        <w:jc w:val="both"/>
        <w:rPr>
          <w:rFonts w:eastAsia="ＭＳ 明朝"/>
          <w:sz w:val="22"/>
          <w:szCs w:val="22"/>
          <w:lang w:val="en-US"/>
        </w:rPr>
      </w:pPr>
      <w:r>
        <w:rPr>
          <w:rFonts w:eastAsia="ＭＳ 明朝" w:hint="eastAsia"/>
          <w:sz w:val="22"/>
          <w:szCs w:val="22"/>
          <w:lang w:val="en-US"/>
        </w:rPr>
        <w:t>This contribution summarizes the discussions and proposals in AI</w:t>
      </w:r>
      <w:r>
        <w:rPr>
          <w:rFonts w:eastAsia="ＭＳ 明朝"/>
          <w:sz w:val="22"/>
          <w:szCs w:val="22"/>
          <w:lang w:val="en-US"/>
        </w:rPr>
        <w:t xml:space="preserve"> </w:t>
      </w:r>
      <w:r w:rsidR="00856953" w:rsidRPr="00856953">
        <w:rPr>
          <w:rFonts w:eastAsia="ＭＳ 明朝"/>
          <w:sz w:val="22"/>
          <w:szCs w:val="22"/>
          <w:lang w:val="en-US"/>
        </w:rPr>
        <w:t>6.2.5.2</w:t>
      </w:r>
      <w:r w:rsidR="00B04868">
        <w:rPr>
          <w:rFonts w:eastAsia="ＭＳ 明朝"/>
          <w:sz w:val="22"/>
          <w:szCs w:val="22"/>
          <w:lang w:val="en-US"/>
        </w:rPr>
        <w:t xml:space="preserve"> regarding UE features for </w:t>
      </w:r>
      <w:r w:rsidR="00856953" w:rsidRPr="00856953">
        <w:rPr>
          <w:rFonts w:eastAsia="ＭＳ 明朝"/>
          <w:sz w:val="22"/>
          <w:szCs w:val="22"/>
          <w:lang w:val="en-US"/>
        </w:rPr>
        <w:t>additional enhancements for NB-IoT</w:t>
      </w:r>
      <w:r w:rsidR="001012F3" w:rsidRPr="001012F3">
        <w:rPr>
          <w:rFonts w:eastAsia="ＭＳ 明朝" w:hint="eastAsia"/>
          <w:sz w:val="22"/>
          <w:szCs w:val="22"/>
          <w:lang w:val="en-US"/>
        </w:rPr>
        <w:t>.</w:t>
      </w:r>
      <w:r w:rsidR="00292728">
        <w:rPr>
          <w:rFonts w:eastAsia="ＭＳ 明朝"/>
          <w:sz w:val="22"/>
          <w:szCs w:val="22"/>
          <w:lang w:val="en-US"/>
        </w:rPr>
        <w:t xml:space="preserve"> </w:t>
      </w:r>
    </w:p>
    <w:p w14:paraId="101A121E" w14:textId="716CD819" w:rsidR="00B04868" w:rsidRDefault="00B04868" w:rsidP="00956F10">
      <w:pPr>
        <w:spacing w:afterLines="50" w:after="120"/>
        <w:jc w:val="both"/>
        <w:rPr>
          <w:rFonts w:eastAsia="ＭＳ 明朝"/>
          <w:sz w:val="22"/>
          <w:szCs w:val="22"/>
          <w:lang w:val="en-US"/>
        </w:rPr>
      </w:pPr>
      <w:r>
        <w:rPr>
          <w:rFonts w:eastAsia="ＭＳ 明朝" w:hint="eastAsia"/>
          <w:sz w:val="22"/>
          <w:szCs w:val="22"/>
          <w:lang w:val="en-US"/>
        </w:rPr>
        <w:t>I</w:t>
      </w:r>
      <w:r>
        <w:rPr>
          <w:rFonts w:eastAsia="ＭＳ 明朝"/>
          <w:sz w:val="22"/>
          <w:szCs w:val="22"/>
          <w:lang w:val="en-US"/>
        </w:rPr>
        <w:t xml:space="preserve">n </w:t>
      </w:r>
      <w:r w:rsidR="00856953" w:rsidRPr="00856953">
        <w:rPr>
          <w:rFonts w:eastAsia="ＭＳ 明朝"/>
          <w:sz w:val="22"/>
          <w:szCs w:val="22"/>
          <w:lang w:val="en-US"/>
        </w:rPr>
        <w:t>R1-2001485</w:t>
      </w:r>
      <w:r w:rsidR="00F8330C">
        <w:rPr>
          <w:rFonts w:eastAsia="ＭＳ 明朝"/>
          <w:sz w:val="22"/>
          <w:szCs w:val="22"/>
          <w:lang w:val="en-US"/>
        </w:rPr>
        <w:t xml:space="preserve"> [1]</w:t>
      </w:r>
      <w:r>
        <w:rPr>
          <w:rFonts w:eastAsia="ＭＳ 明朝"/>
          <w:sz w:val="22"/>
          <w:szCs w:val="22"/>
          <w:lang w:val="en-US"/>
        </w:rPr>
        <w:t xml:space="preserve"> which is the version after </w:t>
      </w:r>
      <w:r w:rsidRPr="00B04868">
        <w:rPr>
          <w:rFonts w:eastAsia="ＭＳ 明朝"/>
          <w:sz w:val="22"/>
          <w:szCs w:val="22"/>
          <w:lang w:val="en-US"/>
        </w:rPr>
        <w:t>[</w:t>
      </w:r>
      <w:r w:rsidR="00856953" w:rsidRPr="00856953">
        <w:rPr>
          <w:rFonts w:eastAsia="ＭＳ 明朝"/>
          <w:sz w:val="22"/>
          <w:szCs w:val="22"/>
          <w:lang w:val="en-US"/>
        </w:rPr>
        <w:t>100e-LTE-Rel-16-UEFeatures</w:t>
      </w:r>
      <w:r w:rsidRPr="00B04868">
        <w:rPr>
          <w:rFonts w:eastAsia="ＭＳ 明朝"/>
          <w:sz w:val="22"/>
          <w:szCs w:val="22"/>
          <w:lang w:val="en-US"/>
        </w:rPr>
        <w:t>]</w:t>
      </w:r>
      <w:r>
        <w:rPr>
          <w:rFonts w:eastAsia="ＭＳ 明朝"/>
          <w:sz w:val="22"/>
          <w:szCs w:val="22"/>
          <w:lang w:val="en-US"/>
        </w:rPr>
        <w:t xml:space="preserve"> email discussion, there are following feature groups for </w:t>
      </w:r>
      <w:r w:rsidR="00856953" w:rsidRPr="00856953">
        <w:rPr>
          <w:rFonts w:eastAsia="ＭＳ 明朝"/>
          <w:sz w:val="22"/>
          <w:szCs w:val="22"/>
          <w:lang w:val="en-US"/>
        </w:rPr>
        <w:t>additional enhancements for NB-IoT</w:t>
      </w:r>
      <w:r>
        <w:rPr>
          <w:rFonts w:eastAsia="ＭＳ 明朝"/>
          <w:sz w:val="22"/>
          <w:szCs w:val="22"/>
          <w:lang w:val="en-US"/>
        </w:rPr>
        <w:t>.</w:t>
      </w:r>
    </w:p>
    <w:p w14:paraId="5A96C548" w14:textId="7A86AA87" w:rsidR="00856953" w:rsidRPr="00856953" w:rsidRDefault="00856953" w:rsidP="00856953">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2-1</w:t>
      </w:r>
      <w:r w:rsidRPr="00856953">
        <w:rPr>
          <w:rFonts w:eastAsia="ＭＳ 明朝"/>
          <w:sz w:val="22"/>
          <w:szCs w:val="22"/>
          <w:lang w:val="en-US"/>
        </w:rPr>
        <w:tab/>
        <w:t>UE-group wake-up signal (Group WUS) with a wake-up time before the first associated PO (without group resource alternation)</w:t>
      </w:r>
    </w:p>
    <w:p w14:paraId="651B404F" w14:textId="77777777" w:rsidR="00856953" w:rsidRPr="00856953" w:rsidRDefault="00856953" w:rsidP="00856953">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[2-2]</w:t>
      </w:r>
      <w:r w:rsidRPr="00856953">
        <w:rPr>
          <w:rFonts w:eastAsia="ＭＳ 明朝"/>
          <w:sz w:val="22"/>
          <w:szCs w:val="22"/>
          <w:lang w:val="en-US"/>
        </w:rPr>
        <w:tab/>
        <w:t>UE-group WUS with a wake-up time before the first associated PO (with group resource alternation)</w:t>
      </w:r>
    </w:p>
    <w:p w14:paraId="254CCB33" w14:textId="7138F8DE" w:rsidR="00856953" w:rsidRPr="00856953" w:rsidRDefault="00856953" w:rsidP="00856953">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2-3</w:t>
      </w:r>
      <w:r w:rsidRPr="00856953">
        <w:rPr>
          <w:rFonts w:eastAsia="ＭＳ 明朝"/>
          <w:sz w:val="22"/>
          <w:szCs w:val="22"/>
          <w:lang w:val="en-US"/>
        </w:rPr>
        <w:tab/>
        <w:t>Transmission in preconfigured UL resources (PUR) (with potential UE-specific cyclic shift for DMRS)</w:t>
      </w:r>
    </w:p>
    <w:p w14:paraId="6B1ABFF3" w14:textId="79B96FAA" w:rsidR="00856953" w:rsidRPr="00856953" w:rsidRDefault="00856953" w:rsidP="00856953">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[2-4]</w:t>
      </w:r>
      <w:r w:rsidRPr="00856953">
        <w:rPr>
          <w:rFonts w:eastAsia="ＭＳ 明朝"/>
          <w:sz w:val="22"/>
          <w:szCs w:val="22"/>
          <w:lang w:val="en-US"/>
        </w:rPr>
        <w:tab/>
        <w:t>PUR with serving cell RSRP for TA validation</w:t>
      </w:r>
    </w:p>
    <w:p w14:paraId="274536B7" w14:textId="74BC20C1" w:rsidR="00856953" w:rsidRPr="00856953" w:rsidRDefault="00856953" w:rsidP="00856953">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2-5</w:t>
      </w:r>
      <w:r w:rsidRPr="00856953">
        <w:rPr>
          <w:rFonts w:eastAsia="ＭＳ 明朝"/>
          <w:sz w:val="22"/>
          <w:szCs w:val="22"/>
          <w:lang w:val="en-US"/>
        </w:rPr>
        <w:tab/>
        <w:t>PUR with L1 ACK</w:t>
      </w:r>
    </w:p>
    <w:p w14:paraId="27BC18D9" w14:textId="356BB48C" w:rsidR="00856953" w:rsidRPr="00856953" w:rsidRDefault="00856953" w:rsidP="00856953">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2-6</w:t>
      </w:r>
      <w:r w:rsidRPr="00856953">
        <w:rPr>
          <w:rFonts w:eastAsia="ＭＳ 明朝"/>
          <w:sz w:val="22"/>
          <w:szCs w:val="22"/>
          <w:lang w:val="en-US"/>
        </w:rPr>
        <w:tab/>
        <w:t>Multi-TB scheduling for unicast in DL with a single DCI</w:t>
      </w:r>
      <w:r>
        <w:rPr>
          <w:rFonts w:eastAsia="ＭＳ 明朝"/>
          <w:sz w:val="22"/>
          <w:szCs w:val="22"/>
          <w:lang w:val="en-US"/>
        </w:rPr>
        <w:t xml:space="preserve"> </w:t>
      </w:r>
      <w:r w:rsidRPr="00856953">
        <w:rPr>
          <w:rFonts w:eastAsia="ＭＳ 明朝"/>
          <w:sz w:val="22"/>
          <w:szCs w:val="22"/>
          <w:lang w:val="en-US"/>
        </w:rPr>
        <w:t>(Interleaved transmission)</w:t>
      </w:r>
    </w:p>
    <w:p w14:paraId="7611FE3E" w14:textId="77777777" w:rsidR="00856953" w:rsidRPr="00856953" w:rsidRDefault="00856953" w:rsidP="00856953">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2-7</w:t>
      </w:r>
      <w:r w:rsidRPr="00856953">
        <w:rPr>
          <w:rFonts w:eastAsia="ＭＳ 明朝"/>
          <w:sz w:val="22"/>
          <w:szCs w:val="22"/>
          <w:lang w:val="en-US"/>
        </w:rPr>
        <w:tab/>
        <w:t xml:space="preserve">Multi-TB scheduling for unicast in DL with a single DCI (Non-interleaved transmission) </w:t>
      </w:r>
    </w:p>
    <w:p w14:paraId="3D6E7D91" w14:textId="66CF6C8C" w:rsidR="00856953" w:rsidRPr="00856953" w:rsidRDefault="00856953" w:rsidP="00856953">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2-8</w:t>
      </w:r>
      <w:r w:rsidRPr="00856953">
        <w:rPr>
          <w:rFonts w:eastAsia="ＭＳ 明朝"/>
          <w:sz w:val="22"/>
          <w:szCs w:val="22"/>
          <w:lang w:val="en-US"/>
        </w:rPr>
        <w:tab/>
        <w:t>Multi-TB scheduling for unicast in UL with a single DCI</w:t>
      </w:r>
      <w:r>
        <w:rPr>
          <w:rFonts w:eastAsia="ＭＳ 明朝"/>
          <w:sz w:val="22"/>
          <w:szCs w:val="22"/>
          <w:lang w:val="en-US"/>
        </w:rPr>
        <w:t xml:space="preserve"> </w:t>
      </w:r>
      <w:r w:rsidRPr="00856953">
        <w:rPr>
          <w:rFonts w:eastAsia="ＭＳ 明朝"/>
          <w:sz w:val="22"/>
          <w:szCs w:val="22"/>
          <w:lang w:val="en-US"/>
        </w:rPr>
        <w:t>(Interleaved transmission)</w:t>
      </w:r>
    </w:p>
    <w:p w14:paraId="26E5C2D4" w14:textId="0AB556A5" w:rsidR="00856953" w:rsidRPr="00856953" w:rsidRDefault="00856953" w:rsidP="00856953">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2-9</w:t>
      </w:r>
      <w:r w:rsidRPr="00856953">
        <w:rPr>
          <w:rFonts w:eastAsia="ＭＳ 明朝"/>
          <w:sz w:val="22"/>
          <w:szCs w:val="22"/>
          <w:lang w:val="en-US"/>
        </w:rPr>
        <w:tab/>
        <w:t>Multi-TB scheduling for unicast in UL with a single DCI</w:t>
      </w:r>
      <w:r>
        <w:rPr>
          <w:rFonts w:eastAsia="ＭＳ 明朝"/>
          <w:sz w:val="22"/>
          <w:szCs w:val="22"/>
          <w:lang w:val="en-US"/>
        </w:rPr>
        <w:t xml:space="preserve"> </w:t>
      </w:r>
      <w:r w:rsidRPr="00856953">
        <w:rPr>
          <w:rFonts w:eastAsia="ＭＳ 明朝"/>
          <w:sz w:val="22"/>
          <w:szCs w:val="22"/>
          <w:lang w:val="en-US"/>
        </w:rPr>
        <w:t>(Non-interleaved transmission)</w:t>
      </w:r>
    </w:p>
    <w:p w14:paraId="00F24CB2" w14:textId="25726B17" w:rsidR="00856953" w:rsidRPr="00856953" w:rsidRDefault="00856953" w:rsidP="00856953">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2-10</w:t>
      </w:r>
      <w:r w:rsidRPr="00856953">
        <w:rPr>
          <w:rFonts w:eastAsia="ＭＳ 明朝"/>
          <w:sz w:val="22"/>
          <w:szCs w:val="22"/>
          <w:lang w:val="en-US"/>
        </w:rPr>
        <w:tab/>
        <w:t>Multi-TB scheduling for unicast in DL in a single DCI</w:t>
      </w:r>
      <w:r>
        <w:rPr>
          <w:rFonts w:eastAsia="ＭＳ 明朝"/>
          <w:sz w:val="22"/>
          <w:szCs w:val="22"/>
          <w:lang w:val="en-US"/>
        </w:rPr>
        <w:t xml:space="preserve"> </w:t>
      </w:r>
      <w:r w:rsidRPr="00856953">
        <w:rPr>
          <w:rFonts w:eastAsia="ＭＳ 明朝"/>
          <w:sz w:val="22"/>
          <w:szCs w:val="22"/>
          <w:lang w:val="en-US"/>
        </w:rPr>
        <w:t xml:space="preserve"> (HARQ bundling for HARQ-ACK feedback to interleaved transmission)</w:t>
      </w:r>
    </w:p>
    <w:p w14:paraId="6A74E895" w14:textId="77777777" w:rsidR="00856953" w:rsidRPr="00856953" w:rsidRDefault="00856953" w:rsidP="00856953">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2-11</w:t>
      </w:r>
      <w:r w:rsidRPr="00856953">
        <w:rPr>
          <w:rFonts w:eastAsia="ＭＳ 明朝"/>
          <w:sz w:val="22"/>
          <w:szCs w:val="22"/>
          <w:lang w:val="en-US"/>
        </w:rPr>
        <w:tab/>
        <w:t>Multi-TB scheduling for SC-MTCH</w:t>
      </w:r>
    </w:p>
    <w:p w14:paraId="2EE72F24" w14:textId="0593EA48" w:rsidR="00856953" w:rsidRPr="00856953" w:rsidRDefault="00856953" w:rsidP="00856953">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2-12</w:t>
      </w:r>
      <w:r w:rsidRPr="00856953">
        <w:rPr>
          <w:rFonts w:eastAsia="ＭＳ 明朝"/>
          <w:sz w:val="22"/>
          <w:szCs w:val="22"/>
          <w:lang w:val="en-US"/>
        </w:rPr>
        <w:tab/>
        <w:t>Resource reservation</w:t>
      </w:r>
    </w:p>
    <w:p w14:paraId="76084F97" w14:textId="77777777" w:rsidR="00856953" w:rsidRPr="00856953" w:rsidRDefault="00856953" w:rsidP="00856953">
      <w:pPr>
        <w:pStyle w:val="aff"/>
        <w:numPr>
          <w:ilvl w:val="1"/>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DL resource reservation with subframe-level, slot-level and symbol-level granularity of NB-IoT non-anchor carriers.</w:t>
      </w:r>
    </w:p>
    <w:p w14:paraId="37E25A0E" w14:textId="77777777" w:rsidR="00856953" w:rsidRPr="00856953" w:rsidRDefault="00856953" w:rsidP="00856953">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2-13</w:t>
      </w:r>
      <w:r w:rsidRPr="00856953">
        <w:rPr>
          <w:rFonts w:eastAsia="ＭＳ 明朝"/>
          <w:sz w:val="22"/>
          <w:szCs w:val="22"/>
          <w:lang w:val="en-US"/>
        </w:rPr>
        <w:tab/>
        <w:t>Resource reservation</w:t>
      </w:r>
    </w:p>
    <w:p w14:paraId="46CC96C6" w14:textId="77777777" w:rsidR="00856953" w:rsidRPr="00856953" w:rsidRDefault="00856953" w:rsidP="00856953">
      <w:pPr>
        <w:pStyle w:val="aff"/>
        <w:numPr>
          <w:ilvl w:val="1"/>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UL resource reservation with subframe-level, slot-level and symbol(s)-level granularity of NB-IoT non-anchor carriers.</w:t>
      </w:r>
    </w:p>
    <w:p w14:paraId="31C11202" w14:textId="77777777" w:rsidR="00856953" w:rsidRPr="00856953" w:rsidRDefault="00856953" w:rsidP="00856953">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2-14</w:t>
      </w:r>
      <w:r w:rsidRPr="00856953">
        <w:rPr>
          <w:rFonts w:eastAsia="ＭＳ 明朝"/>
          <w:sz w:val="22"/>
          <w:szCs w:val="22"/>
          <w:lang w:val="en-US"/>
        </w:rPr>
        <w:tab/>
        <w:t>Quality report in Msg3 for non-anchor access</w:t>
      </w:r>
    </w:p>
    <w:p w14:paraId="56DCA121" w14:textId="77777777" w:rsidR="00856953" w:rsidRPr="00856953" w:rsidRDefault="00856953" w:rsidP="00856953">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2-15</w:t>
      </w:r>
      <w:r w:rsidRPr="00856953">
        <w:rPr>
          <w:rFonts w:eastAsia="ＭＳ 明朝"/>
          <w:sz w:val="22"/>
          <w:szCs w:val="22"/>
          <w:lang w:val="en-US"/>
        </w:rPr>
        <w:tab/>
        <w:t>Quality report in connected mode</w:t>
      </w:r>
    </w:p>
    <w:p w14:paraId="7D71AC91" w14:textId="691E56FD" w:rsidR="00856953" w:rsidRPr="00B04868" w:rsidRDefault="00856953" w:rsidP="00856953">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2-16</w:t>
      </w:r>
      <w:r w:rsidRPr="00856953">
        <w:rPr>
          <w:rFonts w:eastAsia="ＭＳ 明朝"/>
          <w:sz w:val="22"/>
          <w:szCs w:val="22"/>
          <w:lang w:val="en-US"/>
        </w:rPr>
        <w:tab/>
        <w:t>NRS on a non-anchor carrier for paging</w:t>
      </w:r>
    </w:p>
    <w:p w14:paraId="1D30450D" w14:textId="77777777" w:rsidR="00B04868" w:rsidRDefault="00B04868" w:rsidP="00956F10">
      <w:pPr>
        <w:spacing w:afterLines="50" w:after="120"/>
        <w:jc w:val="both"/>
        <w:rPr>
          <w:rFonts w:eastAsia="ＭＳ 明朝"/>
          <w:sz w:val="22"/>
          <w:szCs w:val="22"/>
          <w:lang w:val="en-US"/>
        </w:rPr>
      </w:pPr>
    </w:p>
    <w:p w14:paraId="519F287E" w14:textId="154966C8" w:rsidR="00B04868" w:rsidRDefault="00F65A4E" w:rsidP="00956F10">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discussions summarized in S</w:t>
      </w:r>
      <w:r w:rsidRPr="008F303C">
        <w:rPr>
          <w:rFonts w:eastAsia="ＭＳ 明朝"/>
          <w:sz w:val="22"/>
          <w:szCs w:val="22"/>
          <w:lang w:val="en-US"/>
        </w:rPr>
        <w:t>ection 2-</w:t>
      </w:r>
      <w:r w:rsidR="008F303C" w:rsidRPr="008F303C">
        <w:rPr>
          <w:rFonts w:eastAsia="ＭＳ 明朝"/>
          <w:sz w:val="22"/>
          <w:szCs w:val="22"/>
          <w:lang w:val="en-US"/>
        </w:rPr>
        <w:t>9</w:t>
      </w:r>
      <w:r w:rsidRPr="008F303C">
        <w:rPr>
          <w:rFonts w:eastAsia="ＭＳ 明朝"/>
          <w:sz w:val="22"/>
          <w:szCs w:val="22"/>
          <w:lang w:val="en-US"/>
        </w:rPr>
        <w:t>, f</w:t>
      </w:r>
      <w:r w:rsidRPr="008F303C">
        <w:rPr>
          <w:sz w:val="22"/>
          <w:lang w:val="en-US"/>
        </w:rPr>
        <w:t>ollowing is the suggested list of issues to be discussed and priority order</w:t>
      </w:r>
      <w:r w:rsidR="00015246" w:rsidRPr="008F303C">
        <w:rPr>
          <w:sz w:val="22"/>
          <w:lang w:val="en-US"/>
        </w:rPr>
        <w:t xml:space="preserve"> considering RAN2 impact especially for c</w:t>
      </w:r>
      <w:r w:rsidR="00015246">
        <w:rPr>
          <w:sz w:val="22"/>
          <w:lang w:val="en-US"/>
        </w:rPr>
        <w:t>apability signaling design</w:t>
      </w:r>
      <w:r>
        <w:rPr>
          <w:sz w:val="22"/>
          <w:lang w:val="en-US"/>
        </w:rPr>
        <w:t>.</w:t>
      </w:r>
    </w:p>
    <w:p w14:paraId="028F3422" w14:textId="77777777" w:rsidR="00F65A4E" w:rsidRPr="00E15D6E" w:rsidRDefault="00F65A4E" w:rsidP="00F65A4E">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issues/proposals and priority</w:t>
      </w:r>
      <w:r w:rsidRPr="00E15D6E">
        <w:rPr>
          <w:rFonts w:hint="eastAsia"/>
          <w:b/>
          <w:sz w:val="22"/>
          <w:u w:val="single"/>
          <w:lang w:val="en-US"/>
        </w:rPr>
        <w:t>:</w:t>
      </w:r>
    </w:p>
    <w:p w14:paraId="041D0559" w14:textId="77777777" w:rsidR="003822AE" w:rsidRPr="008F303C" w:rsidRDefault="003822AE" w:rsidP="003822AE">
      <w:pPr>
        <w:pStyle w:val="aff"/>
        <w:numPr>
          <w:ilvl w:val="0"/>
          <w:numId w:val="9"/>
        </w:numPr>
        <w:spacing w:afterLines="50" w:after="120"/>
        <w:ind w:leftChars="0"/>
        <w:jc w:val="both"/>
        <w:rPr>
          <w:b/>
          <w:bCs/>
          <w:sz w:val="22"/>
          <w:lang w:val="en-US"/>
        </w:rPr>
      </w:pPr>
      <w:r w:rsidRPr="008F303C">
        <w:rPr>
          <w:b/>
          <w:bCs/>
          <w:sz w:val="22"/>
          <w:lang w:val="en-US"/>
        </w:rPr>
        <w:t>1st priority issues (such as a certain FG is necessary or not):</w:t>
      </w:r>
    </w:p>
    <w:p w14:paraId="2225490A" w14:textId="54D1ACD4" w:rsidR="008F303C" w:rsidRPr="008F303C" w:rsidRDefault="001712A7" w:rsidP="008F303C">
      <w:pPr>
        <w:pStyle w:val="aff"/>
        <w:numPr>
          <w:ilvl w:val="1"/>
          <w:numId w:val="9"/>
        </w:numPr>
        <w:spacing w:afterLines="50" w:after="120"/>
        <w:ind w:leftChars="0"/>
        <w:jc w:val="both"/>
        <w:rPr>
          <w:b/>
          <w:bCs/>
          <w:sz w:val="22"/>
          <w:lang w:val="en-US"/>
        </w:rPr>
      </w:pPr>
      <w:r>
        <w:rPr>
          <w:b/>
          <w:bCs/>
          <w:sz w:val="22"/>
          <w:lang w:val="en-US"/>
        </w:rPr>
        <w:lastRenderedPageBreak/>
        <w:t>[</w:t>
      </w:r>
      <w:r w:rsidR="008F303C" w:rsidRPr="008F303C">
        <w:rPr>
          <w:b/>
          <w:bCs/>
          <w:sz w:val="22"/>
          <w:lang w:val="en-US"/>
        </w:rPr>
        <w:t>2-2</w:t>
      </w:r>
      <w:r>
        <w:rPr>
          <w:b/>
          <w:bCs/>
          <w:sz w:val="22"/>
          <w:lang w:val="en-US"/>
        </w:rPr>
        <w:t>]</w:t>
      </w:r>
    </w:p>
    <w:p w14:paraId="50630524" w14:textId="77777777" w:rsidR="001712A7" w:rsidRDefault="001712A7" w:rsidP="001712A7">
      <w:pPr>
        <w:pStyle w:val="aff"/>
        <w:numPr>
          <w:ilvl w:val="2"/>
          <w:numId w:val="9"/>
        </w:numPr>
        <w:spacing w:afterLines="50" w:after="120"/>
        <w:ind w:leftChars="0"/>
        <w:jc w:val="both"/>
        <w:rPr>
          <w:b/>
          <w:bCs/>
          <w:sz w:val="22"/>
          <w:lang w:val="en-US"/>
        </w:rPr>
      </w:pPr>
      <w:r w:rsidRPr="004B53A9">
        <w:rPr>
          <w:b/>
          <w:bCs/>
          <w:sz w:val="22"/>
          <w:lang w:val="en-US"/>
        </w:rPr>
        <w:t>Whether FG</w:t>
      </w:r>
      <w:r>
        <w:rPr>
          <w:b/>
          <w:bCs/>
          <w:sz w:val="22"/>
          <w:lang w:val="en-US"/>
        </w:rPr>
        <w:t>2</w:t>
      </w:r>
      <w:r w:rsidRPr="004B53A9">
        <w:rPr>
          <w:b/>
          <w:bCs/>
          <w:sz w:val="22"/>
          <w:lang w:val="en-US"/>
        </w:rPr>
        <w:t>-2 is a separate FG</w:t>
      </w:r>
      <w:r>
        <w:rPr>
          <w:b/>
          <w:bCs/>
          <w:sz w:val="22"/>
          <w:lang w:val="en-US"/>
        </w:rPr>
        <w:t xml:space="preserve"> (i.e., remove bracket)</w:t>
      </w:r>
      <w:r w:rsidRPr="004B53A9">
        <w:rPr>
          <w:b/>
          <w:bCs/>
          <w:sz w:val="22"/>
          <w:lang w:val="en-US"/>
        </w:rPr>
        <w:t xml:space="preserve"> or </w:t>
      </w:r>
      <w:r>
        <w:rPr>
          <w:b/>
          <w:bCs/>
          <w:sz w:val="22"/>
          <w:lang w:val="en-US"/>
        </w:rPr>
        <w:t xml:space="preserve">FG2-2 is removed and added as </w:t>
      </w:r>
      <w:r w:rsidRPr="004B53A9">
        <w:rPr>
          <w:b/>
          <w:bCs/>
          <w:sz w:val="22"/>
          <w:lang w:val="en-US"/>
        </w:rPr>
        <w:t>a component in FG</w:t>
      </w:r>
      <w:r>
        <w:rPr>
          <w:b/>
          <w:bCs/>
          <w:sz w:val="22"/>
          <w:lang w:val="en-US"/>
        </w:rPr>
        <w:t>2</w:t>
      </w:r>
      <w:r w:rsidRPr="004B53A9">
        <w:rPr>
          <w:b/>
          <w:bCs/>
          <w:sz w:val="22"/>
          <w:lang w:val="en-US"/>
        </w:rPr>
        <w:t>-</w:t>
      </w:r>
      <w:r>
        <w:rPr>
          <w:b/>
          <w:bCs/>
          <w:sz w:val="22"/>
          <w:lang w:val="en-US"/>
        </w:rPr>
        <w:t>1</w:t>
      </w:r>
    </w:p>
    <w:p w14:paraId="01C91B16" w14:textId="77777777" w:rsidR="001712A7" w:rsidRPr="004B53A9" w:rsidRDefault="001712A7" w:rsidP="001712A7">
      <w:pPr>
        <w:pStyle w:val="aff"/>
        <w:numPr>
          <w:ilvl w:val="3"/>
          <w:numId w:val="9"/>
        </w:numPr>
        <w:spacing w:afterLines="50" w:after="120"/>
        <w:ind w:leftChars="0"/>
        <w:jc w:val="both"/>
        <w:rPr>
          <w:b/>
          <w:bCs/>
          <w:sz w:val="22"/>
          <w:lang w:val="en-US"/>
        </w:rPr>
      </w:pPr>
      <w:r>
        <w:rPr>
          <w:rFonts w:hint="eastAsia"/>
          <w:b/>
          <w:bCs/>
          <w:sz w:val="22"/>
          <w:lang w:val="en-US"/>
        </w:rPr>
        <w:t>W</w:t>
      </w:r>
      <w:r>
        <w:rPr>
          <w:b/>
          <w:bCs/>
          <w:sz w:val="22"/>
          <w:lang w:val="en-US"/>
        </w:rPr>
        <w:t>hether this issue should be discussed with [1-2] jointly or individually</w:t>
      </w:r>
    </w:p>
    <w:p w14:paraId="42B05859" w14:textId="77777777" w:rsidR="008F303C" w:rsidRPr="008F303C" w:rsidRDefault="008F303C" w:rsidP="008F303C">
      <w:pPr>
        <w:pStyle w:val="aff"/>
        <w:numPr>
          <w:ilvl w:val="1"/>
          <w:numId w:val="9"/>
        </w:numPr>
        <w:spacing w:afterLines="50" w:after="120"/>
        <w:ind w:leftChars="0"/>
        <w:jc w:val="both"/>
        <w:rPr>
          <w:b/>
          <w:bCs/>
          <w:sz w:val="22"/>
          <w:lang w:val="en-US"/>
        </w:rPr>
      </w:pPr>
      <w:r w:rsidRPr="008F303C">
        <w:rPr>
          <w:b/>
          <w:bCs/>
          <w:sz w:val="22"/>
          <w:lang w:val="en-US"/>
        </w:rPr>
        <w:t>2-4</w:t>
      </w:r>
    </w:p>
    <w:p w14:paraId="29F67294" w14:textId="77777777" w:rsidR="001712A7" w:rsidRPr="004B53A9" w:rsidRDefault="001712A7" w:rsidP="001712A7">
      <w:pPr>
        <w:pStyle w:val="aff"/>
        <w:numPr>
          <w:ilvl w:val="2"/>
          <w:numId w:val="9"/>
        </w:numPr>
        <w:spacing w:afterLines="50" w:after="120"/>
        <w:ind w:leftChars="0"/>
        <w:jc w:val="both"/>
        <w:rPr>
          <w:b/>
          <w:bCs/>
          <w:sz w:val="22"/>
          <w:lang w:val="en-US"/>
        </w:rPr>
      </w:pPr>
      <w:r w:rsidRPr="004B53A9">
        <w:rPr>
          <w:b/>
          <w:bCs/>
          <w:sz w:val="22"/>
          <w:lang w:val="en-US"/>
        </w:rPr>
        <w:t>Whether FG</w:t>
      </w:r>
      <w:r>
        <w:rPr>
          <w:b/>
          <w:bCs/>
          <w:sz w:val="22"/>
          <w:lang w:val="en-US"/>
        </w:rPr>
        <w:t>2</w:t>
      </w:r>
      <w:r w:rsidRPr="004B53A9">
        <w:rPr>
          <w:b/>
          <w:bCs/>
          <w:sz w:val="22"/>
          <w:lang w:val="en-US"/>
        </w:rPr>
        <w:t>-</w:t>
      </w:r>
      <w:r>
        <w:rPr>
          <w:b/>
          <w:bCs/>
          <w:sz w:val="22"/>
          <w:lang w:val="en-US"/>
        </w:rPr>
        <w:t>4</w:t>
      </w:r>
      <w:r w:rsidRPr="004B53A9">
        <w:rPr>
          <w:b/>
          <w:bCs/>
          <w:sz w:val="22"/>
          <w:lang w:val="en-US"/>
        </w:rPr>
        <w:t xml:space="preserve"> is a separate FG</w:t>
      </w:r>
      <w:r>
        <w:rPr>
          <w:b/>
          <w:bCs/>
          <w:sz w:val="22"/>
          <w:lang w:val="en-US"/>
        </w:rPr>
        <w:t xml:space="preserve"> (i.e., remove bracket)</w:t>
      </w:r>
      <w:r w:rsidRPr="004B53A9">
        <w:rPr>
          <w:b/>
          <w:bCs/>
          <w:sz w:val="22"/>
          <w:lang w:val="en-US"/>
        </w:rPr>
        <w:t xml:space="preserve"> or </w:t>
      </w:r>
      <w:r>
        <w:rPr>
          <w:b/>
          <w:bCs/>
          <w:sz w:val="22"/>
          <w:lang w:val="en-US"/>
        </w:rPr>
        <w:t xml:space="preserve">FG2-4 is removed and added as </w:t>
      </w:r>
      <w:r w:rsidRPr="004B53A9">
        <w:rPr>
          <w:b/>
          <w:bCs/>
          <w:sz w:val="22"/>
          <w:lang w:val="en-US"/>
        </w:rPr>
        <w:t>a component in FG</w:t>
      </w:r>
      <w:r>
        <w:rPr>
          <w:b/>
          <w:bCs/>
          <w:sz w:val="22"/>
          <w:lang w:val="en-US"/>
        </w:rPr>
        <w:t>2</w:t>
      </w:r>
      <w:r w:rsidRPr="004B53A9">
        <w:rPr>
          <w:b/>
          <w:bCs/>
          <w:sz w:val="22"/>
          <w:lang w:val="en-US"/>
        </w:rPr>
        <w:t>-</w:t>
      </w:r>
      <w:r>
        <w:rPr>
          <w:b/>
          <w:bCs/>
          <w:sz w:val="22"/>
          <w:lang w:val="en-US"/>
        </w:rPr>
        <w:t>3</w:t>
      </w:r>
    </w:p>
    <w:p w14:paraId="6E964FE2" w14:textId="77777777" w:rsidR="001712A7" w:rsidRPr="004B53A9" w:rsidRDefault="001712A7" w:rsidP="001712A7">
      <w:pPr>
        <w:pStyle w:val="aff"/>
        <w:numPr>
          <w:ilvl w:val="3"/>
          <w:numId w:val="9"/>
        </w:numPr>
        <w:spacing w:afterLines="50" w:after="120"/>
        <w:ind w:leftChars="0"/>
        <w:jc w:val="both"/>
        <w:rPr>
          <w:b/>
          <w:bCs/>
          <w:sz w:val="22"/>
          <w:lang w:val="en-US"/>
        </w:rPr>
      </w:pPr>
      <w:r>
        <w:rPr>
          <w:rFonts w:hint="eastAsia"/>
          <w:b/>
          <w:bCs/>
          <w:sz w:val="22"/>
          <w:lang w:val="en-US"/>
        </w:rPr>
        <w:t>W</w:t>
      </w:r>
      <w:r>
        <w:rPr>
          <w:b/>
          <w:bCs/>
          <w:sz w:val="22"/>
          <w:lang w:val="en-US"/>
        </w:rPr>
        <w:t>hether this issue should be discussed with [1-7] jointly or individually</w:t>
      </w:r>
    </w:p>
    <w:p w14:paraId="0E713726" w14:textId="77777777" w:rsidR="008F303C" w:rsidRPr="008F303C" w:rsidRDefault="008F303C" w:rsidP="008F303C">
      <w:pPr>
        <w:pStyle w:val="aff"/>
        <w:numPr>
          <w:ilvl w:val="1"/>
          <w:numId w:val="9"/>
        </w:numPr>
        <w:spacing w:afterLines="50" w:after="120"/>
        <w:ind w:leftChars="0"/>
        <w:jc w:val="both"/>
        <w:rPr>
          <w:b/>
          <w:bCs/>
          <w:sz w:val="22"/>
          <w:lang w:val="en-US"/>
        </w:rPr>
      </w:pPr>
      <w:r w:rsidRPr="008F303C">
        <w:rPr>
          <w:b/>
          <w:bCs/>
          <w:sz w:val="22"/>
          <w:lang w:val="en-US"/>
        </w:rPr>
        <w:t>2-5</w:t>
      </w:r>
    </w:p>
    <w:p w14:paraId="3E01A1D5" w14:textId="77777777" w:rsidR="001712A7" w:rsidRPr="004B53A9" w:rsidRDefault="001712A7" w:rsidP="001712A7">
      <w:pPr>
        <w:pStyle w:val="aff"/>
        <w:numPr>
          <w:ilvl w:val="2"/>
          <w:numId w:val="9"/>
        </w:numPr>
        <w:spacing w:afterLines="50" w:after="120"/>
        <w:ind w:leftChars="0"/>
        <w:jc w:val="both"/>
        <w:rPr>
          <w:b/>
          <w:bCs/>
          <w:sz w:val="22"/>
          <w:lang w:val="en-US"/>
        </w:rPr>
      </w:pPr>
      <w:r w:rsidRPr="004B53A9">
        <w:rPr>
          <w:b/>
          <w:bCs/>
          <w:sz w:val="22"/>
          <w:lang w:val="en-US"/>
        </w:rPr>
        <w:t>Whether FG</w:t>
      </w:r>
      <w:r>
        <w:rPr>
          <w:b/>
          <w:bCs/>
          <w:sz w:val="22"/>
          <w:lang w:val="en-US"/>
        </w:rPr>
        <w:t>2</w:t>
      </w:r>
      <w:r w:rsidRPr="004B53A9">
        <w:rPr>
          <w:b/>
          <w:bCs/>
          <w:sz w:val="22"/>
          <w:lang w:val="en-US"/>
        </w:rPr>
        <w:t>-</w:t>
      </w:r>
      <w:r>
        <w:rPr>
          <w:b/>
          <w:bCs/>
          <w:sz w:val="22"/>
          <w:lang w:val="en-US"/>
        </w:rPr>
        <w:t>5</w:t>
      </w:r>
      <w:r w:rsidRPr="004B53A9">
        <w:rPr>
          <w:b/>
          <w:bCs/>
          <w:sz w:val="22"/>
          <w:lang w:val="en-US"/>
        </w:rPr>
        <w:t xml:space="preserve"> is </w:t>
      </w:r>
      <w:r>
        <w:rPr>
          <w:b/>
          <w:bCs/>
          <w:sz w:val="22"/>
          <w:lang w:val="en-US"/>
        </w:rPr>
        <w:t xml:space="preserve">kept as </w:t>
      </w:r>
      <w:r w:rsidRPr="004B53A9">
        <w:rPr>
          <w:b/>
          <w:bCs/>
          <w:sz w:val="22"/>
          <w:lang w:val="en-US"/>
        </w:rPr>
        <w:t xml:space="preserve">a separate FG or </w:t>
      </w:r>
      <w:r>
        <w:rPr>
          <w:b/>
          <w:bCs/>
          <w:sz w:val="22"/>
          <w:lang w:val="en-US"/>
        </w:rPr>
        <w:t xml:space="preserve">FG2-5 is removed and added as </w:t>
      </w:r>
      <w:r w:rsidRPr="004B53A9">
        <w:rPr>
          <w:b/>
          <w:bCs/>
          <w:sz w:val="22"/>
          <w:lang w:val="en-US"/>
        </w:rPr>
        <w:t>a component in FG</w:t>
      </w:r>
      <w:r>
        <w:rPr>
          <w:b/>
          <w:bCs/>
          <w:sz w:val="22"/>
          <w:lang w:val="en-US"/>
        </w:rPr>
        <w:t>2</w:t>
      </w:r>
      <w:r w:rsidRPr="004B53A9">
        <w:rPr>
          <w:b/>
          <w:bCs/>
          <w:sz w:val="22"/>
          <w:lang w:val="en-US"/>
        </w:rPr>
        <w:t>-</w:t>
      </w:r>
      <w:r>
        <w:rPr>
          <w:b/>
          <w:bCs/>
          <w:sz w:val="22"/>
          <w:lang w:val="en-US"/>
        </w:rPr>
        <w:t>3</w:t>
      </w:r>
    </w:p>
    <w:p w14:paraId="2B8D25B3" w14:textId="77777777" w:rsidR="001712A7" w:rsidRDefault="001712A7" w:rsidP="001712A7">
      <w:pPr>
        <w:pStyle w:val="aff"/>
        <w:numPr>
          <w:ilvl w:val="3"/>
          <w:numId w:val="9"/>
        </w:numPr>
        <w:spacing w:afterLines="50" w:after="120"/>
        <w:ind w:leftChars="0"/>
        <w:jc w:val="both"/>
        <w:rPr>
          <w:b/>
          <w:bCs/>
          <w:sz w:val="22"/>
          <w:lang w:val="en-US"/>
        </w:rPr>
      </w:pPr>
      <w:r>
        <w:rPr>
          <w:rFonts w:hint="eastAsia"/>
          <w:b/>
          <w:bCs/>
          <w:sz w:val="22"/>
          <w:lang w:val="en-US"/>
        </w:rPr>
        <w:t>W</w:t>
      </w:r>
      <w:r>
        <w:rPr>
          <w:b/>
          <w:bCs/>
          <w:sz w:val="22"/>
          <w:lang w:val="en-US"/>
        </w:rPr>
        <w:t>hether this issue should be discussed with 1-9 jointly or individually</w:t>
      </w:r>
      <w:r w:rsidRPr="008F303C">
        <w:rPr>
          <w:b/>
          <w:bCs/>
          <w:sz w:val="22"/>
          <w:lang w:val="en-US"/>
        </w:rPr>
        <w:t xml:space="preserve"> </w:t>
      </w:r>
    </w:p>
    <w:p w14:paraId="4BA202F0" w14:textId="38623B63" w:rsidR="008F303C" w:rsidRPr="008F303C" w:rsidRDefault="008F303C" w:rsidP="001712A7">
      <w:pPr>
        <w:pStyle w:val="aff"/>
        <w:numPr>
          <w:ilvl w:val="1"/>
          <w:numId w:val="9"/>
        </w:numPr>
        <w:spacing w:afterLines="50" w:after="120"/>
        <w:ind w:leftChars="0"/>
        <w:jc w:val="both"/>
        <w:rPr>
          <w:b/>
          <w:bCs/>
          <w:sz w:val="22"/>
          <w:lang w:val="en-US"/>
        </w:rPr>
      </w:pPr>
      <w:r w:rsidRPr="008F303C">
        <w:rPr>
          <w:b/>
          <w:bCs/>
          <w:sz w:val="22"/>
          <w:lang w:val="en-US"/>
        </w:rPr>
        <w:t>2-12 and 2-13</w:t>
      </w:r>
    </w:p>
    <w:p w14:paraId="6056ADFB" w14:textId="77777777" w:rsidR="0036687B" w:rsidRPr="003D7EA7" w:rsidRDefault="0036687B" w:rsidP="0036687B">
      <w:pPr>
        <w:pStyle w:val="aff"/>
        <w:numPr>
          <w:ilvl w:val="2"/>
          <w:numId w:val="9"/>
        </w:numPr>
        <w:spacing w:afterLines="50" w:after="120"/>
        <w:ind w:leftChars="0"/>
        <w:jc w:val="both"/>
        <w:rPr>
          <w:b/>
          <w:bCs/>
          <w:sz w:val="22"/>
          <w:lang w:val="en-US"/>
        </w:rPr>
      </w:pPr>
      <w:r w:rsidRPr="00C871CB">
        <w:rPr>
          <w:b/>
          <w:bCs/>
          <w:sz w:val="22"/>
          <w:lang w:val="en-US"/>
        </w:rPr>
        <w:t xml:space="preserve">Whether </w:t>
      </w:r>
      <w:r>
        <w:rPr>
          <w:b/>
          <w:bCs/>
          <w:sz w:val="22"/>
          <w:lang w:val="en-US"/>
        </w:rPr>
        <w:t>or not to introduce</w:t>
      </w:r>
      <w:r w:rsidRPr="00C871CB">
        <w:rPr>
          <w:b/>
          <w:bCs/>
          <w:sz w:val="22"/>
          <w:lang w:val="en-US"/>
        </w:rPr>
        <w:t xml:space="preserve"> separate </w:t>
      </w:r>
      <w:r>
        <w:rPr>
          <w:b/>
          <w:bCs/>
          <w:sz w:val="22"/>
          <w:lang w:val="en-US"/>
        </w:rPr>
        <w:t>FG</w:t>
      </w:r>
      <w:r w:rsidRPr="00C871CB">
        <w:rPr>
          <w:b/>
          <w:bCs/>
          <w:sz w:val="22"/>
          <w:lang w:val="en-US"/>
        </w:rPr>
        <w:t xml:space="preserve">s for </w:t>
      </w:r>
      <w:r>
        <w:rPr>
          <w:b/>
          <w:bCs/>
          <w:sz w:val="22"/>
          <w:lang w:val="en-US"/>
        </w:rPr>
        <w:t>slot/symbol level resource reservation for FG2-12 and 2-13</w:t>
      </w:r>
    </w:p>
    <w:p w14:paraId="785D6FA4" w14:textId="77777777" w:rsidR="0036687B" w:rsidRPr="004B53A9" w:rsidRDefault="0036687B" w:rsidP="0036687B">
      <w:pPr>
        <w:pStyle w:val="aff"/>
        <w:numPr>
          <w:ilvl w:val="3"/>
          <w:numId w:val="9"/>
        </w:numPr>
        <w:spacing w:afterLines="50" w:after="120"/>
        <w:ind w:leftChars="0"/>
        <w:jc w:val="both"/>
        <w:rPr>
          <w:b/>
          <w:bCs/>
          <w:sz w:val="22"/>
          <w:lang w:val="en-US"/>
        </w:rPr>
      </w:pPr>
      <w:bookmarkStart w:id="2" w:name="_Hlk37873790"/>
      <w:r>
        <w:rPr>
          <w:rFonts w:hint="eastAsia"/>
          <w:b/>
          <w:bCs/>
          <w:sz w:val="22"/>
          <w:lang w:val="en-US"/>
        </w:rPr>
        <w:t>W</w:t>
      </w:r>
      <w:r>
        <w:rPr>
          <w:b/>
          <w:bCs/>
          <w:sz w:val="22"/>
          <w:lang w:val="en-US"/>
        </w:rPr>
        <w:t>hether this issue should be discussed with 1-23 to 1-26 jointly or individually</w:t>
      </w:r>
    </w:p>
    <w:bookmarkEnd w:id="2"/>
    <w:p w14:paraId="1889036C" w14:textId="77777777" w:rsidR="008F303C" w:rsidRPr="0036687B" w:rsidRDefault="008F303C" w:rsidP="008F303C">
      <w:pPr>
        <w:pStyle w:val="aff"/>
        <w:spacing w:afterLines="50" w:after="120"/>
        <w:ind w:leftChars="0" w:left="1260"/>
        <w:jc w:val="both"/>
        <w:rPr>
          <w:b/>
          <w:bCs/>
          <w:sz w:val="22"/>
          <w:lang w:val="en-US"/>
        </w:rPr>
      </w:pPr>
    </w:p>
    <w:p w14:paraId="68AD0BAB" w14:textId="2D5C8206" w:rsidR="003822AE" w:rsidRPr="008F303C" w:rsidRDefault="003822AE" w:rsidP="003822AE">
      <w:pPr>
        <w:pStyle w:val="aff"/>
        <w:numPr>
          <w:ilvl w:val="0"/>
          <w:numId w:val="9"/>
        </w:numPr>
        <w:spacing w:afterLines="50" w:after="120"/>
        <w:ind w:leftChars="0"/>
        <w:jc w:val="both"/>
        <w:rPr>
          <w:b/>
          <w:bCs/>
          <w:sz w:val="22"/>
          <w:lang w:val="en-US"/>
        </w:rPr>
      </w:pPr>
      <w:r w:rsidRPr="008F303C">
        <w:rPr>
          <w:b/>
          <w:bCs/>
          <w:sz w:val="22"/>
          <w:lang w:val="en-US"/>
        </w:rPr>
        <w:t>2nd priority issues (</w:t>
      </w:r>
      <w:r w:rsidR="0036687B">
        <w:rPr>
          <w:b/>
          <w:bCs/>
          <w:sz w:val="22"/>
          <w:lang w:val="en-US"/>
        </w:rPr>
        <w:t>that seem not have signaling impact and hence can be postponed</w:t>
      </w:r>
      <w:bookmarkStart w:id="3" w:name="_GoBack"/>
      <w:bookmarkEnd w:id="3"/>
      <w:r w:rsidRPr="008F303C">
        <w:rPr>
          <w:b/>
          <w:bCs/>
          <w:sz w:val="22"/>
          <w:lang w:val="en-US"/>
        </w:rPr>
        <w:t>):</w:t>
      </w:r>
    </w:p>
    <w:p w14:paraId="5F708BA7" w14:textId="543B9D91" w:rsidR="00B22AAB" w:rsidRPr="008F303C" w:rsidRDefault="00B22AAB" w:rsidP="00B22AAB">
      <w:pPr>
        <w:pStyle w:val="aff"/>
        <w:numPr>
          <w:ilvl w:val="1"/>
          <w:numId w:val="9"/>
        </w:numPr>
        <w:spacing w:afterLines="50" w:after="120"/>
        <w:ind w:leftChars="0"/>
        <w:jc w:val="both"/>
        <w:rPr>
          <w:b/>
          <w:bCs/>
          <w:sz w:val="22"/>
          <w:lang w:val="en-US"/>
        </w:rPr>
      </w:pPr>
      <w:r w:rsidRPr="008F303C">
        <w:rPr>
          <w:b/>
          <w:bCs/>
          <w:sz w:val="22"/>
          <w:lang w:val="en-US"/>
        </w:rPr>
        <w:t>2-3</w:t>
      </w:r>
    </w:p>
    <w:p w14:paraId="7BAA772E" w14:textId="77777777" w:rsidR="00B22AAB" w:rsidRPr="008F303C" w:rsidRDefault="00B22AAB" w:rsidP="00B22AAB">
      <w:pPr>
        <w:pStyle w:val="aff"/>
        <w:numPr>
          <w:ilvl w:val="2"/>
          <w:numId w:val="9"/>
        </w:numPr>
        <w:spacing w:afterLines="50" w:after="120"/>
        <w:ind w:leftChars="0"/>
        <w:jc w:val="both"/>
        <w:rPr>
          <w:b/>
          <w:bCs/>
          <w:sz w:val="22"/>
          <w:lang w:val="en-US"/>
        </w:rPr>
      </w:pPr>
      <w:r w:rsidRPr="008F303C">
        <w:rPr>
          <w:b/>
          <w:bCs/>
          <w:sz w:val="22"/>
          <w:lang w:val="en-US"/>
        </w:rPr>
        <w:t>Whether or not 'with potential UE-specific cyclic shift for DMRS' in the bracket of FG name is removed</w:t>
      </w:r>
    </w:p>
    <w:p w14:paraId="106DDB69" w14:textId="77777777" w:rsidR="00B22AAB" w:rsidRPr="008F303C" w:rsidRDefault="00B22AAB" w:rsidP="001712A7">
      <w:pPr>
        <w:pStyle w:val="aff"/>
        <w:numPr>
          <w:ilvl w:val="1"/>
          <w:numId w:val="9"/>
        </w:numPr>
        <w:spacing w:afterLines="50" w:after="120"/>
        <w:ind w:leftChars="0"/>
        <w:jc w:val="both"/>
        <w:rPr>
          <w:b/>
          <w:bCs/>
          <w:sz w:val="22"/>
          <w:lang w:val="en-US"/>
        </w:rPr>
      </w:pPr>
      <w:r w:rsidRPr="008F303C">
        <w:rPr>
          <w:b/>
          <w:bCs/>
          <w:sz w:val="22"/>
          <w:lang w:val="en-US"/>
        </w:rPr>
        <w:t>2-6 and 2-8</w:t>
      </w:r>
    </w:p>
    <w:p w14:paraId="23432109" w14:textId="08431449" w:rsidR="00B22AAB" w:rsidRPr="008F303C" w:rsidRDefault="00B22AAB" w:rsidP="00B22AAB">
      <w:pPr>
        <w:pStyle w:val="aff"/>
        <w:numPr>
          <w:ilvl w:val="2"/>
          <w:numId w:val="9"/>
        </w:numPr>
        <w:spacing w:afterLines="50" w:after="120"/>
        <w:ind w:leftChars="0"/>
        <w:jc w:val="both"/>
        <w:rPr>
          <w:b/>
          <w:bCs/>
          <w:sz w:val="22"/>
          <w:lang w:val="en-US"/>
        </w:rPr>
      </w:pPr>
      <w:r w:rsidRPr="008F303C">
        <w:rPr>
          <w:b/>
          <w:bCs/>
          <w:sz w:val="22"/>
          <w:lang w:val="en-US"/>
        </w:rPr>
        <w:t>Whether or not multi-TB unicast in DL(UL) with non-interleaved transmission is a prerequisite for the support of multi-TB unicast in DL(UL) with interleaved transmission</w:t>
      </w:r>
    </w:p>
    <w:p w14:paraId="4F75018B" w14:textId="28C1572C" w:rsidR="008F303C" w:rsidRPr="008F303C" w:rsidRDefault="008F303C" w:rsidP="008F303C">
      <w:pPr>
        <w:pStyle w:val="aff"/>
        <w:numPr>
          <w:ilvl w:val="1"/>
          <w:numId w:val="9"/>
        </w:numPr>
        <w:spacing w:afterLines="50" w:after="120"/>
        <w:ind w:leftChars="0"/>
        <w:jc w:val="both"/>
        <w:rPr>
          <w:b/>
          <w:bCs/>
          <w:sz w:val="22"/>
          <w:lang w:val="en-US"/>
        </w:rPr>
      </w:pPr>
      <w:r w:rsidRPr="008F303C">
        <w:rPr>
          <w:b/>
          <w:bCs/>
          <w:sz w:val="22"/>
          <w:lang w:val="en-US"/>
        </w:rPr>
        <w:t>2-11</w:t>
      </w:r>
    </w:p>
    <w:p w14:paraId="36CAC18F" w14:textId="77777777" w:rsidR="0036687B" w:rsidRPr="0036687B" w:rsidRDefault="0036687B" w:rsidP="0036687B">
      <w:pPr>
        <w:pStyle w:val="aff"/>
        <w:numPr>
          <w:ilvl w:val="2"/>
          <w:numId w:val="9"/>
        </w:numPr>
        <w:spacing w:afterLines="50" w:after="120"/>
        <w:ind w:leftChars="0"/>
        <w:jc w:val="both"/>
        <w:rPr>
          <w:lang w:val="en-US"/>
        </w:rPr>
      </w:pPr>
      <w:r w:rsidRPr="0036687B">
        <w:rPr>
          <w:b/>
          <w:bCs/>
          <w:sz w:val="22"/>
          <w:lang w:val="en-US"/>
        </w:rPr>
        <w:t>Whether or not to change FG name to "Multi-TB SC-MTCH with scheduling gap"</w:t>
      </w:r>
    </w:p>
    <w:p w14:paraId="67B670F4" w14:textId="501C9A27" w:rsidR="008F303C" w:rsidRPr="008F303C" w:rsidRDefault="008F303C" w:rsidP="008F303C">
      <w:pPr>
        <w:pStyle w:val="aff"/>
        <w:numPr>
          <w:ilvl w:val="1"/>
          <w:numId w:val="9"/>
        </w:numPr>
        <w:spacing w:afterLines="50" w:after="120"/>
        <w:ind w:leftChars="0"/>
        <w:jc w:val="both"/>
        <w:rPr>
          <w:b/>
          <w:bCs/>
          <w:sz w:val="22"/>
          <w:lang w:val="en-US"/>
        </w:rPr>
      </w:pPr>
      <w:r w:rsidRPr="008F303C">
        <w:rPr>
          <w:b/>
          <w:bCs/>
          <w:sz w:val="22"/>
          <w:lang w:val="en-US"/>
        </w:rPr>
        <w:t>2-14</w:t>
      </w:r>
    </w:p>
    <w:p w14:paraId="4670315E" w14:textId="77777777" w:rsidR="0036687B" w:rsidRPr="00200299" w:rsidRDefault="0036687B" w:rsidP="0036687B">
      <w:pPr>
        <w:pStyle w:val="aff"/>
        <w:numPr>
          <w:ilvl w:val="2"/>
          <w:numId w:val="9"/>
        </w:numPr>
        <w:ind w:leftChars="0"/>
        <w:rPr>
          <w:lang w:val="en-US"/>
        </w:rPr>
      </w:pPr>
      <w:r w:rsidRPr="00200299">
        <w:rPr>
          <w:b/>
          <w:bCs/>
          <w:sz w:val="22"/>
          <w:lang w:val="en-US"/>
        </w:rPr>
        <w:t xml:space="preserve">Regarding to ‘Mandatory/Optional’ column,  whether </w:t>
      </w:r>
      <w:r>
        <w:rPr>
          <w:b/>
          <w:bCs/>
          <w:sz w:val="22"/>
          <w:lang w:val="en-US"/>
        </w:rPr>
        <w:t xml:space="preserve">or not </w:t>
      </w:r>
      <w:r w:rsidRPr="00200299">
        <w:rPr>
          <w:b/>
          <w:bCs/>
          <w:sz w:val="22"/>
          <w:lang w:val="en-US"/>
        </w:rPr>
        <w:t xml:space="preserve">to change </w:t>
      </w:r>
      <w:r>
        <w:rPr>
          <w:b/>
          <w:bCs/>
          <w:sz w:val="22"/>
          <w:lang w:val="en-US"/>
        </w:rPr>
        <w:t>‘</w:t>
      </w:r>
      <w:r w:rsidRPr="00200299">
        <w:rPr>
          <w:b/>
          <w:bCs/>
          <w:sz w:val="22"/>
          <w:lang w:val="en-US"/>
        </w:rPr>
        <w:t>Optional without capability signa</w:t>
      </w:r>
      <w:r>
        <w:rPr>
          <w:b/>
          <w:bCs/>
          <w:sz w:val="22"/>
          <w:lang w:val="en-US"/>
        </w:rPr>
        <w:t>lling</w:t>
      </w:r>
      <w:r w:rsidRPr="00200299">
        <w:rPr>
          <w:b/>
          <w:bCs/>
          <w:sz w:val="22"/>
          <w:lang w:val="en-US"/>
        </w:rPr>
        <w:t>' to '</w:t>
      </w:r>
      <w:r>
        <w:rPr>
          <w:b/>
          <w:bCs/>
          <w:sz w:val="22"/>
          <w:lang w:val="en-US"/>
        </w:rPr>
        <w:t>Up to RAN2</w:t>
      </w:r>
      <w:r w:rsidRPr="00200299">
        <w:rPr>
          <w:b/>
          <w:bCs/>
          <w:sz w:val="22"/>
          <w:lang w:val="en-US"/>
        </w:rPr>
        <w:t>'</w:t>
      </w:r>
    </w:p>
    <w:p w14:paraId="2CB0F0E2" w14:textId="30C23423" w:rsidR="00166E72" w:rsidRPr="0036687B" w:rsidRDefault="00166E72" w:rsidP="00E15D6E">
      <w:pPr>
        <w:spacing w:afterLines="50" w:after="120"/>
        <w:jc w:val="both"/>
        <w:rPr>
          <w:sz w:val="22"/>
          <w:lang w:val="en-US"/>
        </w:rPr>
      </w:pPr>
    </w:p>
    <w:p w14:paraId="5BA9ABD9" w14:textId="77777777" w:rsidR="00FC02BB" w:rsidRDefault="00FC02BB" w:rsidP="00FC02BB">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afd"/>
        <w:tblW w:w="0" w:type="auto"/>
        <w:tblLook w:val="04A0" w:firstRow="1" w:lastRow="0" w:firstColumn="1" w:lastColumn="0" w:noHBand="0" w:noVBand="1"/>
      </w:tblPr>
      <w:tblGrid>
        <w:gridCol w:w="1980"/>
        <w:gridCol w:w="7982"/>
      </w:tblGrid>
      <w:tr w:rsidR="00FC02BB" w14:paraId="45423D10" w14:textId="77777777" w:rsidTr="001712A7">
        <w:tc>
          <w:tcPr>
            <w:tcW w:w="1980" w:type="dxa"/>
            <w:shd w:val="clear" w:color="auto" w:fill="F2F2F2" w:themeFill="background1" w:themeFillShade="F2"/>
          </w:tcPr>
          <w:p w14:paraId="17327EF3" w14:textId="77777777" w:rsidR="00FC02BB" w:rsidRDefault="00FC02BB" w:rsidP="001712A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73CDEF6" w14:textId="77777777" w:rsidR="00FC02BB" w:rsidRDefault="00FC02BB" w:rsidP="001712A7">
            <w:pPr>
              <w:spacing w:afterLines="50" w:after="120"/>
              <w:jc w:val="both"/>
              <w:rPr>
                <w:sz w:val="22"/>
                <w:lang w:val="en-US"/>
              </w:rPr>
            </w:pPr>
            <w:r>
              <w:rPr>
                <w:rFonts w:hint="eastAsia"/>
                <w:sz w:val="22"/>
                <w:lang w:val="en-US"/>
              </w:rPr>
              <w:t>C</w:t>
            </w:r>
            <w:r>
              <w:rPr>
                <w:sz w:val="22"/>
                <w:lang w:val="en-US"/>
              </w:rPr>
              <w:t>omment</w:t>
            </w:r>
          </w:p>
        </w:tc>
      </w:tr>
      <w:tr w:rsidR="00FC02BB" w14:paraId="51170EA6" w14:textId="77777777" w:rsidTr="001712A7">
        <w:tc>
          <w:tcPr>
            <w:tcW w:w="1980" w:type="dxa"/>
          </w:tcPr>
          <w:p w14:paraId="192D6369" w14:textId="77777777" w:rsidR="00FC02BB" w:rsidRDefault="00FC02BB" w:rsidP="001712A7">
            <w:pPr>
              <w:spacing w:afterLines="50" w:after="120"/>
              <w:jc w:val="both"/>
              <w:rPr>
                <w:sz w:val="22"/>
                <w:lang w:val="en-US"/>
              </w:rPr>
            </w:pPr>
          </w:p>
        </w:tc>
        <w:tc>
          <w:tcPr>
            <w:tcW w:w="7982" w:type="dxa"/>
          </w:tcPr>
          <w:p w14:paraId="7D4B6964" w14:textId="77777777" w:rsidR="00FC02BB" w:rsidRDefault="00FC02BB" w:rsidP="001712A7">
            <w:pPr>
              <w:spacing w:afterLines="50" w:after="120"/>
              <w:jc w:val="both"/>
              <w:rPr>
                <w:sz w:val="22"/>
                <w:lang w:val="en-US"/>
              </w:rPr>
            </w:pPr>
          </w:p>
        </w:tc>
      </w:tr>
      <w:tr w:rsidR="00FC02BB" w14:paraId="30129A33" w14:textId="77777777" w:rsidTr="001712A7">
        <w:tc>
          <w:tcPr>
            <w:tcW w:w="1980" w:type="dxa"/>
          </w:tcPr>
          <w:p w14:paraId="7C99D0BD" w14:textId="77777777" w:rsidR="00FC02BB" w:rsidRDefault="00FC02BB" w:rsidP="001712A7">
            <w:pPr>
              <w:spacing w:afterLines="50" w:after="120"/>
              <w:jc w:val="both"/>
              <w:rPr>
                <w:sz w:val="22"/>
                <w:lang w:val="en-US"/>
              </w:rPr>
            </w:pPr>
          </w:p>
        </w:tc>
        <w:tc>
          <w:tcPr>
            <w:tcW w:w="7982" w:type="dxa"/>
          </w:tcPr>
          <w:p w14:paraId="33E9EC14" w14:textId="77777777" w:rsidR="00FC02BB" w:rsidRDefault="00FC02BB" w:rsidP="001712A7">
            <w:pPr>
              <w:spacing w:afterLines="50" w:after="120"/>
              <w:jc w:val="both"/>
              <w:rPr>
                <w:sz w:val="22"/>
                <w:lang w:val="en-US"/>
              </w:rPr>
            </w:pPr>
          </w:p>
        </w:tc>
      </w:tr>
      <w:tr w:rsidR="00FC02BB" w14:paraId="548D8AEA" w14:textId="77777777" w:rsidTr="001712A7">
        <w:tc>
          <w:tcPr>
            <w:tcW w:w="1980" w:type="dxa"/>
          </w:tcPr>
          <w:p w14:paraId="54B275AF" w14:textId="77777777" w:rsidR="00FC02BB" w:rsidRDefault="00FC02BB" w:rsidP="001712A7">
            <w:pPr>
              <w:spacing w:afterLines="50" w:after="120"/>
              <w:jc w:val="both"/>
              <w:rPr>
                <w:sz w:val="22"/>
                <w:lang w:val="en-US"/>
              </w:rPr>
            </w:pPr>
          </w:p>
        </w:tc>
        <w:tc>
          <w:tcPr>
            <w:tcW w:w="7982" w:type="dxa"/>
          </w:tcPr>
          <w:p w14:paraId="5D59AEA3" w14:textId="77777777" w:rsidR="00FC02BB" w:rsidRDefault="00FC02BB" w:rsidP="001712A7">
            <w:pPr>
              <w:spacing w:afterLines="50" w:after="120"/>
              <w:jc w:val="both"/>
              <w:rPr>
                <w:sz w:val="22"/>
                <w:lang w:val="en-US"/>
              </w:rPr>
            </w:pPr>
          </w:p>
        </w:tc>
      </w:tr>
    </w:tbl>
    <w:p w14:paraId="55171BD5" w14:textId="77777777" w:rsidR="00FC02BB" w:rsidRPr="00C7491F" w:rsidRDefault="00FC02BB" w:rsidP="00FC02BB">
      <w:pPr>
        <w:spacing w:afterLines="50" w:after="120"/>
        <w:jc w:val="both"/>
        <w:rPr>
          <w:b/>
          <w:bCs/>
          <w:sz w:val="22"/>
          <w:lang w:val="en-US"/>
        </w:rPr>
      </w:pPr>
    </w:p>
    <w:p w14:paraId="0F4AC1F7" w14:textId="77777777" w:rsidR="00F8330C" w:rsidRDefault="00F8330C">
      <w:pPr>
        <w:rPr>
          <w:sz w:val="22"/>
          <w:lang w:val="en-US"/>
        </w:rPr>
        <w:sectPr w:rsidR="00F8330C" w:rsidSect="00A01954">
          <w:footerReference w:type="default" r:id="rId11"/>
          <w:pgSz w:w="12240" w:h="15840" w:code="1"/>
          <w:pgMar w:top="851" w:right="1134" w:bottom="567" w:left="1134" w:header="720" w:footer="720" w:gutter="0"/>
          <w:cols w:space="720"/>
          <w:docGrid w:linePitch="326"/>
        </w:sectPr>
      </w:pPr>
    </w:p>
    <w:p w14:paraId="1C82DA74" w14:textId="77777777" w:rsidR="00B22AAB" w:rsidRPr="00621DAE" w:rsidRDefault="00B22AAB" w:rsidP="00B22AAB">
      <w:pPr>
        <w:pStyle w:val="1"/>
        <w:numPr>
          <w:ilvl w:val="0"/>
          <w:numId w:val="4"/>
        </w:numPr>
        <w:spacing w:before="180" w:after="120"/>
        <w:rPr>
          <w:rFonts w:eastAsia="ＭＳ 明朝"/>
          <w:b/>
          <w:bCs/>
          <w:szCs w:val="24"/>
          <w:lang w:val="en-US"/>
        </w:rPr>
      </w:pPr>
      <w:r>
        <w:rPr>
          <w:rFonts w:eastAsia="ＭＳ 明朝"/>
          <w:b/>
          <w:bCs/>
          <w:szCs w:val="24"/>
          <w:lang w:val="en-US"/>
        </w:rPr>
        <w:lastRenderedPageBreak/>
        <w:t xml:space="preserve">[2-2]: </w:t>
      </w:r>
      <w:r w:rsidRPr="00200299">
        <w:rPr>
          <w:rFonts w:eastAsia="ＭＳ 明朝"/>
          <w:b/>
          <w:bCs/>
          <w:szCs w:val="24"/>
          <w:lang w:val="en-US"/>
        </w:rPr>
        <w:t>UE-group WUS with group resource alternation</w:t>
      </w:r>
    </w:p>
    <w:p w14:paraId="630351E1" w14:textId="77777777" w:rsidR="00B22AAB" w:rsidRDefault="00B22AAB" w:rsidP="00B22AAB">
      <w:pPr>
        <w:rPr>
          <w:lang w:val="en-US"/>
        </w:rPr>
      </w:pPr>
      <w:r w:rsidRPr="00890250">
        <w:rPr>
          <w:lang w:val="en-US"/>
        </w:rPr>
        <w:t>In [1], FG</w:t>
      </w:r>
      <w:r>
        <w:rPr>
          <w:lang w:val="en-US"/>
        </w:rPr>
        <w:t>2-2</w:t>
      </w:r>
      <w:r w:rsidRPr="00890250">
        <w:rPr>
          <w:lang w:val="en-US"/>
        </w:rPr>
        <w:t xml:space="preserve"> is captured as below.</w:t>
      </w:r>
    </w:p>
    <w:p w14:paraId="1169185B" w14:textId="77777777" w:rsidR="00B22AAB" w:rsidRDefault="00B22AAB" w:rsidP="00B22AAB">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B22AAB" w:rsidRPr="00890250" w14:paraId="68AC8391" w14:textId="77777777" w:rsidTr="001712A7">
        <w:tc>
          <w:tcPr>
            <w:tcW w:w="1838" w:type="dxa"/>
            <w:shd w:val="clear" w:color="auto" w:fill="auto"/>
          </w:tcPr>
          <w:p w14:paraId="07D818F4"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841FD78"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66A59A3E"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7A1B1875"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7C863BD5"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44B259FB"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932D8EA"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EB83D9B"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D2050C7"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hint="eastAsia"/>
                <w:b/>
                <w:sz w:val="18"/>
              </w:rPr>
              <w:t>Type</w:t>
            </w:r>
          </w:p>
          <w:p w14:paraId="5BC7CAAB"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1AB6DD03"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74497C3A"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422FA97E"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39861A52"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B22AAB" w:rsidRPr="00890250" w14:paraId="4D440FF8" w14:textId="77777777" w:rsidTr="001712A7">
        <w:tc>
          <w:tcPr>
            <w:tcW w:w="1838" w:type="dxa"/>
            <w:shd w:val="clear" w:color="auto" w:fill="auto"/>
          </w:tcPr>
          <w:p w14:paraId="3D405254" w14:textId="77777777" w:rsidR="00B22AAB" w:rsidRPr="001712A7" w:rsidRDefault="00B22AAB" w:rsidP="001712A7">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67A335A2"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[2-2]</w:t>
            </w:r>
          </w:p>
        </w:tc>
        <w:tc>
          <w:tcPr>
            <w:tcW w:w="1539" w:type="dxa"/>
            <w:shd w:val="clear" w:color="auto" w:fill="auto"/>
          </w:tcPr>
          <w:p w14:paraId="7B4D6EE0"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UE-group WUS with a wake-up time before the first associated PO (with group resource alternation)</w:t>
            </w:r>
          </w:p>
        </w:tc>
        <w:tc>
          <w:tcPr>
            <w:tcW w:w="2497" w:type="dxa"/>
            <w:shd w:val="clear" w:color="auto" w:fill="auto"/>
          </w:tcPr>
          <w:p w14:paraId="64A37E36"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77" w:type="dxa"/>
            <w:shd w:val="clear" w:color="auto" w:fill="auto"/>
          </w:tcPr>
          <w:p w14:paraId="6F2DBAC0"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2-1</w:t>
            </w:r>
          </w:p>
        </w:tc>
        <w:tc>
          <w:tcPr>
            <w:tcW w:w="1262" w:type="dxa"/>
            <w:shd w:val="clear" w:color="auto" w:fill="auto"/>
          </w:tcPr>
          <w:p w14:paraId="48624F7C"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7E902C13"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N/A</w:t>
            </w:r>
          </w:p>
        </w:tc>
        <w:tc>
          <w:tcPr>
            <w:tcW w:w="1777" w:type="dxa"/>
          </w:tcPr>
          <w:p w14:paraId="7BF7C18C" w14:textId="77777777" w:rsidR="00B22AAB" w:rsidRPr="001712A7" w:rsidRDefault="00B22AAB" w:rsidP="001712A7">
            <w:pPr>
              <w:keepNext/>
              <w:keepLines/>
              <w:rPr>
                <w:sz w:val="18"/>
                <w:szCs w:val="18"/>
              </w:rPr>
            </w:pPr>
            <w:r w:rsidRPr="001712A7">
              <w:rPr>
                <w:sz w:val="18"/>
                <w:szCs w:val="18"/>
              </w:rPr>
              <w:t>The network cannot wake-up a group of users with one wake-up signal</w:t>
            </w:r>
          </w:p>
        </w:tc>
        <w:tc>
          <w:tcPr>
            <w:tcW w:w="2064" w:type="dxa"/>
            <w:shd w:val="clear" w:color="auto" w:fill="auto"/>
          </w:tcPr>
          <w:p w14:paraId="6AC90062" w14:textId="77777777" w:rsidR="00B22AAB" w:rsidRPr="001712A7" w:rsidRDefault="00B22AAB" w:rsidP="001712A7">
            <w:pPr>
              <w:keepNext/>
              <w:keepLines/>
              <w:rPr>
                <w:sz w:val="18"/>
                <w:szCs w:val="18"/>
              </w:rPr>
            </w:pPr>
            <w:r w:rsidRPr="001712A7">
              <w:rPr>
                <w:sz w:val="18"/>
                <w:szCs w:val="18"/>
              </w:rPr>
              <w:t>Per UE</w:t>
            </w:r>
          </w:p>
        </w:tc>
        <w:tc>
          <w:tcPr>
            <w:tcW w:w="1416" w:type="dxa"/>
            <w:shd w:val="clear" w:color="auto" w:fill="auto"/>
          </w:tcPr>
          <w:p w14:paraId="3C20986D"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49846BEF"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782D7D99" w14:textId="77777777" w:rsidR="00B22AAB" w:rsidRPr="001712A7" w:rsidRDefault="00B22AAB" w:rsidP="001712A7">
            <w:pPr>
              <w:pStyle w:val="TAL"/>
              <w:rPr>
                <w:rFonts w:ascii="Times New Roman" w:eastAsia="ＭＳ ゴシック" w:hAnsi="Times New Roman"/>
                <w:szCs w:val="18"/>
                <w:lang w:eastAsia="ja-JP"/>
              </w:rPr>
            </w:pPr>
            <w:r w:rsidRPr="001712A7">
              <w:rPr>
                <w:rFonts w:ascii="Times New Roman" w:eastAsia="ＭＳ ゴシック" w:hAnsi="Times New Roman"/>
                <w:szCs w:val="18"/>
                <w:lang w:eastAsia="ja-JP"/>
              </w:rPr>
              <w:t>If UE does not support group resource alternation and the eNB enables group resource alternation, UE falls back to Rel-15 NWUS when Rel-15 NWUS is configured or no NWUS when Rel-15 NWUS is not configured.</w:t>
            </w:r>
          </w:p>
          <w:p w14:paraId="04384541" w14:textId="77777777" w:rsidR="00B22AAB" w:rsidRPr="001712A7" w:rsidRDefault="00B22AAB" w:rsidP="001712A7">
            <w:pPr>
              <w:pStyle w:val="TAL"/>
              <w:rPr>
                <w:rFonts w:ascii="Times New Roman" w:eastAsia="ＭＳ ゴシック" w:hAnsi="Times New Roman"/>
                <w:szCs w:val="18"/>
                <w:lang w:eastAsia="ja-JP"/>
              </w:rPr>
            </w:pPr>
          </w:p>
          <w:p w14:paraId="7DC58D06"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FFS: whether to keep this feature group 2-2 separately or put it as a component of FG 2-1</w:t>
            </w:r>
          </w:p>
        </w:tc>
        <w:tc>
          <w:tcPr>
            <w:tcW w:w="1907" w:type="dxa"/>
            <w:shd w:val="clear" w:color="auto" w:fill="auto"/>
          </w:tcPr>
          <w:p w14:paraId="1EC02B26"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47257BA7" w14:textId="77777777" w:rsidR="00B22AAB" w:rsidRDefault="00B22AAB" w:rsidP="00B22AAB">
      <w:pPr>
        <w:rPr>
          <w:lang w:val="en-US"/>
        </w:rPr>
      </w:pPr>
    </w:p>
    <w:p w14:paraId="0405985A" w14:textId="77777777" w:rsidR="00B22AAB" w:rsidRDefault="00B22AAB" w:rsidP="00B22AAB">
      <w:pPr>
        <w:rPr>
          <w:lang w:val="en-US"/>
        </w:rPr>
      </w:pPr>
    </w:p>
    <w:p w14:paraId="65B270A3" w14:textId="77777777" w:rsidR="00B22AAB" w:rsidRDefault="00B22AAB" w:rsidP="00B22AAB">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B22AAB" w14:paraId="17641F52" w14:textId="77777777" w:rsidTr="001712A7">
        <w:tc>
          <w:tcPr>
            <w:tcW w:w="846" w:type="dxa"/>
          </w:tcPr>
          <w:p w14:paraId="0998030C" w14:textId="77777777" w:rsidR="00B22AAB" w:rsidRDefault="00B22AAB" w:rsidP="001712A7">
            <w:pPr>
              <w:spacing w:afterLines="50" w:after="120"/>
              <w:jc w:val="both"/>
              <w:rPr>
                <w:rFonts w:eastAsia="ＭＳ 明朝"/>
                <w:sz w:val="22"/>
              </w:rPr>
            </w:pPr>
            <w:r>
              <w:rPr>
                <w:rFonts w:eastAsia="ＭＳ 明朝"/>
                <w:sz w:val="22"/>
              </w:rPr>
              <w:t>[3]</w:t>
            </w:r>
          </w:p>
        </w:tc>
        <w:tc>
          <w:tcPr>
            <w:tcW w:w="2977" w:type="dxa"/>
          </w:tcPr>
          <w:p w14:paraId="27B99111" w14:textId="77777777" w:rsidR="00B22AAB" w:rsidRPr="00BC6D2B" w:rsidRDefault="00B22AAB" w:rsidP="001712A7">
            <w:pPr>
              <w:spacing w:afterLines="50" w:after="120"/>
              <w:jc w:val="both"/>
              <w:rPr>
                <w:sz w:val="22"/>
                <w:lang w:val="en-US"/>
              </w:rPr>
            </w:pPr>
            <w:r w:rsidRPr="009C206E">
              <w:rPr>
                <w:rFonts w:eastAsia="ＭＳ 明朝"/>
                <w:sz w:val="22"/>
              </w:rPr>
              <w:t>Qualcomm</w:t>
            </w:r>
          </w:p>
        </w:tc>
        <w:tc>
          <w:tcPr>
            <w:tcW w:w="18560" w:type="dxa"/>
          </w:tcPr>
          <w:p w14:paraId="14FF0B60" w14:textId="77777777" w:rsidR="00B22AAB" w:rsidRPr="00E7638C" w:rsidRDefault="00B22AAB" w:rsidP="001712A7">
            <w:pPr>
              <w:spacing w:afterLines="50" w:after="120"/>
              <w:jc w:val="both"/>
              <w:rPr>
                <w:sz w:val="22"/>
              </w:rPr>
            </w:pPr>
            <w:r>
              <w:rPr>
                <w:sz w:val="22"/>
              </w:rPr>
              <w:t xml:space="preserve">Remove brackets for FG2-2 and </w:t>
            </w:r>
            <w:r w:rsidRPr="001A31EF">
              <w:rPr>
                <w:sz w:val="22"/>
              </w:rPr>
              <w:t xml:space="preserve">Keep </w:t>
            </w:r>
            <w:r>
              <w:rPr>
                <w:sz w:val="22"/>
              </w:rPr>
              <w:t>FG2-1/2-2</w:t>
            </w:r>
            <w:r w:rsidRPr="001A31EF">
              <w:rPr>
                <w:sz w:val="22"/>
              </w:rPr>
              <w:t xml:space="preserve"> a</w:t>
            </w:r>
            <w:r>
              <w:rPr>
                <w:sz w:val="22"/>
              </w:rPr>
              <w:t>s</w:t>
            </w:r>
            <w:r w:rsidRPr="001A31EF">
              <w:rPr>
                <w:sz w:val="22"/>
              </w:rPr>
              <w:t xml:space="preserve"> separate FG</w:t>
            </w:r>
            <w:r>
              <w:rPr>
                <w:sz w:val="22"/>
              </w:rPr>
              <w:t>s</w:t>
            </w:r>
            <w:r w:rsidRPr="001A31EF">
              <w:rPr>
                <w:sz w:val="22"/>
              </w:rPr>
              <w:t>.</w:t>
            </w:r>
          </w:p>
        </w:tc>
      </w:tr>
      <w:tr w:rsidR="00B22AAB" w14:paraId="377696FE" w14:textId="77777777" w:rsidTr="001712A7">
        <w:tc>
          <w:tcPr>
            <w:tcW w:w="846" w:type="dxa"/>
          </w:tcPr>
          <w:p w14:paraId="77123E2A" w14:textId="77777777" w:rsidR="00B22AAB" w:rsidRDefault="00B22AAB" w:rsidP="001712A7">
            <w:pPr>
              <w:spacing w:afterLines="50" w:after="120"/>
              <w:jc w:val="both"/>
              <w:rPr>
                <w:rFonts w:eastAsia="ＭＳ 明朝"/>
                <w:sz w:val="22"/>
              </w:rPr>
            </w:pPr>
            <w:r>
              <w:rPr>
                <w:rFonts w:eastAsia="ＭＳ 明朝" w:hint="eastAsia"/>
                <w:sz w:val="22"/>
              </w:rPr>
              <w:t>[</w:t>
            </w:r>
            <w:r>
              <w:rPr>
                <w:rFonts w:eastAsia="ＭＳ 明朝"/>
                <w:sz w:val="22"/>
              </w:rPr>
              <w:t>4]</w:t>
            </w:r>
          </w:p>
        </w:tc>
        <w:tc>
          <w:tcPr>
            <w:tcW w:w="2977" w:type="dxa"/>
          </w:tcPr>
          <w:p w14:paraId="11E7C600" w14:textId="77777777" w:rsidR="00B22AAB" w:rsidRPr="009C206E" w:rsidRDefault="00B22AAB" w:rsidP="001712A7">
            <w:pPr>
              <w:spacing w:afterLines="50" w:after="120"/>
              <w:jc w:val="both"/>
              <w:rPr>
                <w:rFonts w:eastAsia="ＭＳ 明朝"/>
                <w:sz w:val="22"/>
              </w:rPr>
            </w:pPr>
            <w:r w:rsidRPr="00181516">
              <w:rPr>
                <w:rFonts w:eastAsia="ＭＳ 明朝"/>
                <w:sz w:val="22"/>
              </w:rPr>
              <w:t>Ericsson</w:t>
            </w:r>
          </w:p>
        </w:tc>
        <w:tc>
          <w:tcPr>
            <w:tcW w:w="18560" w:type="dxa"/>
          </w:tcPr>
          <w:p w14:paraId="03A3A17B" w14:textId="77777777" w:rsidR="00B22AAB" w:rsidRDefault="00B22AAB" w:rsidP="001712A7">
            <w:pPr>
              <w:spacing w:afterLines="50" w:after="120"/>
              <w:jc w:val="both"/>
              <w:rPr>
                <w:sz w:val="22"/>
              </w:rPr>
            </w:pPr>
            <w:r w:rsidRPr="00D6655D">
              <w:rPr>
                <w:rFonts w:ascii="Arial" w:eastAsiaTheme="minorEastAsia" w:hAnsi="Arial" w:cstheme="minorBidi"/>
                <w:b/>
                <w:bCs/>
                <w:kern w:val="2"/>
                <w:sz w:val="21"/>
                <w:szCs w:val="22"/>
                <w:lang w:val="en-US" w:eastAsia="zh-CN"/>
              </w:rPr>
              <w:t>Proposal 1</w:t>
            </w:r>
            <w:r w:rsidRPr="00D6655D">
              <w:rPr>
                <w:rFonts w:ascii="Arial" w:eastAsiaTheme="minorEastAsia" w:hAnsi="Arial" w:cstheme="minorBidi"/>
                <w:b/>
                <w:bCs/>
                <w:kern w:val="2"/>
                <w:sz w:val="21"/>
                <w:szCs w:val="22"/>
                <w:lang w:val="en-US" w:eastAsia="zh-CN"/>
              </w:rPr>
              <w:tab/>
              <w:t>Keep GWUS with/without group resource alternation as two separate FGs.</w:t>
            </w:r>
          </w:p>
        </w:tc>
      </w:tr>
      <w:tr w:rsidR="00B22AAB" w14:paraId="215A0AF4" w14:textId="77777777" w:rsidTr="001712A7">
        <w:tc>
          <w:tcPr>
            <w:tcW w:w="846" w:type="dxa"/>
          </w:tcPr>
          <w:p w14:paraId="5B8B67A9" w14:textId="77777777" w:rsidR="00B22AAB" w:rsidRDefault="00B22AAB" w:rsidP="001712A7">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0E14B2FC" w14:textId="77777777" w:rsidR="00B22AAB" w:rsidRPr="00181516" w:rsidRDefault="00B22AAB" w:rsidP="001712A7">
            <w:pPr>
              <w:spacing w:afterLines="50" w:after="120"/>
              <w:jc w:val="both"/>
              <w:rPr>
                <w:rFonts w:eastAsia="ＭＳ 明朝"/>
                <w:sz w:val="22"/>
              </w:rPr>
            </w:pPr>
            <w:r w:rsidRPr="00534B32">
              <w:rPr>
                <w:sz w:val="22"/>
                <w:lang w:val="en-US"/>
              </w:rPr>
              <w:t>Huawei, HiSilicon</w:t>
            </w:r>
          </w:p>
        </w:tc>
        <w:tc>
          <w:tcPr>
            <w:tcW w:w="18560" w:type="dxa"/>
          </w:tcPr>
          <w:p w14:paraId="4B23394D" w14:textId="77777777" w:rsidR="00B22AAB" w:rsidRPr="00351B93" w:rsidRDefault="00B22AAB" w:rsidP="001712A7">
            <w:pPr>
              <w:pStyle w:val="ad"/>
              <w:jc w:val="both"/>
              <w:rPr>
                <w:rFonts w:eastAsia="ＭＳ 明朝"/>
                <w:sz w:val="22"/>
                <w:szCs w:val="22"/>
              </w:rPr>
            </w:pPr>
            <w:bookmarkStart w:id="4" w:name="_Ref36573743"/>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1</w:t>
            </w:r>
            <w:r w:rsidRPr="00E25F41">
              <w:rPr>
                <w:sz w:val="22"/>
                <w:szCs w:val="22"/>
              </w:rPr>
              <w:fldChar w:fldCharType="end"/>
            </w:r>
            <w:r w:rsidRPr="00E25F41">
              <w:rPr>
                <w:sz w:val="22"/>
                <w:szCs w:val="22"/>
              </w:rPr>
              <w:t xml:space="preserve">: </w:t>
            </w:r>
            <w:r w:rsidRPr="00E25F41">
              <w:rPr>
                <w:rFonts w:eastAsia="ＭＳ 明朝"/>
                <w:sz w:val="22"/>
                <w:szCs w:val="22"/>
              </w:rPr>
              <w:t>FG 2-2 (group resource alternation) is a component of FG 2-1.</w:t>
            </w:r>
            <w:bookmarkEnd w:id="4"/>
          </w:p>
        </w:tc>
      </w:tr>
    </w:tbl>
    <w:p w14:paraId="1662ED2A" w14:textId="77777777" w:rsidR="00B22AAB" w:rsidRDefault="00B22AAB" w:rsidP="00B22AAB">
      <w:pPr>
        <w:rPr>
          <w:lang w:val="en-US"/>
        </w:rPr>
      </w:pPr>
    </w:p>
    <w:p w14:paraId="6C311269" w14:textId="77777777" w:rsidR="00B22AAB" w:rsidRPr="003D7EA7" w:rsidRDefault="00B22AAB" w:rsidP="00B22AAB">
      <w:pPr>
        <w:spacing w:afterLines="50" w:after="120"/>
        <w:jc w:val="both"/>
        <w:rPr>
          <w:b/>
          <w:bCs/>
          <w:sz w:val="22"/>
          <w:lang w:val="en-US"/>
        </w:rPr>
      </w:pPr>
      <w:r w:rsidRPr="003D7EA7">
        <w:rPr>
          <w:rFonts w:hint="eastAsia"/>
          <w:b/>
          <w:bCs/>
          <w:sz w:val="22"/>
          <w:lang w:val="en-US"/>
        </w:rPr>
        <w:t>B</w:t>
      </w:r>
      <w:r>
        <w:rPr>
          <w:b/>
          <w:bCs/>
          <w:sz w:val="22"/>
          <w:lang w:val="en-US"/>
        </w:rPr>
        <w:t xml:space="preserve">ased on above, </w:t>
      </w:r>
      <w:r w:rsidRPr="003D7EA7">
        <w:rPr>
          <w:b/>
          <w:bCs/>
          <w:sz w:val="22"/>
          <w:lang w:val="en-US"/>
        </w:rPr>
        <w:t>following points should be discussed for FG</w:t>
      </w:r>
      <w:r>
        <w:rPr>
          <w:b/>
          <w:bCs/>
          <w:sz w:val="22"/>
          <w:lang w:val="en-US"/>
        </w:rPr>
        <w:t>2-2</w:t>
      </w:r>
      <w:r w:rsidRPr="003D7EA7">
        <w:rPr>
          <w:b/>
          <w:bCs/>
          <w:sz w:val="22"/>
          <w:lang w:val="en-US"/>
        </w:rPr>
        <w:t>.</w:t>
      </w:r>
    </w:p>
    <w:p w14:paraId="13435E68" w14:textId="68F0D74C" w:rsidR="001712A7" w:rsidRDefault="001712A7" w:rsidP="001712A7">
      <w:pPr>
        <w:pStyle w:val="aff"/>
        <w:numPr>
          <w:ilvl w:val="0"/>
          <w:numId w:val="28"/>
        </w:numPr>
        <w:spacing w:afterLines="50" w:after="120"/>
        <w:ind w:leftChars="0"/>
        <w:jc w:val="both"/>
        <w:rPr>
          <w:b/>
          <w:bCs/>
          <w:sz w:val="22"/>
          <w:lang w:val="en-US"/>
        </w:rPr>
      </w:pPr>
      <w:r w:rsidRPr="004B53A9">
        <w:rPr>
          <w:b/>
          <w:bCs/>
          <w:sz w:val="22"/>
          <w:lang w:val="en-US"/>
        </w:rPr>
        <w:t>Whether FG</w:t>
      </w:r>
      <w:r>
        <w:rPr>
          <w:b/>
          <w:bCs/>
          <w:sz w:val="22"/>
          <w:lang w:val="en-US"/>
        </w:rPr>
        <w:t>2</w:t>
      </w:r>
      <w:r w:rsidRPr="004B53A9">
        <w:rPr>
          <w:b/>
          <w:bCs/>
          <w:sz w:val="22"/>
          <w:lang w:val="en-US"/>
        </w:rPr>
        <w:t>-2 is a separate FG</w:t>
      </w:r>
      <w:r>
        <w:rPr>
          <w:b/>
          <w:bCs/>
          <w:sz w:val="22"/>
          <w:lang w:val="en-US"/>
        </w:rPr>
        <w:t xml:space="preserve"> (i.e., remove bracket)</w:t>
      </w:r>
      <w:r w:rsidRPr="004B53A9">
        <w:rPr>
          <w:b/>
          <w:bCs/>
          <w:sz w:val="22"/>
          <w:lang w:val="en-US"/>
        </w:rPr>
        <w:t xml:space="preserve"> or </w:t>
      </w:r>
      <w:r>
        <w:rPr>
          <w:b/>
          <w:bCs/>
          <w:sz w:val="22"/>
          <w:lang w:val="en-US"/>
        </w:rPr>
        <w:t xml:space="preserve">FG2-2 is removed and added as </w:t>
      </w:r>
      <w:r w:rsidRPr="004B53A9">
        <w:rPr>
          <w:b/>
          <w:bCs/>
          <w:sz w:val="22"/>
          <w:lang w:val="en-US"/>
        </w:rPr>
        <w:t>a component in FG</w:t>
      </w:r>
      <w:r>
        <w:rPr>
          <w:b/>
          <w:bCs/>
          <w:sz w:val="22"/>
          <w:lang w:val="en-US"/>
        </w:rPr>
        <w:t>2</w:t>
      </w:r>
      <w:r w:rsidRPr="004B53A9">
        <w:rPr>
          <w:b/>
          <w:bCs/>
          <w:sz w:val="22"/>
          <w:lang w:val="en-US"/>
        </w:rPr>
        <w:t>-</w:t>
      </w:r>
      <w:r>
        <w:rPr>
          <w:b/>
          <w:bCs/>
          <w:sz w:val="22"/>
          <w:lang w:val="en-US"/>
        </w:rPr>
        <w:t>1</w:t>
      </w:r>
    </w:p>
    <w:p w14:paraId="03BEE7DE" w14:textId="1677D808" w:rsidR="001712A7" w:rsidRPr="004B53A9" w:rsidRDefault="001712A7" w:rsidP="001712A7">
      <w:pPr>
        <w:pStyle w:val="aff"/>
        <w:numPr>
          <w:ilvl w:val="1"/>
          <w:numId w:val="28"/>
        </w:numPr>
        <w:spacing w:afterLines="50" w:after="120"/>
        <w:ind w:leftChars="0"/>
        <w:jc w:val="both"/>
        <w:rPr>
          <w:b/>
          <w:bCs/>
          <w:sz w:val="22"/>
          <w:lang w:val="en-US"/>
        </w:rPr>
      </w:pPr>
      <w:r>
        <w:rPr>
          <w:rFonts w:hint="eastAsia"/>
          <w:b/>
          <w:bCs/>
          <w:sz w:val="22"/>
          <w:lang w:val="en-US"/>
        </w:rPr>
        <w:t>W</w:t>
      </w:r>
      <w:r>
        <w:rPr>
          <w:b/>
          <w:bCs/>
          <w:sz w:val="22"/>
          <w:lang w:val="en-US"/>
        </w:rPr>
        <w:t>hether this issue should be discussed with [1-2] jointly or individually</w:t>
      </w:r>
    </w:p>
    <w:p w14:paraId="7A807CC9" w14:textId="77777777" w:rsidR="001712A7" w:rsidRPr="001712A7" w:rsidRDefault="001712A7" w:rsidP="001712A7">
      <w:pPr>
        <w:spacing w:afterLines="50" w:after="120"/>
        <w:jc w:val="both"/>
        <w:rPr>
          <w:rFonts w:hint="eastAsia"/>
          <w:b/>
          <w:bCs/>
          <w:sz w:val="22"/>
          <w:lang w:val="en-US"/>
        </w:rPr>
      </w:pPr>
    </w:p>
    <w:p w14:paraId="52A29D52" w14:textId="77777777" w:rsidR="00B22AAB" w:rsidRPr="001712A7" w:rsidRDefault="00B22AAB" w:rsidP="00B22AAB">
      <w:pPr>
        <w:rPr>
          <w:lang w:val="en-US"/>
        </w:rPr>
      </w:pPr>
    </w:p>
    <w:p w14:paraId="4C1CE232" w14:textId="77777777" w:rsidR="00B22AAB" w:rsidRPr="00621DAE" w:rsidRDefault="00B22AAB" w:rsidP="00B22AAB">
      <w:pPr>
        <w:pStyle w:val="1"/>
        <w:numPr>
          <w:ilvl w:val="0"/>
          <w:numId w:val="4"/>
        </w:numPr>
        <w:spacing w:before="180" w:after="120"/>
        <w:rPr>
          <w:rFonts w:eastAsia="ＭＳ 明朝"/>
          <w:b/>
          <w:bCs/>
          <w:szCs w:val="24"/>
          <w:lang w:val="en-US"/>
        </w:rPr>
      </w:pPr>
      <w:r>
        <w:rPr>
          <w:rFonts w:eastAsia="ＭＳ 明朝"/>
          <w:b/>
          <w:bCs/>
          <w:szCs w:val="24"/>
          <w:lang w:val="en-US"/>
        </w:rPr>
        <w:t xml:space="preserve">2-3: PUR </w:t>
      </w:r>
      <w:r w:rsidRPr="00DB59EA">
        <w:rPr>
          <w:rFonts w:eastAsia="ＭＳ 明朝"/>
          <w:b/>
          <w:bCs/>
          <w:szCs w:val="24"/>
          <w:lang w:val="en-US"/>
        </w:rPr>
        <w:t>with potential UE-specific cyclic shift for DMRS</w:t>
      </w:r>
    </w:p>
    <w:p w14:paraId="0B1E8470" w14:textId="77777777" w:rsidR="00B22AAB" w:rsidRDefault="00B22AAB" w:rsidP="00B22AAB">
      <w:pPr>
        <w:rPr>
          <w:lang w:val="en-US"/>
        </w:rPr>
      </w:pPr>
      <w:r w:rsidRPr="00890250">
        <w:rPr>
          <w:lang w:val="en-US"/>
        </w:rPr>
        <w:t>In [1], FG</w:t>
      </w:r>
      <w:r>
        <w:rPr>
          <w:lang w:val="en-US"/>
        </w:rPr>
        <w:t>2-3</w:t>
      </w:r>
      <w:r w:rsidRPr="00890250">
        <w:rPr>
          <w:lang w:val="en-US"/>
        </w:rPr>
        <w:t xml:space="preserve"> is captured as below.</w:t>
      </w:r>
    </w:p>
    <w:p w14:paraId="2CCB8239" w14:textId="77777777" w:rsidR="00B22AAB" w:rsidRDefault="00B22AAB" w:rsidP="00B22AAB">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731"/>
        <w:gridCol w:w="2248"/>
        <w:gridCol w:w="1807"/>
        <w:gridCol w:w="1974"/>
        <w:gridCol w:w="1261"/>
        <w:gridCol w:w="1337"/>
        <w:gridCol w:w="1775"/>
        <w:gridCol w:w="2060"/>
        <w:gridCol w:w="1416"/>
        <w:gridCol w:w="1414"/>
        <w:gridCol w:w="2614"/>
        <w:gridCol w:w="1907"/>
      </w:tblGrid>
      <w:tr w:rsidR="00B22AAB" w:rsidRPr="00890250" w14:paraId="25A06874" w14:textId="77777777" w:rsidTr="001712A7">
        <w:tc>
          <w:tcPr>
            <w:tcW w:w="1836" w:type="dxa"/>
            <w:shd w:val="clear" w:color="auto" w:fill="auto"/>
          </w:tcPr>
          <w:p w14:paraId="164F8DC4"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04FE4F81"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2248" w:type="dxa"/>
            <w:shd w:val="clear" w:color="auto" w:fill="auto"/>
          </w:tcPr>
          <w:p w14:paraId="2B3CBD4A"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1807" w:type="dxa"/>
            <w:shd w:val="clear" w:color="auto" w:fill="auto"/>
          </w:tcPr>
          <w:p w14:paraId="543686EA"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4" w:type="dxa"/>
            <w:shd w:val="clear" w:color="auto" w:fill="auto"/>
          </w:tcPr>
          <w:p w14:paraId="4AE2A057"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1" w:type="dxa"/>
            <w:shd w:val="clear" w:color="auto" w:fill="auto"/>
          </w:tcPr>
          <w:p w14:paraId="732E0192"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7" w:type="dxa"/>
            <w:shd w:val="clear" w:color="auto" w:fill="auto"/>
          </w:tcPr>
          <w:p w14:paraId="46FF2152"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5" w:type="dxa"/>
          </w:tcPr>
          <w:p w14:paraId="44AE1431"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0" w:type="dxa"/>
            <w:shd w:val="clear" w:color="auto" w:fill="auto"/>
          </w:tcPr>
          <w:p w14:paraId="654967A0"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hint="eastAsia"/>
                <w:b/>
                <w:sz w:val="18"/>
              </w:rPr>
              <w:t>Type</w:t>
            </w:r>
          </w:p>
          <w:p w14:paraId="4C195E6F"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0448A517"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71F211E2"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14" w:type="dxa"/>
            <w:shd w:val="clear" w:color="auto" w:fill="auto"/>
          </w:tcPr>
          <w:p w14:paraId="6EA50395"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B876E54"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B22AAB" w:rsidRPr="00890250" w14:paraId="53EE8C22" w14:textId="77777777" w:rsidTr="001712A7">
        <w:tc>
          <w:tcPr>
            <w:tcW w:w="1836" w:type="dxa"/>
            <w:shd w:val="clear" w:color="auto" w:fill="auto"/>
          </w:tcPr>
          <w:p w14:paraId="15D3FF1D" w14:textId="77777777" w:rsidR="00B22AAB" w:rsidRPr="001712A7" w:rsidRDefault="00B22AAB" w:rsidP="001712A7">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00EEAE44"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2-3</w:t>
            </w:r>
          </w:p>
        </w:tc>
        <w:tc>
          <w:tcPr>
            <w:tcW w:w="2248" w:type="dxa"/>
            <w:shd w:val="clear" w:color="auto" w:fill="auto"/>
          </w:tcPr>
          <w:p w14:paraId="5FA0190E" w14:textId="77777777" w:rsidR="00B22AAB" w:rsidRPr="001712A7" w:rsidRDefault="00B22AAB" w:rsidP="001712A7">
            <w:pPr>
              <w:pStyle w:val="TAL"/>
              <w:rPr>
                <w:rFonts w:ascii="Times New Roman" w:eastAsia="ＭＳ ゴシック" w:hAnsi="Times New Roman"/>
                <w:szCs w:val="18"/>
                <w:lang w:eastAsia="ja-JP"/>
              </w:rPr>
            </w:pPr>
            <w:r w:rsidRPr="001712A7">
              <w:rPr>
                <w:rFonts w:ascii="Times New Roman" w:eastAsia="ＭＳ ゴシック" w:hAnsi="Times New Roman"/>
                <w:szCs w:val="18"/>
                <w:lang w:eastAsia="ja-JP"/>
              </w:rPr>
              <w:t xml:space="preserve">Transmission in preconfigured UL resources (PUR) </w:t>
            </w:r>
          </w:p>
          <w:p w14:paraId="1BEE0A54" w14:textId="77777777" w:rsidR="00B22AAB" w:rsidRPr="001712A7" w:rsidRDefault="00B22AAB" w:rsidP="001712A7">
            <w:pPr>
              <w:pStyle w:val="TAL"/>
              <w:rPr>
                <w:rFonts w:ascii="Times New Roman" w:eastAsia="ＭＳ ゴシック" w:hAnsi="Times New Roman"/>
                <w:szCs w:val="18"/>
                <w:lang w:eastAsia="ja-JP"/>
              </w:rPr>
            </w:pPr>
            <w:r w:rsidRPr="001712A7">
              <w:rPr>
                <w:rFonts w:ascii="Times New Roman" w:eastAsia="ＭＳ ゴシック" w:hAnsi="Times New Roman"/>
                <w:szCs w:val="18"/>
                <w:lang w:eastAsia="ja-JP"/>
              </w:rPr>
              <w:t>(with potential UE-specific cyclic shift for DMRS)</w:t>
            </w:r>
          </w:p>
        </w:tc>
        <w:tc>
          <w:tcPr>
            <w:tcW w:w="1807" w:type="dxa"/>
            <w:shd w:val="clear" w:color="auto" w:fill="auto"/>
          </w:tcPr>
          <w:p w14:paraId="160EE819"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74" w:type="dxa"/>
            <w:shd w:val="clear" w:color="auto" w:fill="auto"/>
          </w:tcPr>
          <w:p w14:paraId="54EAC7AB"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261" w:type="dxa"/>
            <w:shd w:val="clear" w:color="auto" w:fill="auto"/>
          </w:tcPr>
          <w:p w14:paraId="4DFADAFD"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Yes</w:t>
            </w:r>
          </w:p>
        </w:tc>
        <w:tc>
          <w:tcPr>
            <w:tcW w:w="1337" w:type="dxa"/>
            <w:shd w:val="clear" w:color="auto" w:fill="auto"/>
          </w:tcPr>
          <w:p w14:paraId="2BAFFD05"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5" w:type="dxa"/>
          </w:tcPr>
          <w:p w14:paraId="198A6BE1" w14:textId="77777777" w:rsidR="00B22AAB" w:rsidRPr="001712A7" w:rsidRDefault="00B22AAB" w:rsidP="001712A7">
            <w:pPr>
              <w:keepNext/>
              <w:keepLines/>
              <w:rPr>
                <w:sz w:val="18"/>
                <w:szCs w:val="18"/>
              </w:rPr>
            </w:pPr>
            <w:r w:rsidRPr="001712A7">
              <w:rPr>
                <w:sz w:val="18"/>
                <w:szCs w:val="18"/>
              </w:rPr>
              <w:t>UE cannot transmit without an UL grant</w:t>
            </w:r>
          </w:p>
        </w:tc>
        <w:tc>
          <w:tcPr>
            <w:tcW w:w="2060" w:type="dxa"/>
            <w:shd w:val="clear" w:color="auto" w:fill="auto"/>
          </w:tcPr>
          <w:p w14:paraId="6E596004" w14:textId="77777777" w:rsidR="00B22AAB" w:rsidRPr="001712A7" w:rsidRDefault="00B22AAB" w:rsidP="001712A7">
            <w:pPr>
              <w:keepNext/>
              <w:keepLines/>
              <w:rPr>
                <w:sz w:val="18"/>
                <w:szCs w:val="18"/>
              </w:rPr>
            </w:pPr>
            <w:r w:rsidRPr="001712A7">
              <w:rPr>
                <w:sz w:val="18"/>
                <w:szCs w:val="18"/>
              </w:rPr>
              <w:t>Per UE</w:t>
            </w:r>
          </w:p>
        </w:tc>
        <w:tc>
          <w:tcPr>
            <w:tcW w:w="1416" w:type="dxa"/>
            <w:shd w:val="clear" w:color="auto" w:fill="auto"/>
          </w:tcPr>
          <w:p w14:paraId="75C56C04"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31CDCB51"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N/A</w:t>
            </w:r>
          </w:p>
        </w:tc>
        <w:tc>
          <w:tcPr>
            <w:tcW w:w="2614" w:type="dxa"/>
            <w:shd w:val="clear" w:color="auto" w:fill="auto"/>
          </w:tcPr>
          <w:p w14:paraId="3EFDB1A0" w14:textId="77777777" w:rsidR="00B22AAB" w:rsidRPr="001712A7" w:rsidRDefault="00B22AAB" w:rsidP="001712A7">
            <w:pPr>
              <w:pStyle w:val="TAL"/>
              <w:rPr>
                <w:rFonts w:ascii="Times New Roman" w:eastAsia="ＭＳ ゴシック" w:hAnsi="Times New Roman"/>
                <w:szCs w:val="18"/>
                <w:lang w:eastAsia="ja-JP"/>
              </w:rPr>
            </w:pPr>
            <w:r w:rsidRPr="001712A7">
              <w:rPr>
                <w:rFonts w:ascii="Times New Roman" w:eastAsia="ＭＳ ゴシック" w:hAnsi="Times New Roman"/>
                <w:szCs w:val="18"/>
                <w:lang w:eastAsia="ja-JP"/>
              </w:rPr>
              <w:t>RAN2 has agreed that PUR with UP and CP solutions have separate indications, but this is not captured in this RAN1 UE feature list.</w:t>
            </w:r>
          </w:p>
          <w:p w14:paraId="259420BE"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07" w:type="dxa"/>
            <w:shd w:val="clear" w:color="auto" w:fill="auto"/>
          </w:tcPr>
          <w:p w14:paraId="3EB8D5CA"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0182E7D2" w14:textId="77777777" w:rsidR="00B22AAB" w:rsidRDefault="00B22AAB" w:rsidP="00B22AAB">
      <w:pPr>
        <w:rPr>
          <w:lang w:val="en-US"/>
        </w:rPr>
      </w:pPr>
    </w:p>
    <w:p w14:paraId="1604133F" w14:textId="77777777" w:rsidR="00B22AAB" w:rsidRDefault="00B22AAB" w:rsidP="00B22AAB">
      <w:pPr>
        <w:rPr>
          <w:lang w:val="en-US"/>
        </w:rPr>
      </w:pPr>
    </w:p>
    <w:p w14:paraId="356314F5" w14:textId="77777777" w:rsidR="00B22AAB" w:rsidRDefault="00B22AAB" w:rsidP="00B22AAB">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B22AAB" w14:paraId="356D9209" w14:textId="77777777" w:rsidTr="001712A7">
        <w:tc>
          <w:tcPr>
            <w:tcW w:w="846" w:type="dxa"/>
          </w:tcPr>
          <w:p w14:paraId="3527BB68" w14:textId="77777777" w:rsidR="00B22AAB" w:rsidRDefault="00B22AAB" w:rsidP="001712A7">
            <w:pPr>
              <w:spacing w:afterLines="50" w:after="120"/>
              <w:jc w:val="both"/>
              <w:rPr>
                <w:rFonts w:eastAsia="ＭＳ 明朝"/>
                <w:sz w:val="22"/>
              </w:rPr>
            </w:pPr>
            <w:r>
              <w:rPr>
                <w:rFonts w:eastAsia="ＭＳ 明朝"/>
                <w:sz w:val="22"/>
              </w:rPr>
              <w:t>[2]</w:t>
            </w:r>
          </w:p>
        </w:tc>
        <w:tc>
          <w:tcPr>
            <w:tcW w:w="2977" w:type="dxa"/>
          </w:tcPr>
          <w:p w14:paraId="504D5002" w14:textId="77777777" w:rsidR="00B22AAB" w:rsidRPr="00BC6D2B" w:rsidRDefault="00B22AAB" w:rsidP="001712A7">
            <w:pPr>
              <w:spacing w:afterLines="50" w:after="120"/>
              <w:jc w:val="both"/>
              <w:rPr>
                <w:sz w:val="22"/>
                <w:lang w:val="en-US"/>
              </w:rPr>
            </w:pPr>
            <w:r>
              <w:rPr>
                <w:rFonts w:hint="eastAsia"/>
                <w:sz w:val="22"/>
                <w:lang w:val="en-US"/>
              </w:rPr>
              <w:t>ZTE</w:t>
            </w:r>
          </w:p>
        </w:tc>
        <w:tc>
          <w:tcPr>
            <w:tcW w:w="18560" w:type="dxa"/>
          </w:tcPr>
          <w:p w14:paraId="410344A7" w14:textId="77777777" w:rsidR="00B22AAB" w:rsidRPr="00E7638C" w:rsidRDefault="00B22AAB" w:rsidP="001712A7">
            <w:pPr>
              <w:spacing w:afterLines="50" w:after="120"/>
              <w:jc w:val="both"/>
              <w:rPr>
                <w:sz w:val="22"/>
              </w:rPr>
            </w:pPr>
            <w:r>
              <w:rPr>
                <w:b/>
                <w:i/>
                <w:lang w:eastAsia="zh-CN"/>
              </w:rPr>
              <w:t>Proposal 3: For FG 2-32, update the FG name to</w:t>
            </w:r>
            <w:r w:rsidRPr="00773CC2">
              <w:rPr>
                <w:b/>
                <w:i/>
                <w:lang w:eastAsia="zh-CN"/>
              </w:rPr>
              <w:t xml:space="preserve"> '</w:t>
            </w:r>
            <w:r w:rsidRPr="00E7558E">
              <w:rPr>
                <w:b/>
                <w:i/>
                <w:lang w:eastAsia="en-GB"/>
              </w:rPr>
              <w:t>Transmission in preconfigured UL resources (PUR)'.</w:t>
            </w:r>
          </w:p>
        </w:tc>
      </w:tr>
    </w:tbl>
    <w:p w14:paraId="4788352B" w14:textId="77777777" w:rsidR="00B22AAB" w:rsidRDefault="00B22AAB" w:rsidP="00B22AAB">
      <w:pPr>
        <w:rPr>
          <w:lang w:val="en-US"/>
        </w:rPr>
      </w:pPr>
    </w:p>
    <w:p w14:paraId="4F6C7A8D" w14:textId="77777777" w:rsidR="00B22AAB" w:rsidRPr="003D7EA7" w:rsidRDefault="00B22AAB" w:rsidP="00B22AAB">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w:t>
      </w:r>
      <w:r>
        <w:rPr>
          <w:b/>
          <w:bCs/>
          <w:sz w:val="22"/>
          <w:lang w:val="en-US"/>
        </w:rPr>
        <w:t>2-3</w:t>
      </w:r>
      <w:r w:rsidRPr="003D7EA7">
        <w:rPr>
          <w:b/>
          <w:bCs/>
          <w:sz w:val="22"/>
          <w:lang w:val="en-US"/>
        </w:rPr>
        <w:t>.</w:t>
      </w:r>
    </w:p>
    <w:p w14:paraId="0FA65B74" w14:textId="77777777" w:rsidR="00B22AAB" w:rsidRPr="00DB59EA" w:rsidRDefault="00B22AAB" w:rsidP="00B22AAB">
      <w:pPr>
        <w:pStyle w:val="aff"/>
        <w:numPr>
          <w:ilvl w:val="0"/>
          <w:numId w:val="27"/>
        </w:numPr>
        <w:spacing w:afterLines="50" w:after="120"/>
        <w:ind w:leftChars="0"/>
        <w:jc w:val="both"/>
        <w:rPr>
          <w:b/>
          <w:bCs/>
          <w:sz w:val="22"/>
          <w:lang w:val="en-US"/>
        </w:rPr>
      </w:pPr>
      <w:r>
        <w:rPr>
          <w:b/>
          <w:bCs/>
          <w:sz w:val="22"/>
          <w:lang w:val="en-US"/>
        </w:rPr>
        <w:t>Whether or not</w:t>
      </w:r>
      <w:r w:rsidRPr="00DB59EA">
        <w:rPr>
          <w:b/>
          <w:bCs/>
          <w:sz w:val="22"/>
          <w:lang w:val="en-US"/>
        </w:rPr>
        <w:t xml:space="preserve"> 'with potential UE-specific cyclic shift for DMRS' in the bracket </w:t>
      </w:r>
      <w:r>
        <w:rPr>
          <w:b/>
          <w:bCs/>
          <w:sz w:val="22"/>
          <w:lang w:val="en-US"/>
        </w:rPr>
        <w:t>of FG name is removed</w:t>
      </w:r>
    </w:p>
    <w:p w14:paraId="7C0F17A7" w14:textId="77777777" w:rsidR="00B22AAB" w:rsidRDefault="00B22AAB" w:rsidP="00B22AAB">
      <w:pPr>
        <w:rPr>
          <w:lang w:val="en-US"/>
        </w:rPr>
      </w:pPr>
    </w:p>
    <w:p w14:paraId="153E8ADC" w14:textId="77777777" w:rsidR="00B22AAB" w:rsidRPr="00621DAE" w:rsidRDefault="00B22AAB" w:rsidP="00B22AAB">
      <w:pPr>
        <w:pStyle w:val="1"/>
        <w:numPr>
          <w:ilvl w:val="0"/>
          <w:numId w:val="4"/>
        </w:numPr>
        <w:spacing w:before="180" w:after="120"/>
        <w:rPr>
          <w:rFonts w:eastAsia="ＭＳ 明朝"/>
          <w:b/>
          <w:bCs/>
          <w:szCs w:val="24"/>
          <w:lang w:val="en-US"/>
        </w:rPr>
      </w:pPr>
      <w:r>
        <w:rPr>
          <w:rFonts w:eastAsia="ＭＳ 明朝"/>
          <w:b/>
          <w:bCs/>
          <w:szCs w:val="24"/>
          <w:lang w:val="en-US"/>
        </w:rPr>
        <w:t xml:space="preserve">[2-4]: </w:t>
      </w:r>
      <w:r w:rsidRPr="00200299">
        <w:rPr>
          <w:rFonts w:eastAsia="ＭＳ 明朝"/>
          <w:b/>
          <w:bCs/>
          <w:szCs w:val="24"/>
          <w:lang w:val="en-US"/>
        </w:rPr>
        <w:t>PUR with serving cell RSRP for TA validation</w:t>
      </w:r>
    </w:p>
    <w:p w14:paraId="1B61C575" w14:textId="77777777" w:rsidR="00B22AAB" w:rsidRDefault="00B22AAB" w:rsidP="00B22AAB">
      <w:pPr>
        <w:rPr>
          <w:lang w:val="en-US"/>
        </w:rPr>
      </w:pPr>
      <w:r w:rsidRPr="00890250">
        <w:rPr>
          <w:lang w:val="en-US"/>
        </w:rPr>
        <w:t>In [1], FG</w:t>
      </w:r>
      <w:r>
        <w:rPr>
          <w:lang w:val="en-US"/>
        </w:rPr>
        <w:t>2-4</w:t>
      </w:r>
      <w:r w:rsidRPr="00890250">
        <w:rPr>
          <w:lang w:val="en-US"/>
        </w:rPr>
        <w:t xml:space="preserve"> is captured as below.</w:t>
      </w:r>
    </w:p>
    <w:p w14:paraId="10E0E170" w14:textId="77777777" w:rsidR="00B22AAB" w:rsidRDefault="00B22AAB" w:rsidP="00B22AAB">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B22AAB" w:rsidRPr="00890250" w14:paraId="6CBBC342" w14:textId="77777777" w:rsidTr="001712A7">
        <w:tc>
          <w:tcPr>
            <w:tcW w:w="1838" w:type="dxa"/>
            <w:shd w:val="clear" w:color="auto" w:fill="auto"/>
          </w:tcPr>
          <w:p w14:paraId="1E35478D"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7D06B918"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5F7DBDD"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0BA506E"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56AC46B4"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A2150D1"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5B262B34"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2545C74"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596BC3ED"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hint="eastAsia"/>
                <w:b/>
                <w:sz w:val="18"/>
              </w:rPr>
              <w:t>Type</w:t>
            </w:r>
          </w:p>
          <w:p w14:paraId="1648499F"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E3D092A"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6957723"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1F083C54"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9FF285A"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B22AAB" w:rsidRPr="00890250" w14:paraId="68A7AE17" w14:textId="77777777" w:rsidTr="001712A7">
        <w:tc>
          <w:tcPr>
            <w:tcW w:w="1838" w:type="dxa"/>
            <w:shd w:val="clear" w:color="auto" w:fill="auto"/>
          </w:tcPr>
          <w:p w14:paraId="7A3EAE83" w14:textId="77777777" w:rsidR="00B22AAB" w:rsidRPr="001712A7" w:rsidRDefault="00B22AAB" w:rsidP="001712A7">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51B9DB63"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[2-4]</w:t>
            </w:r>
          </w:p>
        </w:tc>
        <w:tc>
          <w:tcPr>
            <w:tcW w:w="1539" w:type="dxa"/>
            <w:shd w:val="clear" w:color="auto" w:fill="auto"/>
          </w:tcPr>
          <w:p w14:paraId="62225249" w14:textId="77777777" w:rsidR="00B22AAB" w:rsidRPr="001712A7" w:rsidRDefault="00B22AAB" w:rsidP="001712A7">
            <w:pPr>
              <w:pStyle w:val="TAL"/>
              <w:rPr>
                <w:rFonts w:ascii="Times New Roman" w:eastAsia="ＭＳ ゴシック" w:hAnsi="Times New Roman"/>
                <w:szCs w:val="18"/>
                <w:lang w:eastAsia="ja-JP"/>
              </w:rPr>
            </w:pPr>
            <w:r w:rsidRPr="001712A7">
              <w:rPr>
                <w:rFonts w:ascii="Times New Roman" w:eastAsia="ＭＳ ゴシック" w:hAnsi="Times New Roman"/>
                <w:szCs w:val="18"/>
                <w:lang w:eastAsia="ja-JP"/>
              </w:rPr>
              <w:t>PUR with serving cell RSRP for TA validation</w:t>
            </w:r>
          </w:p>
          <w:p w14:paraId="59BB94E2"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2497" w:type="dxa"/>
            <w:shd w:val="clear" w:color="auto" w:fill="auto"/>
          </w:tcPr>
          <w:p w14:paraId="0C4B7E31"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77" w:type="dxa"/>
            <w:shd w:val="clear" w:color="auto" w:fill="auto"/>
          </w:tcPr>
          <w:p w14:paraId="4734DA58"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2-3</w:t>
            </w:r>
          </w:p>
        </w:tc>
        <w:tc>
          <w:tcPr>
            <w:tcW w:w="1262" w:type="dxa"/>
            <w:shd w:val="clear" w:color="auto" w:fill="auto"/>
          </w:tcPr>
          <w:p w14:paraId="51A932D1"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630F5563"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5E4BB285" w14:textId="77777777" w:rsidR="00B22AAB" w:rsidRPr="001712A7" w:rsidRDefault="00B22AAB" w:rsidP="001712A7">
            <w:pPr>
              <w:keepNext/>
              <w:keepLines/>
              <w:rPr>
                <w:sz w:val="18"/>
                <w:szCs w:val="18"/>
              </w:rPr>
            </w:pPr>
            <w:r w:rsidRPr="001712A7">
              <w:rPr>
                <w:sz w:val="18"/>
                <w:szCs w:val="18"/>
              </w:rPr>
              <w:t>PUR will not use serving cell RSRP for TA validation</w:t>
            </w:r>
          </w:p>
        </w:tc>
        <w:tc>
          <w:tcPr>
            <w:tcW w:w="2064" w:type="dxa"/>
            <w:shd w:val="clear" w:color="auto" w:fill="auto"/>
          </w:tcPr>
          <w:p w14:paraId="190C8650" w14:textId="77777777" w:rsidR="00B22AAB" w:rsidRPr="001712A7" w:rsidRDefault="00B22AAB" w:rsidP="001712A7">
            <w:pPr>
              <w:keepNext/>
              <w:keepLines/>
              <w:rPr>
                <w:sz w:val="18"/>
                <w:szCs w:val="18"/>
              </w:rPr>
            </w:pPr>
            <w:r w:rsidRPr="001712A7">
              <w:rPr>
                <w:sz w:val="18"/>
                <w:szCs w:val="18"/>
              </w:rPr>
              <w:t>Per UE</w:t>
            </w:r>
          </w:p>
        </w:tc>
        <w:tc>
          <w:tcPr>
            <w:tcW w:w="1416" w:type="dxa"/>
            <w:shd w:val="clear" w:color="auto" w:fill="auto"/>
          </w:tcPr>
          <w:p w14:paraId="1089776B"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04B6FADF"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7AC2FCEC" w14:textId="77777777" w:rsidR="00B22AAB" w:rsidRPr="001712A7" w:rsidRDefault="00B22AAB" w:rsidP="001712A7">
            <w:pPr>
              <w:pStyle w:val="TAL"/>
              <w:rPr>
                <w:rFonts w:ascii="Times New Roman" w:eastAsia="ＭＳ ゴシック" w:hAnsi="Times New Roman"/>
                <w:szCs w:val="18"/>
                <w:lang w:eastAsia="ja-JP"/>
              </w:rPr>
            </w:pPr>
            <w:r w:rsidRPr="001712A7">
              <w:rPr>
                <w:rFonts w:ascii="Times New Roman" w:eastAsia="ＭＳ ゴシック" w:hAnsi="Times New Roman"/>
                <w:szCs w:val="18"/>
                <w:lang w:eastAsia="ja-JP"/>
              </w:rPr>
              <w:t>RAN2 has agreed that PUR with UP and CP solutions have separate indications, but this is not captured in this RAN1 UE feature list.</w:t>
            </w:r>
          </w:p>
          <w:p w14:paraId="256DE79E" w14:textId="77777777" w:rsidR="00B22AAB" w:rsidRPr="001712A7" w:rsidRDefault="00B22AAB" w:rsidP="001712A7">
            <w:pPr>
              <w:pStyle w:val="TAL"/>
              <w:rPr>
                <w:rFonts w:ascii="Times New Roman" w:eastAsia="ＭＳ ゴシック" w:hAnsi="Times New Roman"/>
                <w:szCs w:val="18"/>
                <w:lang w:eastAsia="ja-JP"/>
              </w:rPr>
            </w:pPr>
          </w:p>
          <w:p w14:paraId="045B51DF" w14:textId="77777777" w:rsidR="00B22AAB" w:rsidRPr="001712A7" w:rsidRDefault="00B22AAB" w:rsidP="001712A7">
            <w:pPr>
              <w:pStyle w:val="TAL"/>
              <w:rPr>
                <w:rFonts w:ascii="Times New Roman" w:eastAsia="ＭＳ ゴシック" w:hAnsi="Times New Roman"/>
                <w:szCs w:val="18"/>
                <w:lang w:eastAsia="ja-JP"/>
              </w:rPr>
            </w:pPr>
            <w:r w:rsidRPr="001712A7">
              <w:rPr>
                <w:rFonts w:ascii="Times New Roman" w:eastAsia="ＭＳ ゴシック" w:hAnsi="Times New Roman"/>
                <w:szCs w:val="18"/>
                <w:lang w:eastAsia="ja-JP"/>
              </w:rPr>
              <w:t>TA validation mechanisms based on ‘Serving cell changes’, ‘TA timer for idle mode’ and ‘TA always valid’ are mandatory for PUR UEs</w:t>
            </w:r>
          </w:p>
          <w:p w14:paraId="3E6097B4" w14:textId="77777777" w:rsidR="00B22AAB" w:rsidRPr="001712A7" w:rsidRDefault="00B22AAB" w:rsidP="001712A7">
            <w:pPr>
              <w:pStyle w:val="TAL"/>
              <w:rPr>
                <w:rFonts w:ascii="Times New Roman" w:eastAsia="ＭＳ ゴシック" w:hAnsi="Times New Roman"/>
                <w:szCs w:val="18"/>
                <w:lang w:eastAsia="ja-JP"/>
              </w:rPr>
            </w:pPr>
          </w:p>
          <w:p w14:paraId="1AA89701"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FFS: whether to keep this feature group 2-4 separately or put it as a component of FG 2-3</w:t>
            </w:r>
          </w:p>
        </w:tc>
        <w:tc>
          <w:tcPr>
            <w:tcW w:w="1907" w:type="dxa"/>
            <w:shd w:val="clear" w:color="auto" w:fill="auto"/>
          </w:tcPr>
          <w:p w14:paraId="50B5C732"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03CE9BE6" w14:textId="77777777" w:rsidR="00B22AAB" w:rsidRDefault="00B22AAB" w:rsidP="00B22AAB">
      <w:pPr>
        <w:rPr>
          <w:lang w:val="en-US"/>
        </w:rPr>
      </w:pPr>
    </w:p>
    <w:p w14:paraId="283F7D7B" w14:textId="77777777" w:rsidR="00B22AAB" w:rsidRDefault="00B22AAB" w:rsidP="00B22AAB">
      <w:pPr>
        <w:rPr>
          <w:lang w:val="en-US"/>
        </w:rPr>
      </w:pPr>
    </w:p>
    <w:p w14:paraId="26BD90A2" w14:textId="77777777" w:rsidR="00B22AAB" w:rsidRDefault="00B22AAB" w:rsidP="00B22AAB">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B22AAB" w14:paraId="398DD41C" w14:textId="77777777" w:rsidTr="001712A7">
        <w:tc>
          <w:tcPr>
            <w:tcW w:w="846" w:type="dxa"/>
          </w:tcPr>
          <w:p w14:paraId="51624C20" w14:textId="77777777" w:rsidR="00B22AAB" w:rsidRDefault="00B22AAB" w:rsidP="001712A7">
            <w:pPr>
              <w:spacing w:afterLines="50" w:after="120"/>
              <w:jc w:val="both"/>
              <w:rPr>
                <w:rFonts w:eastAsia="ＭＳ 明朝"/>
                <w:sz w:val="22"/>
              </w:rPr>
            </w:pPr>
            <w:r>
              <w:rPr>
                <w:rFonts w:eastAsia="ＭＳ 明朝"/>
                <w:sz w:val="22"/>
              </w:rPr>
              <w:t>[3]</w:t>
            </w:r>
          </w:p>
        </w:tc>
        <w:tc>
          <w:tcPr>
            <w:tcW w:w="2977" w:type="dxa"/>
          </w:tcPr>
          <w:p w14:paraId="430F4715" w14:textId="77777777" w:rsidR="00B22AAB" w:rsidRPr="00BC6D2B" w:rsidRDefault="00B22AAB" w:rsidP="001712A7">
            <w:pPr>
              <w:spacing w:afterLines="50" w:after="120"/>
              <w:jc w:val="both"/>
              <w:rPr>
                <w:sz w:val="22"/>
                <w:lang w:val="en-US"/>
              </w:rPr>
            </w:pPr>
            <w:r w:rsidRPr="009C206E">
              <w:rPr>
                <w:rFonts w:eastAsia="ＭＳ 明朝"/>
                <w:sz w:val="22"/>
              </w:rPr>
              <w:t>Qualcomm</w:t>
            </w:r>
          </w:p>
        </w:tc>
        <w:tc>
          <w:tcPr>
            <w:tcW w:w="18560" w:type="dxa"/>
          </w:tcPr>
          <w:p w14:paraId="3C26DA34" w14:textId="77777777" w:rsidR="00B22AAB" w:rsidRPr="00E7638C" w:rsidRDefault="00B22AAB" w:rsidP="001712A7">
            <w:pPr>
              <w:spacing w:afterLines="50" w:after="120"/>
              <w:jc w:val="both"/>
              <w:rPr>
                <w:sz w:val="22"/>
              </w:rPr>
            </w:pPr>
            <w:r>
              <w:rPr>
                <w:sz w:val="22"/>
              </w:rPr>
              <w:t xml:space="preserve">Remove brackets for FG2-4 and </w:t>
            </w:r>
            <w:r w:rsidRPr="001A31EF">
              <w:rPr>
                <w:sz w:val="22"/>
              </w:rPr>
              <w:t xml:space="preserve">Keep </w:t>
            </w:r>
            <w:r>
              <w:rPr>
                <w:sz w:val="22"/>
              </w:rPr>
              <w:t>FG2-3/2-4</w:t>
            </w:r>
            <w:r w:rsidRPr="001A31EF">
              <w:rPr>
                <w:sz w:val="22"/>
              </w:rPr>
              <w:t xml:space="preserve"> a</w:t>
            </w:r>
            <w:r>
              <w:rPr>
                <w:sz w:val="22"/>
              </w:rPr>
              <w:t>s</w:t>
            </w:r>
            <w:r w:rsidRPr="001A31EF">
              <w:rPr>
                <w:sz w:val="22"/>
              </w:rPr>
              <w:t xml:space="preserve"> separate FG</w:t>
            </w:r>
            <w:r>
              <w:rPr>
                <w:sz w:val="22"/>
              </w:rPr>
              <w:t>s</w:t>
            </w:r>
            <w:r w:rsidRPr="001A31EF">
              <w:rPr>
                <w:sz w:val="22"/>
              </w:rPr>
              <w:t>.</w:t>
            </w:r>
          </w:p>
        </w:tc>
      </w:tr>
      <w:tr w:rsidR="00B22AAB" w14:paraId="03686874" w14:textId="77777777" w:rsidTr="001712A7">
        <w:tc>
          <w:tcPr>
            <w:tcW w:w="846" w:type="dxa"/>
          </w:tcPr>
          <w:p w14:paraId="110EFA23" w14:textId="77777777" w:rsidR="00B22AAB" w:rsidRDefault="00B22AAB" w:rsidP="001712A7">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2977" w:type="dxa"/>
          </w:tcPr>
          <w:p w14:paraId="069EBA87" w14:textId="77777777" w:rsidR="00B22AAB" w:rsidRPr="009C206E" w:rsidRDefault="00B22AAB" w:rsidP="001712A7">
            <w:pPr>
              <w:spacing w:afterLines="50" w:after="120"/>
              <w:jc w:val="both"/>
              <w:rPr>
                <w:rFonts w:eastAsia="ＭＳ 明朝"/>
                <w:sz w:val="22"/>
              </w:rPr>
            </w:pPr>
            <w:r w:rsidRPr="00181516">
              <w:rPr>
                <w:rFonts w:eastAsia="ＭＳ 明朝"/>
                <w:sz w:val="22"/>
              </w:rPr>
              <w:t>Ericsson</w:t>
            </w:r>
          </w:p>
        </w:tc>
        <w:tc>
          <w:tcPr>
            <w:tcW w:w="18560" w:type="dxa"/>
          </w:tcPr>
          <w:p w14:paraId="12668E29" w14:textId="77777777" w:rsidR="00B22AAB" w:rsidRDefault="00B22AAB" w:rsidP="001712A7">
            <w:pPr>
              <w:spacing w:afterLines="50" w:after="120"/>
              <w:jc w:val="both"/>
              <w:rPr>
                <w:sz w:val="22"/>
              </w:rPr>
            </w:pPr>
            <w:r w:rsidRPr="00F05B2D">
              <w:rPr>
                <w:rFonts w:ascii="Arial" w:eastAsiaTheme="minorEastAsia" w:hAnsi="Arial" w:cstheme="minorBidi"/>
                <w:b/>
                <w:bCs/>
                <w:kern w:val="2"/>
                <w:sz w:val="21"/>
                <w:szCs w:val="22"/>
                <w:lang w:val="en-US" w:eastAsia="zh-CN"/>
              </w:rPr>
              <w:t>Proposal 2</w:t>
            </w:r>
            <w:r w:rsidRPr="00F05B2D">
              <w:rPr>
                <w:rFonts w:ascii="Arial" w:eastAsiaTheme="minorEastAsia" w:hAnsi="Arial" w:cstheme="minorBidi"/>
                <w:b/>
                <w:bCs/>
                <w:kern w:val="2"/>
                <w:sz w:val="21"/>
                <w:szCs w:val="22"/>
                <w:lang w:val="en-US" w:eastAsia="zh-CN"/>
              </w:rPr>
              <w:tab/>
              <w:t>Discuss whether there is reason from IODT point of view to keep PUR with serving cell RSRP for TA validation as a separate feature group.</w:t>
            </w:r>
          </w:p>
        </w:tc>
      </w:tr>
      <w:tr w:rsidR="00B22AAB" w14:paraId="44BC2D1B" w14:textId="77777777" w:rsidTr="001712A7">
        <w:tc>
          <w:tcPr>
            <w:tcW w:w="846" w:type="dxa"/>
          </w:tcPr>
          <w:p w14:paraId="577BEE66" w14:textId="77777777" w:rsidR="00B22AAB" w:rsidRDefault="00B22AAB" w:rsidP="001712A7">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4875AB1A" w14:textId="77777777" w:rsidR="00B22AAB" w:rsidRPr="00181516" w:rsidRDefault="00B22AAB" w:rsidP="001712A7">
            <w:pPr>
              <w:spacing w:afterLines="50" w:after="120"/>
              <w:jc w:val="both"/>
              <w:rPr>
                <w:rFonts w:eastAsia="ＭＳ 明朝"/>
                <w:sz w:val="22"/>
              </w:rPr>
            </w:pPr>
            <w:r w:rsidRPr="00534B32">
              <w:rPr>
                <w:sz w:val="22"/>
                <w:lang w:val="en-US"/>
              </w:rPr>
              <w:t>Huawei, HiSilicon</w:t>
            </w:r>
          </w:p>
        </w:tc>
        <w:tc>
          <w:tcPr>
            <w:tcW w:w="18560" w:type="dxa"/>
          </w:tcPr>
          <w:p w14:paraId="6531DB6F" w14:textId="77777777" w:rsidR="00B22AAB" w:rsidRPr="00351B93" w:rsidRDefault="00B22AAB" w:rsidP="001712A7">
            <w:pPr>
              <w:pStyle w:val="ad"/>
              <w:jc w:val="both"/>
              <w:rPr>
                <w:rFonts w:eastAsia="ＭＳ 明朝"/>
                <w:sz w:val="22"/>
                <w:szCs w:val="22"/>
              </w:rPr>
            </w:pPr>
            <w:bookmarkStart w:id="5" w:name="_Ref36573750"/>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2</w:t>
            </w:r>
            <w:r w:rsidRPr="00E25F41">
              <w:rPr>
                <w:sz w:val="22"/>
                <w:szCs w:val="22"/>
              </w:rPr>
              <w:fldChar w:fldCharType="end"/>
            </w:r>
            <w:r w:rsidRPr="00E25F41">
              <w:rPr>
                <w:sz w:val="22"/>
                <w:szCs w:val="22"/>
              </w:rPr>
              <w:t xml:space="preserve">: FG 2-4 (PUR with </w:t>
            </w:r>
            <w:r w:rsidRPr="00E25F41">
              <w:rPr>
                <w:rFonts w:eastAsia="ＭＳ 明朝"/>
                <w:sz w:val="22"/>
                <w:szCs w:val="22"/>
              </w:rPr>
              <w:t>serving cell RSRP for TA validation) is a component to FG 2-3.</w:t>
            </w:r>
            <w:bookmarkEnd w:id="5"/>
          </w:p>
        </w:tc>
      </w:tr>
    </w:tbl>
    <w:p w14:paraId="021B4159" w14:textId="77777777" w:rsidR="00B22AAB" w:rsidRDefault="00B22AAB" w:rsidP="00B22AAB">
      <w:pPr>
        <w:rPr>
          <w:lang w:val="en-US"/>
        </w:rPr>
      </w:pPr>
    </w:p>
    <w:p w14:paraId="6AA6B352" w14:textId="77777777" w:rsidR="00B22AAB" w:rsidRPr="003D7EA7" w:rsidRDefault="00B22AAB" w:rsidP="00B22AAB">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w:t>
      </w:r>
      <w:r>
        <w:rPr>
          <w:b/>
          <w:bCs/>
          <w:sz w:val="22"/>
          <w:lang w:val="en-US"/>
        </w:rPr>
        <w:t>2-4</w:t>
      </w:r>
      <w:r w:rsidRPr="003D7EA7">
        <w:rPr>
          <w:b/>
          <w:bCs/>
          <w:sz w:val="22"/>
          <w:lang w:val="en-US"/>
        </w:rPr>
        <w:t>.</w:t>
      </w:r>
    </w:p>
    <w:p w14:paraId="4933A941" w14:textId="6F6C9F12" w:rsidR="001712A7" w:rsidRPr="004B53A9" w:rsidRDefault="001712A7" w:rsidP="001712A7">
      <w:pPr>
        <w:pStyle w:val="aff"/>
        <w:numPr>
          <w:ilvl w:val="0"/>
          <w:numId w:val="28"/>
        </w:numPr>
        <w:spacing w:afterLines="50" w:after="120"/>
        <w:ind w:leftChars="0"/>
        <w:jc w:val="both"/>
        <w:rPr>
          <w:b/>
          <w:bCs/>
          <w:sz w:val="22"/>
          <w:lang w:val="en-US"/>
        </w:rPr>
      </w:pPr>
      <w:r w:rsidRPr="004B53A9">
        <w:rPr>
          <w:b/>
          <w:bCs/>
          <w:sz w:val="22"/>
          <w:lang w:val="en-US"/>
        </w:rPr>
        <w:t>Whether FG</w:t>
      </w:r>
      <w:r>
        <w:rPr>
          <w:b/>
          <w:bCs/>
          <w:sz w:val="22"/>
          <w:lang w:val="en-US"/>
        </w:rPr>
        <w:t>2</w:t>
      </w:r>
      <w:r w:rsidRPr="004B53A9">
        <w:rPr>
          <w:b/>
          <w:bCs/>
          <w:sz w:val="22"/>
          <w:lang w:val="en-US"/>
        </w:rPr>
        <w:t>-</w:t>
      </w:r>
      <w:r>
        <w:rPr>
          <w:b/>
          <w:bCs/>
          <w:sz w:val="22"/>
          <w:lang w:val="en-US"/>
        </w:rPr>
        <w:t>4</w:t>
      </w:r>
      <w:r w:rsidRPr="004B53A9">
        <w:rPr>
          <w:b/>
          <w:bCs/>
          <w:sz w:val="22"/>
          <w:lang w:val="en-US"/>
        </w:rPr>
        <w:t xml:space="preserve"> is a separate FG</w:t>
      </w:r>
      <w:r>
        <w:rPr>
          <w:b/>
          <w:bCs/>
          <w:sz w:val="22"/>
          <w:lang w:val="en-US"/>
        </w:rPr>
        <w:t xml:space="preserve"> (i.e., remove bracket)</w:t>
      </w:r>
      <w:r w:rsidRPr="004B53A9">
        <w:rPr>
          <w:b/>
          <w:bCs/>
          <w:sz w:val="22"/>
          <w:lang w:val="en-US"/>
        </w:rPr>
        <w:t xml:space="preserve"> or </w:t>
      </w:r>
      <w:r>
        <w:rPr>
          <w:b/>
          <w:bCs/>
          <w:sz w:val="22"/>
          <w:lang w:val="en-US"/>
        </w:rPr>
        <w:t xml:space="preserve">FG2-4 is removed and added as </w:t>
      </w:r>
      <w:r w:rsidRPr="004B53A9">
        <w:rPr>
          <w:b/>
          <w:bCs/>
          <w:sz w:val="22"/>
          <w:lang w:val="en-US"/>
        </w:rPr>
        <w:t>a component in FG</w:t>
      </w:r>
      <w:r>
        <w:rPr>
          <w:b/>
          <w:bCs/>
          <w:sz w:val="22"/>
          <w:lang w:val="en-US"/>
        </w:rPr>
        <w:t>2</w:t>
      </w:r>
      <w:r w:rsidRPr="004B53A9">
        <w:rPr>
          <w:b/>
          <w:bCs/>
          <w:sz w:val="22"/>
          <w:lang w:val="en-US"/>
        </w:rPr>
        <w:t>-</w:t>
      </w:r>
      <w:r>
        <w:rPr>
          <w:b/>
          <w:bCs/>
          <w:sz w:val="22"/>
          <w:lang w:val="en-US"/>
        </w:rPr>
        <w:t>3</w:t>
      </w:r>
    </w:p>
    <w:p w14:paraId="0FC7504C" w14:textId="1C78DAD1" w:rsidR="001712A7" w:rsidRPr="004B53A9" w:rsidRDefault="001712A7" w:rsidP="001712A7">
      <w:pPr>
        <w:pStyle w:val="aff"/>
        <w:numPr>
          <w:ilvl w:val="1"/>
          <w:numId w:val="28"/>
        </w:numPr>
        <w:spacing w:afterLines="50" w:after="120"/>
        <w:ind w:leftChars="0"/>
        <w:jc w:val="both"/>
        <w:rPr>
          <w:b/>
          <w:bCs/>
          <w:sz w:val="22"/>
          <w:lang w:val="en-US"/>
        </w:rPr>
      </w:pPr>
      <w:bookmarkStart w:id="6" w:name="_Hlk37873057"/>
      <w:r>
        <w:rPr>
          <w:rFonts w:hint="eastAsia"/>
          <w:b/>
          <w:bCs/>
          <w:sz w:val="22"/>
          <w:lang w:val="en-US"/>
        </w:rPr>
        <w:t>W</w:t>
      </w:r>
      <w:r>
        <w:rPr>
          <w:b/>
          <w:bCs/>
          <w:sz w:val="22"/>
          <w:lang w:val="en-US"/>
        </w:rPr>
        <w:t>hether this issue should be discussed with [1-7] jointly or individually</w:t>
      </w:r>
    </w:p>
    <w:bookmarkEnd w:id="6"/>
    <w:p w14:paraId="0B348326" w14:textId="3A54CB77" w:rsidR="00B22AAB" w:rsidRDefault="00B22AAB" w:rsidP="00B22AAB">
      <w:pPr>
        <w:rPr>
          <w:lang w:val="en-US"/>
        </w:rPr>
      </w:pPr>
    </w:p>
    <w:p w14:paraId="620E6740" w14:textId="5D9BE5FA" w:rsidR="001712A7" w:rsidRDefault="001712A7" w:rsidP="00B22AAB">
      <w:pPr>
        <w:rPr>
          <w:lang w:val="en-US"/>
        </w:rPr>
      </w:pPr>
    </w:p>
    <w:p w14:paraId="40D29EF5" w14:textId="77777777" w:rsidR="001712A7" w:rsidRPr="001712A7" w:rsidRDefault="001712A7" w:rsidP="00B22AAB">
      <w:pPr>
        <w:rPr>
          <w:rFonts w:hint="eastAsia"/>
          <w:lang w:val="en-US"/>
        </w:rPr>
      </w:pPr>
    </w:p>
    <w:p w14:paraId="705642EC" w14:textId="77777777" w:rsidR="00B22AAB" w:rsidRPr="00621DAE" w:rsidRDefault="00B22AAB" w:rsidP="00B22AAB">
      <w:pPr>
        <w:pStyle w:val="1"/>
        <w:numPr>
          <w:ilvl w:val="0"/>
          <w:numId w:val="4"/>
        </w:numPr>
        <w:spacing w:before="180" w:after="120"/>
        <w:rPr>
          <w:rFonts w:eastAsia="ＭＳ 明朝"/>
          <w:b/>
          <w:bCs/>
          <w:szCs w:val="24"/>
          <w:lang w:val="en-US"/>
        </w:rPr>
      </w:pPr>
      <w:r>
        <w:rPr>
          <w:rFonts w:eastAsia="ＭＳ 明朝"/>
          <w:b/>
          <w:bCs/>
          <w:szCs w:val="24"/>
          <w:lang w:val="en-US"/>
        </w:rPr>
        <w:t xml:space="preserve">2-5: </w:t>
      </w:r>
      <w:r w:rsidRPr="003822AE">
        <w:rPr>
          <w:rFonts w:eastAsia="ＭＳ 明朝"/>
          <w:b/>
          <w:bCs/>
          <w:szCs w:val="24"/>
          <w:lang w:val="en-US"/>
        </w:rPr>
        <w:t>PUR with L1 ACK</w:t>
      </w:r>
    </w:p>
    <w:p w14:paraId="385244C1" w14:textId="77777777" w:rsidR="00B22AAB" w:rsidRDefault="00B22AAB" w:rsidP="00B22AAB">
      <w:pPr>
        <w:rPr>
          <w:lang w:val="en-US"/>
        </w:rPr>
      </w:pPr>
      <w:r w:rsidRPr="00890250">
        <w:rPr>
          <w:lang w:val="en-US"/>
        </w:rPr>
        <w:t>In [1], FG</w:t>
      </w:r>
      <w:r>
        <w:rPr>
          <w:lang w:val="en-US"/>
        </w:rPr>
        <w:t>2-5</w:t>
      </w:r>
      <w:r w:rsidRPr="00890250">
        <w:rPr>
          <w:lang w:val="en-US"/>
        </w:rPr>
        <w:t xml:space="preserve"> is captured as below.</w:t>
      </w:r>
    </w:p>
    <w:p w14:paraId="4724850B" w14:textId="77777777" w:rsidR="00B22AAB" w:rsidRDefault="00B22AAB" w:rsidP="00B22AAB">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B22AAB" w:rsidRPr="00890250" w14:paraId="546F4F3A" w14:textId="77777777" w:rsidTr="001712A7">
        <w:tc>
          <w:tcPr>
            <w:tcW w:w="1838" w:type="dxa"/>
            <w:shd w:val="clear" w:color="auto" w:fill="auto"/>
          </w:tcPr>
          <w:p w14:paraId="5F10C42C"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2142A946"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5649B61"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4FA98D83"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6A6BA0D"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353C47EF"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64A0730A"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A6A30F4"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56E4F72D"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hint="eastAsia"/>
                <w:b/>
                <w:sz w:val="18"/>
              </w:rPr>
              <w:t>Type</w:t>
            </w:r>
          </w:p>
          <w:p w14:paraId="28EB60FA"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8F41250"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766F6971"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2B2D00D9"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788654C7"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B22AAB" w:rsidRPr="00890250" w14:paraId="5C19EECD" w14:textId="77777777" w:rsidTr="001712A7">
        <w:tc>
          <w:tcPr>
            <w:tcW w:w="1838" w:type="dxa"/>
            <w:shd w:val="clear" w:color="auto" w:fill="auto"/>
          </w:tcPr>
          <w:p w14:paraId="4D3F4481" w14:textId="77777777" w:rsidR="00B22AAB" w:rsidRPr="001712A7" w:rsidRDefault="00B22AAB" w:rsidP="001712A7">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0F33D9F0"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2-5</w:t>
            </w:r>
          </w:p>
        </w:tc>
        <w:tc>
          <w:tcPr>
            <w:tcW w:w="1539" w:type="dxa"/>
            <w:shd w:val="clear" w:color="auto" w:fill="auto"/>
          </w:tcPr>
          <w:p w14:paraId="533C9431" w14:textId="77777777" w:rsidR="00B22AAB" w:rsidRPr="001712A7" w:rsidRDefault="00B22AAB" w:rsidP="001712A7">
            <w:pPr>
              <w:pStyle w:val="TAL"/>
              <w:rPr>
                <w:rFonts w:ascii="Times New Roman" w:eastAsia="ＭＳ ゴシック" w:hAnsi="Times New Roman"/>
                <w:szCs w:val="18"/>
                <w:lang w:eastAsia="ja-JP"/>
              </w:rPr>
            </w:pPr>
            <w:r w:rsidRPr="001712A7">
              <w:rPr>
                <w:rFonts w:ascii="Times New Roman" w:eastAsia="ＭＳ ゴシック" w:hAnsi="Times New Roman"/>
                <w:szCs w:val="18"/>
                <w:lang w:eastAsia="ja-JP"/>
              </w:rPr>
              <w:t>PUR with L1 ACK</w:t>
            </w:r>
          </w:p>
          <w:p w14:paraId="560E0AFE"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2497" w:type="dxa"/>
            <w:shd w:val="clear" w:color="auto" w:fill="auto"/>
          </w:tcPr>
          <w:p w14:paraId="73C8A164"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77" w:type="dxa"/>
            <w:shd w:val="clear" w:color="auto" w:fill="auto"/>
          </w:tcPr>
          <w:p w14:paraId="72E4617A"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2-3</w:t>
            </w:r>
          </w:p>
        </w:tc>
        <w:tc>
          <w:tcPr>
            <w:tcW w:w="1262" w:type="dxa"/>
            <w:shd w:val="clear" w:color="auto" w:fill="auto"/>
          </w:tcPr>
          <w:p w14:paraId="3E7C71BE"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47245992"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588CFDD2" w14:textId="77777777" w:rsidR="00B22AAB" w:rsidRPr="001712A7" w:rsidRDefault="00B22AAB" w:rsidP="001712A7">
            <w:pPr>
              <w:keepNext/>
              <w:keepLines/>
              <w:rPr>
                <w:sz w:val="18"/>
                <w:szCs w:val="18"/>
              </w:rPr>
            </w:pPr>
            <w:r w:rsidRPr="001712A7">
              <w:rPr>
                <w:sz w:val="18"/>
                <w:szCs w:val="18"/>
              </w:rPr>
              <w:t>PUR will not use L1 ACK</w:t>
            </w:r>
          </w:p>
        </w:tc>
        <w:tc>
          <w:tcPr>
            <w:tcW w:w="2064" w:type="dxa"/>
            <w:shd w:val="clear" w:color="auto" w:fill="auto"/>
          </w:tcPr>
          <w:p w14:paraId="33F23B94" w14:textId="77777777" w:rsidR="00B22AAB" w:rsidRPr="001712A7" w:rsidRDefault="00B22AAB" w:rsidP="001712A7">
            <w:pPr>
              <w:keepNext/>
              <w:keepLines/>
              <w:rPr>
                <w:sz w:val="18"/>
                <w:szCs w:val="18"/>
              </w:rPr>
            </w:pPr>
            <w:r w:rsidRPr="001712A7">
              <w:rPr>
                <w:sz w:val="18"/>
                <w:szCs w:val="18"/>
              </w:rPr>
              <w:t>Per UE</w:t>
            </w:r>
          </w:p>
        </w:tc>
        <w:tc>
          <w:tcPr>
            <w:tcW w:w="1416" w:type="dxa"/>
            <w:shd w:val="clear" w:color="auto" w:fill="auto"/>
          </w:tcPr>
          <w:p w14:paraId="6EE471E2"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4CF1D221"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74170C89" w14:textId="77777777" w:rsidR="00B22AAB" w:rsidRPr="001712A7" w:rsidRDefault="00B22AAB" w:rsidP="001712A7">
            <w:pPr>
              <w:pStyle w:val="TAL"/>
              <w:rPr>
                <w:rFonts w:ascii="Times New Roman" w:eastAsia="ＭＳ ゴシック" w:hAnsi="Times New Roman"/>
                <w:szCs w:val="18"/>
                <w:lang w:eastAsia="ja-JP"/>
              </w:rPr>
            </w:pPr>
            <w:r w:rsidRPr="001712A7">
              <w:rPr>
                <w:rFonts w:ascii="Times New Roman" w:eastAsia="ＭＳ ゴシック" w:hAnsi="Times New Roman"/>
                <w:szCs w:val="18"/>
                <w:lang w:eastAsia="ja-JP"/>
              </w:rPr>
              <w:t>RAN2 has agreed that PUR with UP and CP solutions have separate indications, but this is not captured in this RAN1 UE feature list.</w:t>
            </w:r>
          </w:p>
          <w:p w14:paraId="3348C7BA" w14:textId="77777777" w:rsidR="00B22AAB" w:rsidRPr="001712A7" w:rsidRDefault="00B22AAB" w:rsidP="001712A7">
            <w:pPr>
              <w:pStyle w:val="TAL"/>
              <w:rPr>
                <w:rFonts w:ascii="Times New Roman" w:eastAsia="ＭＳ ゴシック" w:hAnsi="Times New Roman"/>
                <w:szCs w:val="18"/>
                <w:lang w:eastAsia="ja-JP"/>
              </w:rPr>
            </w:pPr>
          </w:p>
          <w:p w14:paraId="0A22EA0A"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07" w:type="dxa"/>
            <w:shd w:val="clear" w:color="auto" w:fill="auto"/>
          </w:tcPr>
          <w:p w14:paraId="78792F56"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69EB125A" w14:textId="77777777" w:rsidR="00B22AAB" w:rsidRDefault="00B22AAB" w:rsidP="00B22AAB">
      <w:pPr>
        <w:rPr>
          <w:lang w:val="en-US"/>
        </w:rPr>
      </w:pPr>
    </w:p>
    <w:p w14:paraId="7A2BE567" w14:textId="77777777" w:rsidR="00B22AAB" w:rsidRDefault="00B22AAB" w:rsidP="00B22AAB">
      <w:pPr>
        <w:rPr>
          <w:lang w:val="en-US"/>
        </w:rPr>
      </w:pPr>
    </w:p>
    <w:p w14:paraId="010C910A" w14:textId="77777777" w:rsidR="00B22AAB" w:rsidRDefault="00B22AAB" w:rsidP="00B22AAB">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B22AAB" w14:paraId="7DF8892B" w14:textId="77777777" w:rsidTr="001712A7">
        <w:tc>
          <w:tcPr>
            <w:tcW w:w="846" w:type="dxa"/>
          </w:tcPr>
          <w:p w14:paraId="5A24E068" w14:textId="77777777" w:rsidR="00B22AAB" w:rsidRDefault="00B22AAB" w:rsidP="001712A7">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53C1E354" w14:textId="77777777" w:rsidR="00B22AAB" w:rsidRPr="00BC6D2B" w:rsidRDefault="00B22AAB" w:rsidP="001712A7">
            <w:pPr>
              <w:spacing w:afterLines="50" w:after="120"/>
              <w:jc w:val="both"/>
              <w:rPr>
                <w:sz w:val="22"/>
                <w:lang w:val="en-US"/>
              </w:rPr>
            </w:pPr>
            <w:r w:rsidRPr="00534B32">
              <w:rPr>
                <w:sz w:val="22"/>
                <w:lang w:val="en-US"/>
              </w:rPr>
              <w:t>Huawei, HiSilicon</w:t>
            </w:r>
          </w:p>
        </w:tc>
        <w:tc>
          <w:tcPr>
            <w:tcW w:w="18560" w:type="dxa"/>
          </w:tcPr>
          <w:p w14:paraId="503AE1E2" w14:textId="77777777" w:rsidR="00B22AAB" w:rsidRPr="00901B55" w:rsidRDefault="00B22AAB" w:rsidP="001712A7">
            <w:pPr>
              <w:pStyle w:val="ad"/>
              <w:jc w:val="both"/>
              <w:rPr>
                <w:rFonts w:eastAsia="ＭＳ 明朝"/>
                <w:sz w:val="22"/>
                <w:szCs w:val="22"/>
              </w:rPr>
            </w:pPr>
            <w:bookmarkStart w:id="7" w:name="_Ref36573754"/>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3</w:t>
            </w:r>
            <w:r w:rsidRPr="00E25F41">
              <w:rPr>
                <w:sz w:val="22"/>
                <w:szCs w:val="22"/>
              </w:rPr>
              <w:fldChar w:fldCharType="end"/>
            </w:r>
            <w:r w:rsidRPr="00E25F41">
              <w:rPr>
                <w:rFonts w:eastAsia="ＭＳ 明朝"/>
                <w:sz w:val="22"/>
                <w:szCs w:val="22"/>
              </w:rPr>
              <w:t>: FG 2-5 (PUR with L1 ACK) is a component of FG 2-3.</w:t>
            </w:r>
            <w:bookmarkEnd w:id="7"/>
          </w:p>
        </w:tc>
      </w:tr>
    </w:tbl>
    <w:p w14:paraId="42B3304E" w14:textId="77777777" w:rsidR="00B22AAB" w:rsidRDefault="00B22AAB" w:rsidP="00B22AAB">
      <w:pPr>
        <w:rPr>
          <w:lang w:val="en-US"/>
        </w:rPr>
      </w:pPr>
    </w:p>
    <w:p w14:paraId="6F50F993" w14:textId="77777777" w:rsidR="00B22AAB" w:rsidRPr="003D7EA7" w:rsidRDefault="00B22AAB" w:rsidP="00B22AAB">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w:t>
      </w:r>
      <w:r>
        <w:rPr>
          <w:b/>
          <w:bCs/>
          <w:sz w:val="22"/>
          <w:lang w:val="en-US"/>
        </w:rPr>
        <w:t>2-5</w:t>
      </w:r>
      <w:r w:rsidRPr="003D7EA7">
        <w:rPr>
          <w:b/>
          <w:bCs/>
          <w:sz w:val="22"/>
          <w:lang w:val="en-US"/>
        </w:rPr>
        <w:t>.</w:t>
      </w:r>
    </w:p>
    <w:p w14:paraId="5301D731" w14:textId="118F8E96" w:rsidR="001712A7" w:rsidRPr="004B53A9" w:rsidRDefault="001712A7" w:rsidP="001712A7">
      <w:pPr>
        <w:pStyle w:val="aff"/>
        <w:numPr>
          <w:ilvl w:val="0"/>
          <w:numId w:val="28"/>
        </w:numPr>
        <w:spacing w:afterLines="50" w:after="120"/>
        <w:ind w:leftChars="0"/>
        <w:jc w:val="both"/>
        <w:rPr>
          <w:b/>
          <w:bCs/>
          <w:sz w:val="22"/>
          <w:lang w:val="en-US"/>
        </w:rPr>
      </w:pPr>
      <w:r w:rsidRPr="004B53A9">
        <w:rPr>
          <w:b/>
          <w:bCs/>
          <w:sz w:val="22"/>
          <w:lang w:val="en-US"/>
        </w:rPr>
        <w:t>Whether FG</w:t>
      </w:r>
      <w:r>
        <w:rPr>
          <w:b/>
          <w:bCs/>
          <w:sz w:val="22"/>
          <w:lang w:val="en-US"/>
        </w:rPr>
        <w:t>2</w:t>
      </w:r>
      <w:r w:rsidRPr="004B53A9">
        <w:rPr>
          <w:b/>
          <w:bCs/>
          <w:sz w:val="22"/>
          <w:lang w:val="en-US"/>
        </w:rPr>
        <w:t>-</w:t>
      </w:r>
      <w:r>
        <w:rPr>
          <w:b/>
          <w:bCs/>
          <w:sz w:val="22"/>
          <w:lang w:val="en-US"/>
        </w:rPr>
        <w:t>5</w:t>
      </w:r>
      <w:r w:rsidRPr="004B53A9">
        <w:rPr>
          <w:b/>
          <w:bCs/>
          <w:sz w:val="22"/>
          <w:lang w:val="en-US"/>
        </w:rPr>
        <w:t xml:space="preserve"> is </w:t>
      </w:r>
      <w:r>
        <w:rPr>
          <w:b/>
          <w:bCs/>
          <w:sz w:val="22"/>
          <w:lang w:val="en-US"/>
        </w:rPr>
        <w:t xml:space="preserve">kept as </w:t>
      </w:r>
      <w:r w:rsidRPr="004B53A9">
        <w:rPr>
          <w:b/>
          <w:bCs/>
          <w:sz w:val="22"/>
          <w:lang w:val="en-US"/>
        </w:rPr>
        <w:t xml:space="preserve">a separate FG or </w:t>
      </w:r>
      <w:r>
        <w:rPr>
          <w:b/>
          <w:bCs/>
          <w:sz w:val="22"/>
          <w:lang w:val="en-US"/>
        </w:rPr>
        <w:t xml:space="preserve">FG2-5 is removed and added as </w:t>
      </w:r>
      <w:r w:rsidRPr="004B53A9">
        <w:rPr>
          <w:b/>
          <w:bCs/>
          <w:sz w:val="22"/>
          <w:lang w:val="en-US"/>
        </w:rPr>
        <w:t>a component in FG</w:t>
      </w:r>
      <w:r>
        <w:rPr>
          <w:b/>
          <w:bCs/>
          <w:sz w:val="22"/>
          <w:lang w:val="en-US"/>
        </w:rPr>
        <w:t>2</w:t>
      </w:r>
      <w:r w:rsidRPr="004B53A9">
        <w:rPr>
          <w:b/>
          <w:bCs/>
          <w:sz w:val="22"/>
          <w:lang w:val="en-US"/>
        </w:rPr>
        <w:t>-</w:t>
      </w:r>
      <w:r>
        <w:rPr>
          <w:b/>
          <w:bCs/>
          <w:sz w:val="22"/>
          <w:lang w:val="en-US"/>
        </w:rPr>
        <w:t>3</w:t>
      </w:r>
    </w:p>
    <w:p w14:paraId="6A390FFA" w14:textId="2F3F8E8F" w:rsidR="001712A7" w:rsidRPr="004B53A9" w:rsidRDefault="001712A7" w:rsidP="001712A7">
      <w:pPr>
        <w:pStyle w:val="aff"/>
        <w:numPr>
          <w:ilvl w:val="1"/>
          <w:numId w:val="28"/>
        </w:numPr>
        <w:spacing w:afterLines="50" w:after="120"/>
        <w:ind w:leftChars="0"/>
        <w:jc w:val="both"/>
        <w:rPr>
          <w:b/>
          <w:bCs/>
          <w:sz w:val="22"/>
          <w:lang w:val="en-US"/>
        </w:rPr>
      </w:pPr>
      <w:bookmarkStart w:id="8" w:name="_Hlk37873277"/>
      <w:r>
        <w:rPr>
          <w:rFonts w:hint="eastAsia"/>
          <w:b/>
          <w:bCs/>
          <w:sz w:val="22"/>
          <w:lang w:val="en-US"/>
        </w:rPr>
        <w:t>W</w:t>
      </w:r>
      <w:r>
        <w:rPr>
          <w:b/>
          <w:bCs/>
          <w:sz w:val="22"/>
          <w:lang w:val="en-US"/>
        </w:rPr>
        <w:t>hether this issue should be discussed with 1-9 jointly or individually</w:t>
      </w:r>
    </w:p>
    <w:bookmarkEnd w:id="8"/>
    <w:p w14:paraId="1B7BE43C" w14:textId="13BC626E" w:rsidR="00B22AAB" w:rsidRDefault="00B22AAB" w:rsidP="00B22AAB">
      <w:pPr>
        <w:rPr>
          <w:lang w:val="en-US"/>
        </w:rPr>
      </w:pPr>
    </w:p>
    <w:p w14:paraId="3D18CF6E" w14:textId="7BDA9503" w:rsidR="001712A7" w:rsidRDefault="001712A7" w:rsidP="00B22AAB">
      <w:pPr>
        <w:rPr>
          <w:lang w:val="en-US"/>
        </w:rPr>
      </w:pPr>
    </w:p>
    <w:p w14:paraId="0B937D11" w14:textId="77777777" w:rsidR="001712A7" w:rsidRPr="001712A7" w:rsidRDefault="001712A7" w:rsidP="00B22AAB">
      <w:pPr>
        <w:rPr>
          <w:rFonts w:hint="eastAsia"/>
          <w:lang w:val="en-US"/>
        </w:rPr>
      </w:pPr>
    </w:p>
    <w:p w14:paraId="74FC0A2F" w14:textId="77777777" w:rsidR="00B22AAB" w:rsidRPr="00621DAE" w:rsidRDefault="00B22AAB" w:rsidP="00B22AAB">
      <w:pPr>
        <w:pStyle w:val="1"/>
        <w:numPr>
          <w:ilvl w:val="0"/>
          <w:numId w:val="4"/>
        </w:numPr>
        <w:spacing w:before="180" w:after="120"/>
        <w:rPr>
          <w:rFonts w:eastAsia="ＭＳ 明朝"/>
          <w:b/>
          <w:bCs/>
          <w:szCs w:val="24"/>
          <w:lang w:val="en-US"/>
        </w:rPr>
      </w:pPr>
      <w:r>
        <w:rPr>
          <w:rFonts w:eastAsia="ＭＳ 明朝"/>
          <w:b/>
          <w:bCs/>
          <w:szCs w:val="24"/>
          <w:lang w:val="en-US"/>
        </w:rPr>
        <w:t>2-6 and 2-8: M</w:t>
      </w:r>
      <w:r w:rsidRPr="003822AE">
        <w:rPr>
          <w:rFonts w:eastAsia="ＭＳ 明朝"/>
          <w:b/>
          <w:bCs/>
          <w:szCs w:val="24"/>
          <w:lang w:val="en-US"/>
        </w:rPr>
        <w:t>ulti-TB unicast in DL with interleaved transmission</w:t>
      </w:r>
    </w:p>
    <w:p w14:paraId="041F9A53" w14:textId="77777777" w:rsidR="00B22AAB" w:rsidRDefault="00B22AAB" w:rsidP="00B22AAB">
      <w:pPr>
        <w:rPr>
          <w:lang w:val="en-US"/>
        </w:rPr>
      </w:pPr>
      <w:r w:rsidRPr="00890250">
        <w:rPr>
          <w:lang w:val="en-US"/>
        </w:rPr>
        <w:t>In [1], FG</w:t>
      </w:r>
      <w:r>
        <w:rPr>
          <w:lang w:val="en-US"/>
        </w:rPr>
        <w:t>2-6 and FG2-8</w:t>
      </w:r>
      <w:r w:rsidRPr="00890250">
        <w:rPr>
          <w:lang w:val="en-US"/>
        </w:rPr>
        <w:t xml:space="preserve"> </w:t>
      </w:r>
      <w:r>
        <w:rPr>
          <w:lang w:val="en-US"/>
        </w:rPr>
        <w:t>are</w:t>
      </w:r>
      <w:r w:rsidRPr="00890250">
        <w:rPr>
          <w:lang w:val="en-US"/>
        </w:rPr>
        <w:t xml:space="preserve"> captured as below.</w:t>
      </w:r>
    </w:p>
    <w:p w14:paraId="4B700F55" w14:textId="77777777" w:rsidR="00B22AAB" w:rsidRDefault="00B22AAB" w:rsidP="00B22AAB">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B22AAB" w:rsidRPr="00890250" w14:paraId="6B9D664D" w14:textId="77777777" w:rsidTr="001712A7">
        <w:tc>
          <w:tcPr>
            <w:tcW w:w="1838" w:type="dxa"/>
            <w:shd w:val="clear" w:color="auto" w:fill="auto"/>
          </w:tcPr>
          <w:p w14:paraId="25091E07"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69D1A677"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2AEC1EB7"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3F631325"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56E242EA"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412DE7FE"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1929E513"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745CFA8"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C3C645B"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hint="eastAsia"/>
                <w:b/>
                <w:sz w:val="18"/>
              </w:rPr>
              <w:t>Type</w:t>
            </w:r>
          </w:p>
          <w:p w14:paraId="43E2C881"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E32E7B5"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1F00BB5"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60FDE975"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7F20B05"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B22AAB" w:rsidRPr="00890250" w14:paraId="59390706" w14:textId="77777777" w:rsidTr="001712A7">
        <w:tc>
          <w:tcPr>
            <w:tcW w:w="1838" w:type="dxa"/>
            <w:vMerge w:val="restart"/>
            <w:shd w:val="clear" w:color="auto" w:fill="auto"/>
          </w:tcPr>
          <w:p w14:paraId="106A8D9D" w14:textId="77777777" w:rsidR="00B22AAB" w:rsidRPr="001712A7" w:rsidRDefault="00B22AAB" w:rsidP="001712A7">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62C77A67"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2-6</w:t>
            </w:r>
          </w:p>
        </w:tc>
        <w:tc>
          <w:tcPr>
            <w:tcW w:w="1539" w:type="dxa"/>
            <w:shd w:val="clear" w:color="auto" w:fill="auto"/>
          </w:tcPr>
          <w:p w14:paraId="19AFAE5E" w14:textId="77777777" w:rsidR="00B22AAB" w:rsidRPr="001712A7" w:rsidRDefault="00B22AAB" w:rsidP="001712A7">
            <w:pPr>
              <w:pStyle w:val="TAL"/>
              <w:rPr>
                <w:rFonts w:ascii="Times New Roman" w:eastAsia="ＭＳ ゴシック" w:hAnsi="Times New Roman"/>
                <w:szCs w:val="18"/>
                <w:lang w:eastAsia="ja-JP"/>
              </w:rPr>
            </w:pPr>
            <w:r w:rsidRPr="001712A7">
              <w:rPr>
                <w:rFonts w:ascii="Times New Roman" w:eastAsia="ＭＳ ゴシック" w:hAnsi="Times New Roman"/>
                <w:szCs w:val="18"/>
                <w:lang w:eastAsia="ja-JP"/>
              </w:rPr>
              <w:t>Multi-TB scheduling for unicast in DL with a single DCI</w:t>
            </w:r>
          </w:p>
          <w:p w14:paraId="03C103AD"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(Interleaved transmission)</w:t>
            </w:r>
          </w:p>
        </w:tc>
        <w:tc>
          <w:tcPr>
            <w:tcW w:w="2497" w:type="dxa"/>
            <w:shd w:val="clear" w:color="auto" w:fill="auto"/>
          </w:tcPr>
          <w:p w14:paraId="1EB6A7D1" w14:textId="77777777" w:rsidR="00B22AAB" w:rsidRPr="001712A7" w:rsidRDefault="00B22AAB" w:rsidP="001712A7">
            <w:pPr>
              <w:pStyle w:val="TAL"/>
              <w:rPr>
                <w:rFonts w:ascii="Times New Roman" w:eastAsia="ＭＳ ゴシック" w:hAnsi="Times New Roman"/>
                <w:szCs w:val="18"/>
                <w:lang w:eastAsia="ja-JP"/>
              </w:rPr>
            </w:pPr>
          </w:p>
          <w:p w14:paraId="6050B798"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77" w:type="dxa"/>
            <w:shd w:val="clear" w:color="auto" w:fill="auto"/>
          </w:tcPr>
          <w:p w14:paraId="13A024AD"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Two HARQ processes</w:t>
            </w:r>
          </w:p>
        </w:tc>
        <w:tc>
          <w:tcPr>
            <w:tcW w:w="1262" w:type="dxa"/>
            <w:shd w:val="clear" w:color="auto" w:fill="auto"/>
          </w:tcPr>
          <w:p w14:paraId="01ABCE41"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37143914"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1DDE8737" w14:textId="77777777" w:rsidR="00B22AAB" w:rsidRPr="001712A7" w:rsidRDefault="00B22AAB" w:rsidP="001712A7">
            <w:pPr>
              <w:keepNext/>
              <w:keepLines/>
              <w:rPr>
                <w:sz w:val="18"/>
                <w:szCs w:val="18"/>
              </w:rPr>
            </w:pPr>
            <w:r w:rsidRPr="001712A7">
              <w:rPr>
                <w:sz w:val="18"/>
                <w:szCs w:val="18"/>
              </w:rPr>
              <w:t>The network cannot schedule transmission of multiple TBs in DL with a single DCI  (interleaved transmission)</w:t>
            </w:r>
          </w:p>
        </w:tc>
        <w:tc>
          <w:tcPr>
            <w:tcW w:w="2064" w:type="dxa"/>
            <w:shd w:val="clear" w:color="auto" w:fill="auto"/>
          </w:tcPr>
          <w:p w14:paraId="7CF61661" w14:textId="77777777" w:rsidR="00B22AAB" w:rsidRPr="001712A7" w:rsidRDefault="00B22AAB" w:rsidP="001712A7">
            <w:pPr>
              <w:keepNext/>
              <w:keepLines/>
              <w:rPr>
                <w:sz w:val="18"/>
                <w:szCs w:val="18"/>
              </w:rPr>
            </w:pPr>
            <w:r w:rsidRPr="001712A7">
              <w:rPr>
                <w:sz w:val="18"/>
                <w:szCs w:val="18"/>
              </w:rPr>
              <w:t>Per UE</w:t>
            </w:r>
          </w:p>
        </w:tc>
        <w:tc>
          <w:tcPr>
            <w:tcW w:w="1416" w:type="dxa"/>
            <w:shd w:val="clear" w:color="auto" w:fill="auto"/>
          </w:tcPr>
          <w:p w14:paraId="07C5796F"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3DD043E8"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79C9F80A"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07" w:type="dxa"/>
            <w:shd w:val="clear" w:color="auto" w:fill="auto"/>
          </w:tcPr>
          <w:p w14:paraId="543D92E4"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r w:rsidR="00B22AAB" w:rsidRPr="00890250" w14:paraId="50993254" w14:textId="77777777" w:rsidTr="001712A7">
        <w:tc>
          <w:tcPr>
            <w:tcW w:w="1838" w:type="dxa"/>
            <w:vMerge/>
            <w:shd w:val="clear" w:color="auto" w:fill="auto"/>
          </w:tcPr>
          <w:p w14:paraId="7BCF54FB"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731" w:type="dxa"/>
            <w:shd w:val="clear" w:color="auto" w:fill="auto"/>
          </w:tcPr>
          <w:p w14:paraId="5BFC1F49"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2-8</w:t>
            </w:r>
          </w:p>
        </w:tc>
        <w:tc>
          <w:tcPr>
            <w:tcW w:w="1539" w:type="dxa"/>
            <w:shd w:val="clear" w:color="auto" w:fill="auto"/>
          </w:tcPr>
          <w:p w14:paraId="72492854" w14:textId="77777777" w:rsidR="00B22AAB" w:rsidRPr="001712A7" w:rsidRDefault="00B22AAB" w:rsidP="001712A7">
            <w:pPr>
              <w:pStyle w:val="TAL"/>
              <w:rPr>
                <w:rFonts w:ascii="Times New Roman" w:eastAsia="ＭＳ ゴシック" w:hAnsi="Times New Roman"/>
                <w:szCs w:val="18"/>
                <w:lang w:eastAsia="ja-JP"/>
              </w:rPr>
            </w:pPr>
            <w:r w:rsidRPr="001712A7">
              <w:rPr>
                <w:rFonts w:ascii="Times New Roman" w:eastAsia="ＭＳ ゴシック" w:hAnsi="Times New Roman"/>
                <w:szCs w:val="18"/>
                <w:lang w:eastAsia="ja-JP"/>
              </w:rPr>
              <w:t>Multi-TB scheduling for unicast in UL with a single DCI</w:t>
            </w:r>
          </w:p>
          <w:p w14:paraId="7B9D2588"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(Interleaved transmission)</w:t>
            </w:r>
          </w:p>
        </w:tc>
        <w:tc>
          <w:tcPr>
            <w:tcW w:w="2497" w:type="dxa"/>
            <w:shd w:val="clear" w:color="auto" w:fill="auto"/>
          </w:tcPr>
          <w:p w14:paraId="56B5DEE5"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77" w:type="dxa"/>
            <w:shd w:val="clear" w:color="auto" w:fill="auto"/>
          </w:tcPr>
          <w:p w14:paraId="1A34E736"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Two HARQ processes</w:t>
            </w:r>
          </w:p>
        </w:tc>
        <w:tc>
          <w:tcPr>
            <w:tcW w:w="1262" w:type="dxa"/>
            <w:shd w:val="clear" w:color="auto" w:fill="auto"/>
          </w:tcPr>
          <w:p w14:paraId="7A96CB4B"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060203CC"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16584CDA" w14:textId="77777777" w:rsidR="00B22AAB" w:rsidRPr="001712A7" w:rsidRDefault="00B22AAB" w:rsidP="001712A7">
            <w:pPr>
              <w:keepNext/>
              <w:keepLines/>
              <w:rPr>
                <w:sz w:val="18"/>
                <w:szCs w:val="18"/>
              </w:rPr>
            </w:pPr>
            <w:r w:rsidRPr="001712A7">
              <w:rPr>
                <w:sz w:val="18"/>
                <w:szCs w:val="18"/>
              </w:rPr>
              <w:t>The network cannot schedule transmission of multiple TBs in UL with a single DCI (interleaved transmission)</w:t>
            </w:r>
          </w:p>
        </w:tc>
        <w:tc>
          <w:tcPr>
            <w:tcW w:w="2064" w:type="dxa"/>
            <w:shd w:val="clear" w:color="auto" w:fill="auto"/>
          </w:tcPr>
          <w:p w14:paraId="54891352" w14:textId="77777777" w:rsidR="00B22AAB" w:rsidRPr="001712A7" w:rsidRDefault="00B22AAB" w:rsidP="001712A7">
            <w:pPr>
              <w:keepNext/>
              <w:keepLines/>
              <w:rPr>
                <w:sz w:val="18"/>
                <w:szCs w:val="18"/>
              </w:rPr>
            </w:pPr>
            <w:r w:rsidRPr="001712A7">
              <w:rPr>
                <w:sz w:val="18"/>
                <w:szCs w:val="18"/>
              </w:rPr>
              <w:t>Per UE</w:t>
            </w:r>
          </w:p>
        </w:tc>
        <w:tc>
          <w:tcPr>
            <w:tcW w:w="1416" w:type="dxa"/>
            <w:shd w:val="clear" w:color="auto" w:fill="auto"/>
          </w:tcPr>
          <w:p w14:paraId="29B71F9C"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71446FF2"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698793AB"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07" w:type="dxa"/>
            <w:shd w:val="clear" w:color="auto" w:fill="auto"/>
          </w:tcPr>
          <w:p w14:paraId="1138F199"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202C9FC0" w14:textId="77777777" w:rsidR="00B22AAB" w:rsidRDefault="00B22AAB" w:rsidP="00B22AAB">
      <w:pPr>
        <w:rPr>
          <w:lang w:val="en-US"/>
        </w:rPr>
      </w:pPr>
    </w:p>
    <w:p w14:paraId="6AF95D6B" w14:textId="77777777" w:rsidR="00B22AAB" w:rsidRDefault="00B22AAB" w:rsidP="00B22AAB">
      <w:pPr>
        <w:rPr>
          <w:lang w:val="en-US"/>
        </w:rPr>
      </w:pPr>
    </w:p>
    <w:p w14:paraId="7B81B573" w14:textId="77777777" w:rsidR="00B22AAB" w:rsidRDefault="00B22AAB" w:rsidP="00B22AAB">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B22AAB" w14:paraId="2810B5E8" w14:textId="77777777" w:rsidTr="001712A7">
        <w:tc>
          <w:tcPr>
            <w:tcW w:w="846" w:type="dxa"/>
          </w:tcPr>
          <w:p w14:paraId="3A1AE60D" w14:textId="77777777" w:rsidR="00B22AAB" w:rsidRDefault="00B22AAB" w:rsidP="001712A7">
            <w:pPr>
              <w:spacing w:afterLines="50" w:after="120"/>
              <w:jc w:val="both"/>
              <w:rPr>
                <w:rFonts w:eastAsia="ＭＳ 明朝"/>
                <w:sz w:val="22"/>
              </w:rPr>
            </w:pPr>
            <w:r>
              <w:rPr>
                <w:rFonts w:eastAsia="ＭＳ 明朝" w:hint="eastAsia"/>
                <w:sz w:val="22"/>
              </w:rPr>
              <w:t>[</w:t>
            </w:r>
            <w:r>
              <w:rPr>
                <w:rFonts w:eastAsia="ＭＳ 明朝"/>
                <w:sz w:val="22"/>
              </w:rPr>
              <w:t>4]</w:t>
            </w:r>
          </w:p>
        </w:tc>
        <w:tc>
          <w:tcPr>
            <w:tcW w:w="2977" w:type="dxa"/>
          </w:tcPr>
          <w:p w14:paraId="34F86281" w14:textId="77777777" w:rsidR="00B22AAB" w:rsidRPr="00BC6D2B" w:rsidRDefault="00B22AAB" w:rsidP="001712A7">
            <w:pPr>
              <w:spacing w:afterLines="50" w:after="120"/>
              <w:jc w:val="both"/>
              <w:rPr>
                <w:sz w:val="22"/>
                <w:lang w:val="en-US"/>
              </w:rPr>
            </w:pPr>
            <w:r w:rsidRPr="00181516">
              <w:rPr>
                <w:rFonts w:eastAsia="ＭＳ 明朝"/>
                <w:sz w:val="22"/>
              </w:rPr>
              <w:t>Ericsson</w:t>
            </w:r>
          </w:p>
        </w:tc>
        <w:tc>
          <w:tcPr>
            <w:tcW w:w="18560" w:type="dxa"/>
          </w:tcPr>
          <w:p w14:paraId="37E7CA47" w14:textId="77777777" w:rsidR="00B22AAB" w:rsidRPr="00F05B2D" w:rsidRDefault="00B22AAB" w:rsidP="001712A7">
            <w:pPr>
              <w:spacing w:afterLines="50" w:after="120"/>
              <w:jc w:val="both"/>
              <w:rPr>
                <w:rFonts w:ascii="Arial" w:eastAsiaTheme="minorEastAsia" w:hAnsi="Arial" w:cstheme="minorBidi"/>
                <w:b/>
                <w:bCs/>
                <w:kern w:val="2"/>
                <w:sz w:val="21"/>
                <w:szCs w:val="22"/>
                <w:lang w:val="en-US" w:eastAsia="zh-CN"/>
              </w:rPr>
            </w:pPr>
            <w:r>
              <w:rPr>
                <w:rFonts w:ascii="Arial" w:eastAsiaTheme="minorEastAsia" w:hAnsi="Arial" w:cstheme="minorBidi"/>
                <w:b/>
                <w:bCs/>
                <w:kern w:val="2"/>
                <w:sz w:val="21"/>
                <w:szCs w:val="22"/>
                <w:lang w:val="en-US" w:eastAsia="zh-CN"/>
              </w:rPr>
              <w:t>Proposal 5</w:t>
            </w:r>
            <w:r w:rsidRPr="00F05B2D">
              <w:rPr>
                <w:rFonts w:ascii="Arial" w:eastAsiaTheme="minorEastAsia" w:hAnsi="Arial" w:cstheme="minorBidi"/>
                <w:b/>
                <w:bCs/>
                <w:kern w:val="2"/>
                <w:sz w:val="21"/>
                <w:szCs w:val="22"/>
                <w:lang w:val="en-US" w:eastAsia="zh-CN"/>
              </w:rPr>
              <w:tab/>
              <w:t>Support of multi-TB unicast in DL with non-interleaved transmission is a prerequisite for support of multi-TB unicast in DL with interleaved transmission.</w:t>
            </w:r>
          </w:p>
          <w:p w14:paraId="5247D059" w14:textId="77777777" w:rsidR="00B22AAB" w:rsidRPr="00E7638C" w:rsidRDefault="00B22AAB" w:rsidP="001712A7">
            <w:pPr>
              <w:spacing w:afterLines="50" w:after="120"/>
              <w:jc w:val="both"/>
              <w:rPr>
                <w:sz w:val="22"/>
              </w:rPr>
            </w:pPr>
            <w:r>
              <w:rPr>
                <w:rFonts w:ascii="Arial" w:eastAsiaTheme="minorEastAsia" w:hAnsi="Arial" w:cstheme="minorBidi"/>
                <w:b/>
                <w:bCs/>
                <w:kern w:val="2"/>
                <w:sz w:val="21"/>
                <w:szCs w:val="22"/>
                <w:lang w:val="en-US" w:eastAsia="zh-CN"/>
              </w:rPr>
              <w:t>Proposal 6</w:t>
            </w:r>
            <w:r w:rsidRPr="00F05B2D">
              <w:rPr>
                <w:rFonts w:ascii="Arial" w:eastAsiaTheme="minorEastAsia" w:hAnsi="Arial" w:cstheme="minorBidi"/>
                <w:b/>
                <w:bCs/>
                <w:kern w:val="2"/>
                <w:sz w:val="21"/>
                <w:szCs w:val="22"/>
                <w:lang w:val="en-US" w:eastAsia="zh-CN"/>
              </w:rPr>
              <w:tab/>
              <w:t>Support of multi-TB unicast in UL with non-interleaved transmission is a prerequisite for support of multi-TB unicast in UL with interleaved transmission.</w:t>
            </w:r>
          </w:p>
        </w:tc>
      </w:tr>
    </w:tbl>
    <w:p w14:paraId="241F5B60" w14:textId="77777777" w:rsidR="00B22AAB" w:rsidRDefault="00B22AAB" w:rsidP="00B22AAB">
      <w:pPr>
        <w:rPr>
          <w:lang w:val="en-US"/>
        </w:rPr>
      </w:pPr>
    </w:p>
    <w:p w14:paraId="62014066" w14:textId="77777777" w:rsidR="00B22AAB" w:rsidRPr="003D7EA7" w:rsidRDefault="00B22AAB" w:rsidP="00B22AAB">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above, following points should be discussed for </w:t>
      </w:r>
      <w:r w:rsidRPr="003822AE">
        <w:rPr>
          <w:b/>
          <w:bCs/>
          <w:sz w:val="22"/>
          <w:lang w:val="en-US"/>
        </w:rPr>
        <w:t>FG2-6 and FG2-8</w:t>
      </w:r>
      <w:r w:rsidRPr="003D7EA7">
        <w:rPr>
          <w:b/>
          <w:bCs/>
          <w:sz w:val="22"/>
          <w:lang w:val="en-US"/>
        </w:rPr>
        <w:t>.</w:t>
      </w:r>
    </w:p>
    <w:p w14:paraId="651070AE" w14:textId="77777777" w:rsidR="00B22AAB" w:rsidRPr="003822AE" w:rsidRDefault="00B22AAB" w:rsidP="00B22AAB">
      <w:pPr>
        <w:pStyle w:val="aff"/>
        <w:numPr>
          <w:ilvl w:val="0"/>
          <w:numId w:val="27"/>
        </w:numPr>
        <w:spacing w:afterLines="50" w:after="120"/>
        <w:ind w:leftChars="0"/>
        <w:jc w:val="both"/>
        <w:rPr>
          <w:b/>
          <w:bCs/>
          <w:sz w:val="22"/>
          <w:lang w:val="en-US"/>
        </w:rPr>
      </w:pPr>
      <w:r>
        <w:rPr>
          <w:b/>
          <w:bCs/>
          <w:sz w:val="22"/>
          <w:lang w:val="en-US"/>
        </w:rPr>
        <w:t xml:space="preserve">Whether or not </w:t>
      </w:r>
      <w:r w:rsidRPr="003822AE">
        <w:rPr>
          <w:b/>
          <w:bCs/>
          <w:sz w:val="22"/>
          <w:lang w:val="en-US"/>
        </w:rPr>
        <w:t>multi-TB unicast in DL</w:t>
      </w:r>
      <w:r>
        <w:rPr>
          <w:b/>
          <w:bCs/>
          <w:sz w:val="22"/>
          <w:lang w:val="en-US"/>
        </w:rPr>
        <w:t>(UL)</w:t>
      </w:r>
      <w:r w:rsidRPr="003822AE">
        <w:rPr>
          <w:b/>
          <w:bCs/>
          <w:sz w:val="22"/>
          <w:lang w:val="en-US"/>
        </w:rPr>
        <w:t xml:space="preserve"> with non-interleaved transmission is a prerequisite for </w:t>
      </w:r>
      <w:r>
        <w:rPr>
          <w:b/>
          <w:bCs/>
          <w:sz w:val="22"/>
          <w:lang w:val="en-US"/>
        </w:rPr>
        <w:t xml:space="preserve">the </w:t>
      </w:r>
      <w:r w:rsidRPr="003822AE">
        <w:rPr>
          <w:b/>
          <w:bCs/>
          <w:sz w:val="22"/>
          <w:lang w:val="en-US"/>
        </w:rPr>
        <w:t>support of multi-TB unicast in DL</w:t>
      </w:r>
      <w:r>
        <w:rPr>
          <w:b/>
          <w:bCs/>
          <w:sz w:val="22"/>
          <w:lang w:val="en-US"/>
        </w:rPr>
        <w:t>(UL)</w:t>
      </w:r>
      <w:r w:rsidRPr="003822AE">
        <w:rPr>
          <w:b/>
          <w:bCs/>
          <w:sz w:val="22"/>
          <w:lang w:val="en-US"/>
        </w:rPr>
        <w:t xml:space="preserve"> with interleaved transmission</w:t>
      </w:r>
    </w:p>
    <w:p w14:paraId="42BFA511" w14:textId="5E8C076B" w:rsidR="00B22AAB" w:rsidRDefault="00B22AAB" w:rsidP="00B22AAB">
      <w:pPr>
        <w:rPr>
          <w:lang w:val="en-US"/>
        </w:rPr>
      </w:pPr>
    </w:p>
    <w:p w14:paraId="3D058BAF" w14:textId="18CC7D10" w:rsidR="0036687B" w:rsidRDefault="0036687B" w:rsidP="00B22AAB">
      <w:pPr>
        <w:rPr>
          <w:lang w:val="en-US"/>
        </w:rPr>
      </w:pPr>
    </w:p>
    <w:p w14:paraId="77E68309" w14:textId="77777777" w:rsidR="0036687B" w:rsidRDefault="0036687B" w:rsidP="00B22AAB">
      <w:pPr>
        <w:rPr>
          <w:rFonts w:hint="eastAsia"/>
          <w:lang w:val="en-US"/>
        </w:rPr>
      </w:pPr>
    </w:p>
    <w:p w14:paraId="7DFC23A7" w14:textId="6BA41113" w:rsidR="00F3671D" w:rsidRDefault="00F3671D" w:rsidP="00F3671D">
      <w:pPr>
        <w:pStyle w:val="1"/>
        <w:numPr>
          <w:ilvl w:val="0"/>
          <w:numId w:val="4"/>
        </w:numPr>
        <w:spacing w:before="180" w:after="120"/>
        <w:rPr>
          <w:rFonts w:eastAsia="ＭＳ 明朝"/>
          <w:b/>
          <w:bCs/>
          <w:szCs w:val="24"/>
          <w:lang w:val="en-US"/>
        </w:rPr>
      </w:pPr>
      <w:r>
        <w:rPr>
          <w:rFonts w:eastAsia="ＭＳ 明朝"/>
          <w:b/>
          <w:bCs/>
          <w:szCs w:val="24"/>
          <w:lang w:val="en-US"/>
        </w:rPr>
        <w:t xml:space="preserve">2-11: </w:t>
      </w:r>
      <w:r w:rsidRPr="00F3671D">
        <w:rPr>
          <w:rFonts w:eastAsia="ＭＳ 明朝"/>
          <w:b/>
          <w:bCs/>
          <w:szCs w:val="24"/>
          <w:lang w:val="en-US"/>
        </w:rPr>
        <w:t>Scheduling gap for Multi-TB SC-MTCH</w:t>
      </w:r>
    </w:p>
    <w:p w14:paraId="20D0E5A1" w14:textId="37214269" w:rsidR="00121551" w:rsidRDefault="00121551" w:rsidP="00121551">
      <w:pPr>
        <w:rPr>
          <w:lang w:val="en-US"/>
        </w:rPr>
      </w:pPr>
      <w:r w:rsidRPr="00121551">
        <w:rPr>
          <w:lang w:val="en-US"/>
        </w:rPr>
        <w:t>In [1], FG</w:t>
      </w:r>
      <w:r w:rsidR="00FB2476" w:rsidRPr="00FB2476">
        <w:rPr>
          <w:lang w:val="en-US"/>
        </w:rPr>
        <w:t>2-11</w:t>
      </w:r>
      <w:r w:rsidRPr="00121551">
        <w:rPr>
          <w:lang w:val="en-US"/>
        </w:rPr>
        <w:t xml:space="preserve"> is captured as below.</w:t>
      </w:r>
    </w:p>
    <w:p w14:paraId="1E2F935F" w14:textId="77777777" w:rsidR="00121551" w:rsidRPr="00121551" w:rsidRDefault="00121551" w:rsidP="0012155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121551" w:rsidRPr="00890250" w14:paraId="0794E73E" w14:textId="77777777" w:rsidTr="00211497">
        <w:tc>
          <w:tcPr>
            <w:tcW w:w="1838" w:type="dxa"/>
            <w:shd w:val="clear" w:color="auto" w:fill="auto"/>
          </w:tcPr>
          <w:p w14:paraId="0906233D"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4B829527"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6BA0E9A2"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72FDE58"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22719E6D"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BD787DF"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168472C5"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233B3AC" w14:textId="77777777" w:rsidR="00121551" w:rsidRPr="00890250" w:rsidRDefault="00121551" w:rsidP="00211497">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480D1F5" w14:textId="77777777" w:rsidR="00121551" w:rsidRPr="00890250" w:rsidRDefault="00121551" w:rsidP="00211497">
            <w:pPr>
              <w:keepNext/>
              <w:keepLines/>
              <w:rPr>
                <w:rFonts w:ascii="Arial" w:eastAsia="Times New Roman" w:hAnsi="Arial"/>
                <w:b/>
                <w:sz w:val="18"/>
              </w:rPr>
            </w:pPr>
            <w:r w:rsidRPr="00890250">
              <w:rPr>
                <w:rFonts w:ascii="Arial" w:eastAsia="Times New Roman" w:hAnsi="Arial" w:hint="eastAsia"/>
                <w:b/>
                <w:sz w:val="18"/>
              </w:rPr>
              <w:t>Type</w:t>
            </w:r>
          </w:p>
          <w:p w14:paraId="1D03833D" w14:textId="77777777" w:rsidR="00121551" w:rsidRPr="00890250" w:rsidRDefault="00121551" w:rsidP="00211497">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2ACE8FD5"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51709B98"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680DFF6A"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7C0C869B"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FB2476" w:rsidRPr="00890250" w14:paraId="38A17C8B" w14:textId="77777777" w:rsidTr="00211497">
        <w:tc>
          <w:tcPr>
            <w:tcW w:w="1838" w:type="dxa"/>
            <w:shd w:val="clear" w:color="auto" w:fill="auto"/>
          </w:tcPr>
          <w:p w14:paraId="7677DD9B" w14:textId="7EF07044" w:rsidR="00FB2476" w:rsidRPr="0036687B" w:rsidRDefault="00FB2476" w:rsidP="00FB2476">
            <w:pPr>
              <w:keepNext/>
              <w:keepLines/>
              <w:overflowPunct w:val="0"/>
              <w:autoSpaceDE w:val="0"/>
              <w:autoSpaceDN w:val="0"/>
              <w:adjustRightInd w:val="0"/>
              <w:textAlignment w:val="baseline"/>
              <w:rPr>
                <w:rFonts w:ascii="Arial" w:eastAsia="Times New Roman" w:hAnsi="Arial"/>
                <w:b/>
                <w:sz w:val="18"/>
                <w:szCs w:val="18"/>
              </w:rPr>
            </w:pPr>
            <w:r w:rsidRPr="0036687B">
              <w:rPr>
                <w:sz w:val="18"/>
                <w:szCs w:val="18"/>
              </w:rPr>
              <w:t>2. NB_IOTenh3</w:t>
            </w:r>
          </w:p>
        </w:tc>
        <w:tc>
          <w:tcPr>
            <w:tcW w:w="731" w:type="dxa"/>
            <w:shd w:val="clear" w:color="auto" w:fill="auto"/>
          </w:tcPr>
          <w:p w14:paraId="6F7D8A54" w14:textId="51EB88DD" w:rsidR="00FB2476" w:rsidRPr="0036687B" w:rsidRDefault="00FB2476" w:rsidP="00FB2476">
            <w:pPr>
              <w:keepNext/>
              <w:keepLines/>
              <w:overflowPunct w:val="0"/>
              <w:autoSpaceDE w:val="0"/>
              <w:autoSpaceDN w:val="0"/>
              <w:adjustRightInd w:val="0"/>
              <w:textAlignment w:val="baseline"/>
              <w:rPr>
                <w:sz w:val="18"/>
                <w:szCs w:val="18"/>
              </w:rPr>
            </w:pPr>
            <w:r w:rsidRPr="0036687B">
              <w:rPr>
                <w:sz w:val="18"/>
                <w:szCs w:val="18"/>
              </w:rPr>
              <w:t>2-11</w:t>
            </w:r>
          </w:p>
        </w:tc>
        <w:tc>
          <w:tcPr>
            <w:tcW w:w="1539" w:type="dxa"/>
            <w:shd w:val="clear" w:color="auto" w:fill="auto"/>
          </w:tcPr>
          <w:p w14:paraId="3E309EA5" w14:textId="7DCD3C0F" w:rsidR="00FB2476" w:rsidRPr="0036687B" w:rsidRDefault="00FB2476" w:rsidP="00FB2476">
            <w:pPr>
              <w:keepNext/>
              <w:keepLines/>
              <w:overflowPunct w:val="0"/>
              <w:autoSpaceDE w:val="0"/>
              <w:autoSpaceDN w:val="0"/>
              <w:adjustRightInd w:val="0"/>
              <w:textAlignment w:val="baseline"/>
              <w:rPr>
                <w:sz w:val="18"/>
                <w:szCs w:val="18"/>
              </w:rPr>
            </w:pPr>
            <w:r w:rsidRPr="0036687B">
              <w:rPr>
                <w:sz w:val="18"/>
                <w:szCs w:val="18"/>
              </w:rPr>
              <w:t>Multi-TB scheduling for SC-MTCH</w:t>
            </w:r>
          </w:p>
        </w:tc>
        <w:tc>
          <w:tcPr>
            <w:tcW w:w="2497" w:type="dxa"/>
            <w:shd w:val="clear" w:color="auto" w:fill="auto"/>
          </w:tcPr>
          <w:p w14:paraId="4585F3E6" w14:textId="77777777" w:rsidR="00FB2476" w:rsidRPr="0036687B" w:rsidRDefault="00FB2476" w:rsidP="00FB2476">
            <w:pPr>
              <w:pStyle w:val="TAL"/>
              <w:rPr>
                <w:rFonts w:ascii="Times New Roman" w:eastAsia="ＭＳ ゴシック" w:hAnsi="Times New Roman"/>
                <w:szCs w:val="18"/>
                <w:lang w:eastAsia="ja-JP"/>
              </w:rPr>
            </w:pPr>
            <w:r w:rsidRPr="0036687B">
              <w:rPr>
                <w:rFonts w:ascii="Times New Roman" w:eastAsia="ＭＳ ゴシック" w:hAnsi="Times New Roman"/>
                <w:szCs w:val="18"/>
                <w:lang w:eastAsia="ja-JP"/>
              </w:rPr>
              <w:t>1. Scheduling of multiple transport blocks for SC-MTCH in a single DCI</w:t>
            </w:r>
          </w:p>
          <w:p w14:paraId="6A42E998" w14:textId="53107B67" w:rsidR="00FB2476" w:rsidRPr="0036687B" w:rsidRDefault="00FB2476" w:rsidP="00FB2476">
            <w:pPr>
              <w:pStyle w:val="TAL"/>
              <w:rPr>
                <w:rFonts w:ascii="Times New Roman" w:eastAsia="ＭＳ ゴシック" w:hAnsi="Times New Roman"/>
                <w:szCs w:val="18"/>
                <w:lang w:eastAsia="ja-JP"/>
              </w:rPr>
            </w:pPr>
            <w:r w:rsidRPr="0036687B">
              <w:rPr>
                <w:rFonts w:ascii="Times New Roman" w:eastAsia="ＭＳ ゴシック" w:hAnsi="Times New Roman"/>
                <w:szCs w:val="18"/>
                <w:lang w:eastAsia="ja-JP"/>
              </w:rPr>
              <w:t>2. Scheduling of multiple transport blocks for SC-MTCH in a single DCI with scheduling gaps</w:t>
            </w:r>
          </w:p>
        </w:tc>
        <w:tc>
          <w:tcPr>
            <w:tcW w:w="1977" w:type="dxa"/>
            <w:shd w:val="clear" w:color="auto" w:fill="auto"/>
          </w:tcPr>
          <w:p w14:paraId="24085B44" w14:textId="2098715E" w:rsidR="00FB2476" w:rsidRPr="0036687B" w:rsidRDefault="00FB2476" w:rsidP="00FB2476">
            <w:pPr>
              <w:keepNext/>
              <w:keepLines/>
              <w:overflowPunct w:val="0"/>
              <w:autoSpaceDE w:val="0"/>
              <w:autoSpaceDN w:val="0"/>
              <w:adjustRightInd w:val="0"/>
              <w:textAlignment w:val="baseline"/>
              <w:rPr>
                <w:sz w:val="18"/>
                <w:szCs w:val="18"/>
              </w:rPr>
            </w:pPr>
            <w:r w:rsidRPr="0036687B">
              <w:rPr>
                <w:sz w:val="18"/>
                <w:szCs w:val="18"/>
              </w:rPr>
              <w:t>SC-PTM</w:t>
            </w:r>
          </w:p>
        </w:tc>
        <w:tc>
          <w:tcPr>
            <w:tcW w:w="1262" w:type="dxa"/>
            <w:shd w:val="clear" w:color="auto" w:fill="auto"/>
          </w:tcPr>
          <w:p w14:paraId="6FA1FA85" w14:textId="64263801" w:rsidR="00FB2476" w:rsidRPr="0036687B" w:rsidRDefault="00FB2476" w:rsidP="00FB2476">
            <w:pPr>
              <w:keepNext/>
              <w:keepLines/>
              <w:overflowPunct w:val="0"/>
              <w:autoSpaceDE w:val="0"/>
              <w:autoSpaceDN w:val="0"/>
              <w:adjustRightInd w:val="0"/>
              <w:textAlignment w:val="baseline"/>
              <w:rPr>
                <w:sz w:val="18"/>
                <w:szCs w:val="18"/>
              </w:rPr>
            </w:pPr>
            <w:r w:rsidRPr="0036687B">
              <w:rPr>
                <w:sz w:val="18"/>
                <w:szCs w:val="18"/>
              </w:rPr>
              <w:t>No</w:t>
            </w:r>
          </w:p>
        </w:tc>
        <w:tc>
          <w:tcPr>
            <w:tcW w:w="1338" w:type="dxa"/>
            <w:shd w:val="clear" w:color="auto" w:fill="auto"/>
          </w:tcPr>
          <w:p w14:paraId="3414B0B6" w14:textId="01C80ACB" w:rsidR="00FB2476" w:rsidRPr="0036687B" w:rsidRDefault="00FB2476" w:rsidP="00FB2476">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18CBFB47" w14:textId="6D77C61C" w:rsidR="00FB2476" w:rsidRPr="0036687B" w:rsidRDefault="00FB2476" w:rsidP="00FB2476">
            <w:pPr>
              <w:keepNext/>
              <w:keepLines/>
              <w:rPr>
                <w:sz w:val="18"/>
                <w:szCs w:val="18"/>
              </w:rPr>
            </w:pPr>
            <w:r w:rsidRPr="0036687B">
              <w:rPr>
                <w:sz w:val="18"/>
                <w:szCs w:val="18"/>
              </w:rPr>
              <w:t>The network cannot schedule transmission of multiple TBs with a single DCI</w:t>
            </w:r>
          </w:p>
        </w:tc>
        <w:tc>
          <w:tcPr>
            <w:tcW w:w="2064" w:type="dxa"/>
            <w:shd w:val="clear" w:color="auto" w:fill="auto"/>
          </w:tcPr>
          <w:p w14:paraId="64739F5E" w14:textId="1597B04D" w:rsidR="00FB2476" w:rsidRPr="0036687B" w:rsidRDefault="00FB2476" w:rsidP="00FB2476">
            <w:pPr>
              <w:keepNext/>
              <w:keepLines/>
              <w:rPr>
                <w:sz w:val="18"/>
                <w:szCs w:val="18"/>
              </w:rPr>
            </w:pPr>
            <w:r w:rsidRPr="0036687B">
              <w:rPr>
                <w:sz w:val="18"/>
                <w:szCs w:val="18"/>
              </w:rPr>
              <w:t>Per UE</w:t>
            </w:r>
          </w:p>
        </w:tc>
        <w:tc>
          <w:tcPr>
            <w:tcW w:w="1416" w:type="dxa"/>
            <w:shd w:val="clear" w:color="auto" w:fill="auto"/>
          </w:tcPr>
          <w:p w14:paraId="42B5CB6A" w14:textId="4DEC3BF9" w:rsidR="00FB2476" w:rsidRPr="0036687B" w:rsidRDefault="00FB2476" w:rsidP="00FB2476">
            <w:pPr>
              <w:keepNext/>
              <w:keepLines/>
              <w:overflowPunct w:val="0"/>
              <w:autoSpaceDE w:val="0"/>
              <w:autoSpaceDN w:val="0"/>
              <w:adjustRightInd w:val="0"/>
              <w:textAlignment w:val="baseline"/>
              <w:rPr>
                <w:sz w:val="18"/>
                <w:szCs w:val="18"/>
              </w:rPr>
            </w:pPr>
            <w:r w:rsidRPr="0036687B">
              <w:rPr>
                <w:sz w:val="18"/>
                <w:szCs w:val="18"/>
              </w:rPr>
              <w:t>FDD only</w:t>
            </w:r>
          </w:p>
        </w:tc>
        <w:tc>
          <w:tcPr>
            <w:tcW w:w="1414" w:type="dxa"/>
            <w:shd w:val="clear" w:color="auto" w:fill="auto"/>
          </w:tcPr>
          <w:p w14:paraId="53497B6C" w14:textId="0B403725" w:rsidR="00FB2476" w:rsidRPr="0036687B" w:rsidRDefault="00FB2476" w:rsidP="00FB2476">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4510B6E0" w14:textId="6D94B7D5" w:rsidR="00FB2476" w:rsidRPr="0036687B" w:rsidRDefault="00FB2476" w:rsidP="00FB2476">
            <w:pPr>
              <w:keepNext/>
              <w:keepLines/>
              <w:overflowPunct w:val="0"/>
              <w:autoSpaceDE w:val="0"/>
              <w:autoSpaceDN w:val="0"/>
              <w:adjustRightInd w:val="0"/>
              <w:textAlignment w:val="baseline"/>
              <w:rPr>
                <w:sz w:val="18"/>
                <w:szCs w:val="18"/>
              </w:rPr>
            </w:pPr>
            <w:r w:rsidRPr="0036687B">
              <w:rPr>
                <w:sz w:val="18"/>
                <w:szCs w:val="18"/>
              </w:rPr>
              <w:t>The basic multicast (SC-PTM) functionality was introduced for LTE-M/NB-IoT in Rel-14 without capability signaling.</w:t>
            </w:r>
          </w:p>
        </w:tc>
        <w:tc>
          <w:tcPr>
            <w:tcW w:w="1907" w:type="dxa"/>
            <w:shd w:val="clear" w:color="auto" w:fill="auto"/>
          </w:tcPr>
          <w:p w14:paraId="2D4484A5" w14:textId="023DFF00" w:rsidR="00FB2476" w:rsidRPr="0036687B" w:rsidRDefault="00FB2476" w:rsidP="00FB2476">
            <w:pPr>
              <w:keepNext/>
              <w:keepLines/>
              <w:overflowPunct w:val="0"/>
              <w:autoSpaceDE w:val="0"/>
              <w:autoSpaceDN w:val="0"/>
              <w:adjustRightInd w:val="0"/>
              <w:textAlignment w:val="baseline"/>
              <w:rPr>
                <w:sz w:val="18"/>
                <w:szCs w:val="18"/>
              </w:rPr>
            </w:pPr>
            <w:r w:rsidRPr="0036687B">
              <w:rPr>
                <w:sz w:val="18"/>
                <w:szCs w:val="18"/>
              </w:rPr>
              <w:t xml:space="preserve"> Up to RAN2</w:t>
            </w:r>
          </w:p>
        </w:tc>
      </w:tr>
    </w:tbl>
    <w:p w14:paraId="4F3AF35F" w14:textId="77777777" w:rsidR="00121551" w:rsidRDefault="00121551" w:rsidP="00121551"/>
    <w:p w14:paraId="26DCC54F" w14:textId="10B6C89D" w:rsidR="00121551" w:rsidRPr="00121551" w:rsidRDefault="00121551" w:rsidP="00121551">
      <w:pPr>
        <w:rPr>
          <w:lang w:val="en-US"/>
        </w:rPr>
      </w:pPr>
      <w:r w:rsidRPr="00121551">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121551" w14:paraId="372E203D" w14:textId="77777777" w:rsidTr="00211497">
        <w:tc>
          <w:tcPr>
            <w:tcW w:w="846" w:type="dxa"/>
          </w:tcPr>
          <w:p w14:paraId="7E8A2417" w14:textId="53458EBE" w:rsidR="00121551" w:rsidRDefault="001D2859" w:rsidP="00211497">
            <w:pPr>
              <w:spacing w:afterLines="50" w:after="120"/>
              <w:jc w:val="both"/>
              <w:rPr>
                <w:rFonts w:eastAsia="ＭＳ 明朝"/>
                <w:sz w:val="22"/>
              </w:rPr>
            </w:pPr>
            <w:r>
              <w:rPr>
                <w:rFonts w:eastAsia="ＭＳ 明朝"/>
                <w:sz w:val="22"/>
              </w:rPr>
              <w:lastRenderedPageBreak/>
              <w:t>[2</w:t>
            </w:r>
            <w:r w:rsidR="00121551">
              <w:rPr>
                <w:rFonts w:eastAsia="ＭＳ 明朝"/>
                <w:sz w:val="22"/>
              </w:rPr>
              <w:t>]</w:t>
            </w:r>
          </w:p>
        </w:tc>
        <w:tc>
          <w:tcPr>
            <w:tcW w:w="2977" w:type="dxa"/>
          </w:tcPr>
          <w:p w14:paraId="14976FA2" w14:textId="36704B69" w:rsidR="00121551" w:rsidRPr="00BC6D2B" w:rsidRDefault="00121551" w:rsidP="00211497">
            <w:pPr>
              <w:spacing w:afterLines="50" w:after="120"/>
              <w:jc w:val="both"/>
              <w:rPr>
                <w:sz w:val="22"/>
                <w:lang w:val="en-US"/>
              </w:rPr>
            </w:pPr>
            <w:r>
              <w:rPr>
                <w:rFonts w:hint="eastAsia"/>
                <w:sz w:val="22"/>
                <w:lang w:val="en-US"/>
              </w:rPr>
              <w:t>ZTE</w:t>
            </w:r>
          </w:p>
        </w:tc>
        <w:tc>
          <w:tcPr>
            <w:tcW w:w="18560" w:type="dxa"/>
          </w:tcPr>
          <w:p w14:paraId="4D51B329" w14:textId="3C65C4C2" w:rsidR="00121551" w:rsidRPr="0018183D" w:rsidRDefault="00121551" w:rsidP="0018183D">
            <w:pPr>
              <w:spacing w:afterLines="50" w:after="120"/>
              <w:jc w:val="both"/>
              <w:rPr>
                <w:sz w:val="22"/>
              </w:rPr>
            </w:pPr>
            <w:r>
              <w:rPr>
                <w:b/>
                <w:i/>
                <w:lang w:eastAsia="zh-CN"/>
              </w:rPr>
              <w:t xml:space="preserve">Proposal 1: UE supporting multi-TB SC-MTCH should support scheduling gap. </w:t>
            </w:r>
          </w:p>
          <w:p w14:paraId="3EAE137B" w14:textId="507CBDCB" w:rsidR="00121551" w:rsidRPr="00121551" w:rsidRDefault="00121551" w:rsidP="00121551">
            <w:pPr>
              <w:pStyle w:val="aff"/>
              <w:numPr>
                <w:ilvl w:val="0"/>
                <w:numId w:val="30"/>
              </w:numPr>
              <w:spacing w:after="120" w:line="259" w:lineRule="auto"/>
              <w:ind w:leftChars="0"/>
              <w:jc w:val="both"/>
              <w:rPr>
                <w:b/>
                <w:i/>
                <w:lang w:eastAsia="zh-CN"/>
              </w:rPr>
            </w:pPr>
            <w:r>
              <w:rPr>
                <w:rFonts w:eastAsiaTheme="minorEastAsia"/>
                <w:b/>
                <w:i/>
                <w:lang w:eastAsia="zh-CN"/>
              </w:rPr>
              <w:t>C</w:t>
            </w:r>
            <w:r>
              <w:rPr>
                <w:rFonts w:eastAsiaTheme="minorEastAsia" w:hint="eastAsia"/>
                <w:b/>
                <w:i/>
                <w:lang w:eastAsia="zh-CN"/>
              </w:rPr>
              <w:t xml:space="preserve">hange </w:t>
            </w:r>
            <w:r>
              <w:rPr>
                <w:rFonts w:eastAsiaTheme="minorEastAsia"/>
                <w:b/>
                <w:i/>
                <w:lang w:eastAsia="zh-CN"/>
              </w:rPr>
              <w:t>FG name to "</w:t>
            </w:r>
            <w:r w:rsidRPr="000E4E56">
              <w:rPr>
                <w:rFonts w:eastAsiaTheme="minorEastAsia"/>
                <w:b/>
                <w:i/>
                <w:lang w:eastAsia="zh-CN"/>
              </w:rPr>
              <w:t>Multi-TB SC-MTCH with</w:t>
            </w:r>
            <w:r>
              <w:rPr>
                <w:rFonts w:eastAsiaTheme="minorEastAsia"/>
                <w:b/>
                <w:i/>
                <w:lang w:eastAsia="zh-CN"/>
              </w:rPr>
              <w:t xml:space="preserve"> scheduling gap". </w:t>
            </w:r>
          </w:p>
        </w:tc>
      </w:tr>
    </w:tbl>
    <w:p w14:paraId="1970BEF9" w14:textId="2B923FE1" w:rsidR="00121551" w:rsidRDefault="00121551" w:rsidP="00121551">
      <w:pPr>
        <w:rPr>
          <w:lang w:val="en-US"/>
        </w:rPr>
      </w:pPr>
    </w:p>
    <w:p w14:paraId="7877E0EF" w14:textId="38E52271" w:rsidR="00FB2476" w:rsidRPr="003D7EA7" w:rsidRDefault="00FB2476" w:rsidP="00FB2476">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above, following </w:t>
      </w:r>
      <w:r>
        <w:rPr>
          <w:b/>
          <w:bCs/>
          <w:sz w:val="22"/>
          <w:lang w:val="en-US"/>
        </w:rPr>
        <w:t>points</w:t>
      </w:r>
      <w:r w:rsidRPr="003D7EA7">
        <w:rPr>
          <w:b/>
          <w:bCs/>
          <w:sz w:val="22"/>
          <w:lang w:val="en-US"/>
        </w:rPr>
        <w:t xml:space="preserve"> </w:t>
      </w:r>
      <w:r>
        <w:rPr>
          <w:b/>
          <w:bCs/>
          <w:sz w:val="22"/>
          <w:lang w:val="en-US"/>
        </w:rPr>
        <w:t xml:space="preserve">should be discussed </w:t>
      </w:r>
      <w:r w:rsidRPr="003D7EA7">
        <w:rPr>
          <w:b/>
          <w:bCs/>
          <w:sz w:val="22"/>
          <w:lang w:val="en-US"/>
        </w:rPr>
        <w:t>for FG</w:t>
      </w:r>
      <w:r w:rsidRPr="00FB2476">
        <w:rPr>
          <w:b/>
          <w:bCs/>
          <w:sz w:val="22"/>
          <w:lang w:val="en-US"/>
        </w:rPr>
        <w:t>2-11</w:t>
      </w:r>
      <w:r w:rsidRPr="003D7EA7">
        <w:rPr>
          <w:b/>
          <w:bCs/>
          <w:sz w:val="22"/>
          <w:lang w:val="en-US"/>
        </w:rPr>
        <w:t>.</w:t>
      </w:r>
    </w:p>
    <w:p w14:paraId="24A96345" w14:textId="4ECBD899" w:rsidR="00FB2476" w:rsidRPr="0036687B" w:rsidRDefault="0036687B" w:rsidP="00D668CE">
      <w:pPr>
        <w:pStyle w:val="aff"/>
        <w:numPr>
          <w:ilvl w:val="0"/>
          <w:numId w:val="28"/>
        </w:numPr>
        <w:spacing w:afterLines="50" w:after="120"/>
        <w:ind w:leftChars="0"/>
        <w:jc w:val="both"/>
        <w:rPr>
          <w:lang w:val="en-US"/>
        </w:rPr>
      </w:pPr>
      <w:r w:rsidRPr="0036687B">
        <w:rPr>
          <w:b/>
          <w:bCs/>
          <w:sz w:val="22"/>
          <w:lang w:val="en-US"/>
        </w:rPr>
        <w:t>Whether or not to change FG name to "Multi-TB SC-MTCH with scheduling gap"</w:t>
      </w:r>
    </w:p>
    <w:p w14:paraId="22736305" w14:textId="7D415479" w:rsidR="0036687B" w:rsidRDefault="0036687B" w:rsidP="00121551">
      <w:pPr>
        <w:rPr>
          <w:lang w:val="en-US"/>
        </w:rPr>
      </w:pPr>
    </w:p>
    <w:p w14:paraId="4E529F91" w14:textId="77777777" w:rsidR="0036687B" w:rsidRDefault="0036687B" w:rsidP="00121551">
      <w:pPr>
        <w:rPr>
          <w:rFonts w:hint="eastAsia"/>
          <w:lang w:val="en-US"/>
        </w:rPr>
      </w:pPr>
    </w:p>
    <w:p w14:paraId="094C1EF2" w14:textId="77777777" w:rsidR="0036687B" w:rsidRDefault="0036687B" w:rsidP="00121551">
      <w:pPr>
        <w:rPr>
          <w:rFonts w:hint="eastAsia"/>
          <w:lang w:val="en-US"/>
        </w:rPr>
      </w:pPr>
    </w:p>
    <w:p w14:paraId="1B80A202" w14:textId="530E6DCE" w:rsidR="00F3671D" w:rsidRDefault="00F34855" w:rsidP="00DB59EA">
      <w:pPr>
        <w:pStyle w:val="1"/>
        <w:numPr>
          <w:ilvl w:val="0"/>
          <w:numId w:val="4"/>
        </w:numPr>
        <w:spacing w:before="180" w:after="120"/>
        <w:rPr>
          <w:rFonts w:eastAsia="ＭＳ 明朝"/>
          <w:b/>
          <w:bCs/>
          <w:szCs w:val="24"/>
          <w:lang w:val="en-US"/>
        </w:rPr>
      </w:pPr>
      <w:r>
        <w:rPr>
          <w:rFonts w:eastAsia="ＭＳ 明朝"/>
          <w:b/>
          <w:bCs/>
          <w:szCs w:val="24"/>
          <w:lang w:val="en-US"/>
        </w:rPr>
        <w:t>2-12 and</w:t>
      </w:r>
      <w:r w:rsidR="00F3671D">
        <w:rPr>
          <w:rFonts w:eastAsia="ＭＳ 明朝"/>
          <w:b/>
          <w:bCs/>
          <w:szCs w:val="24"/>
          <w:lang w:val="en-US"/>
        </w:rPr>
        <w:t xml:space="preserve"> </w:t>
      </w:r>
      <w:r>
        <w:rPr>
          <w:rFonts w:eastAsia="ＭＳ 明朝"/>
          <w:b/>
          <w:bCs/>
          <w:szCs w:val="24"/>
          <w:lang w:val="en-US"/>
        </w:rPr>
        <w:t>2-</w:t>
      </w:r>
      <w:r w:rsidR="00F3671D">
        <w:rPr>
          <w:rFonts w:eastAsia="ＭＳ 明朝"/>
          <w:b/>
          <w:bCs/>
          <w:szCs w:val="24"/>
          <w:lang w:val="en-US"/>
        </w:rPr>
        <w:t>13</w:t>
      </w:r>
      <w:r w:rsidR="00DB59EA">
        <w:rPr>
          <w:rFonts w:eastAsia="ＭＳ 明朝"/>
          <w:b/>
          <w:bCs/>
          <w:szCs w:val="24"/>
          <w:lang w:val="en-US"/>
        </w:rPr>
        <w:t>:</w:t>
      </w:r>
      <w:r w:rsidR="00F3671D" w:rsidRPr="00F3671D">
        <w:rPr>
          <w:rFonts w:eastAsia="ＭＳ 明朝"/>
          <w:b/>
          <w:bCs/>
          <w:szCs w:val="24"/>
          <w:lang w:val="en-US"/>
        </w:rPr>
        <w:t xml:space="preserve"> </w:t>
      </w:r>
      <w:r w:rsidR="00DB59EA" w:rsidRPr="00DB59EA">
        <w:rPr>
          <w:rFonts w:eastAsia="ＭＳ 明朝"/>
          <w:b/>
          <w:bCs/>
          <w:szCs w:val="24"/>
          <w:lang w:val="en-US"/>
        </w:rPr>
        <w:t>Subframe/slot/symbol-level resource reservation</w:t>
      </w:r>
    </w:p>
    <w:p w14:paraId="1FD19D7F" w14:textId="144B3AE7" w:rsidR="00621DAE" w:rsidRDefault="00621DAE" w:rsidP="00621DAE">
      <w:pPr>
        <w:rPr>
          <w:lang w:val="en-US"/>
        </w:rPr>
      </w:pPr>
      <w:r w:rsidRPr="00890250">
        <w:rPr>
          <w:lang w:val="en-US"/>
        </w:rPr>
        <w:t>In [1], FG</w:t>
      </w:r>
      <w:r w:rsidR="00DB59EA">
        <w:rPr>
          <w:lang w:val="en-US"/>
        </w:rPr>
        <w:t>12 and FG2-13</w:t>
      </w:r>
      <w:r w:rsidRPr="00890250">
        <w:rPr>
          <w:lang w:val="en-US"/>
        </w:rPr>
        <w:t xml:space="preserve"> </w:t>
      </w:r>
      <w:r w:rsidR="00DB59EA">
        <w:rPr>
          <w:lang w:val="en-US"/>
        </w:rPr>
        <w:t>are</w:t>
      </w:r>
      <w:r w:rsidRPr="00890250">
        <w:rPr>
          <w:lang w:val="en-US"/>
        </w:rPr>
        <w:t xml:space="preserve"> captured as below.</w:t>
      </w:r>
    </w:p>
    <w:p w14:paraId="230A2E35" w14:textId="696BA71E" w:rsidR="00621DAE" w:rsidRDefault="00621DAE" w:rsidP="00621DAE">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2104"/>
        <w:gridCol w:w="1932"/>
        <w:gridCol w:w="1977"/>
        <w:gridCol w:w="1262"/>
        <w:gridCol w:w="1338"/>
        <w:gridCol w:w="1777"/>
        <w:gridCol w:w="2064"/>
        <w:gridCol w:w="1416"/>
        <w:gridCol w:w="1414"/>
        <w:gridCol w:w="2620"/>
        <w:gridCol w:w="1907"/>
      </w:tblGrid>
      <w:tr w:rsidR="00F3671D" w:rsidRPr="00890250" w14:paraId="6BBE59C1" w14:textId="77777777" w:rsidTr="00211497">
        <w:tc>
          <w:tcPr>
            <w:tcW w:w="1838" w:type="dxa"/>
            <w:shd w:val="clear" w:color="auto" w:fill="auto"/>
          </w:tcPr>
          <w:p w14:paraId="18E1B83E"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2665DC98"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2104" w:type="dxa"/>
            <w:shd w:val="clear" w:color="auto" w:fill="auto"/>
          </w:tcPr>
          <w:p w14:paraId="2CCC844B"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1932" w:type="dxa"/>
            <w:shd w:val="clear" w:color="auto" w:fill="auto"/>
          </w:tcPr>
          <w:p w14:paraId="3CFBF941"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2995FB72"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9DC0D2B"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9F212C6"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26C6FBFD" w14:textId="77777777" w:rsidR="00F3671D" w:rsidRPr="00890250" w:rsidRDefault="00F3671D" w:rsidP="00211497">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3ABDEC62" w14:textId="77777777" w:rsidR="00F3671D" w:rsidRPr="00890250" w:rsidRDefault="00F3671D" w:rsidP="00211497">
            <w:pPr>
              <w:keepNext/>
              <w:keepLines/>
              <w:rPr>
                <w:rFonts w:ascii="Arial" w:eastAsia="Times New Roman" w:hAnsi="Arial"/>
                <w:b/>
                <w:sz w:val="18"/>
              </w:rPr>
            </w:pPr>
            <w:r w:rsidRPr="00890250">
              <w:rPr>
                <w:rFonts w:ascii="Arial" w:eastAsia="Times New Roman" w:hAnsi="Arial" w:hint="eastAsia"/>
                <w:b/>
                <w:sz w:val="18"/>
              </w:rPr>
              <w:t>Type</w:t>
            </w:r>
          </w:p>
          <w:p w14:paraId="23222C6B" w14:textId="77777777" w:rsidR="00F3671D" w:rsidRPr="00890250" w:rsidRDefault="00F3671D" w:rsidP="00211497">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710EBCEA"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5D72581D"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06AB3B29"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72095993"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F3671D" w:rsidRPr="00890250" w14:paraId="461D29D9" w14:textId="77777777" w:rsidTr="00211497">
        <w:tc>
          <w:tcPr>
            <w:tcW w:w="1838" w:type="dxa"/>
            <w:vMerge w:val="restart"/>
            <w:shd w:val="clear" w:color="auto" w:fill="auto"/>
          </w:tcPr>
          <w:p w14:paraId="00863CF9" w14:textId="77777777" w:rsidR="00F3671D" w:rsidRPr="0036687B" w:rsidRDefault="00F3671D" w:rsidP="00211497">
            <w:pPr>
              <w:keepNext/>
              <w:keepLines/>
              <w:overflowPunct w:val="0"/>
              <w:autoSpaceDE w:val="0"/>
              <w:autoSpaceDN w:val="0"/>
              <w:adjustRightInd w:val="0"/>
              <w:textAlignment w:val="baseline"/>
              <w:rPr>
                <w:rFonts w:ascii="Arial" w:eastAsia="Times New Roman" w:hAnsi="Arial"/>
                <w:b/>
                <w:sz w:val="18"/>
                <w:szCs w:val="18"/>
              </w:rPr>
            </w:pPr>
            <w:r w:rsidRPr="0036687B">
              <w:rPr>
                <w:sz w:val="18"/>
                <w:szCs w:val="18"/>
              </w:rPr>
              <w:t>2. NB_IOTenh3</w:t>
            </w:r>
          </w:p>
        </w:tc>
        <w:tc>
          <w:tcPr>
            <w:tcW w:w="731" w:type="dxa"/>
            <w:shd w:val="clear" w:color="auto" w:fill="auto"/>
          </w:tcPr>
          <w:p w14:paraId="38DDD9AD"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2-12</w:t>
            </w:r>
          </w:p>
        </w:tc>
        <w:tc>
          <w:tcPr>
            <w:tcW w:w="2104" w:type="dxa"/>
            <w:shd w:val="clear" w:color="auto" w:fill="auto"/>
          </w:tcPr>
          <w:p w14:paraId="31F484B0" w14:textId="77777777" w:rsidR="00F3671D" w:rsidRPr="0036687B" w:rsidRDefault="00F3671D" w:rsidP="00211497">
            <w:pPr>
              <w:pStyle w:val="TAL"/>
              <w:rPr>
                <w:rFonts w:ascii="Times New Roman" w:eastAsia="ＭＳ ゴシック" w:hAnsi="Times New Roman"/>
                <w:szCs w:val="18"/>
                <w:lang w:eastAsia="ja-JP"/>
              </w:rPr>
            </w:pPr>
            <w:r w:rsidRPr="0036687B">
              <w:rPr>
                <w:rFonts w:ascii="Times New Roman" w:eastAsia="ＭＳ ゴシック" w:hAnsi="Times New Roman"/>
                <w:szCs w:val="18"/>
                <w:lang w:eastAsia="ja-JP"/>
              </w:rPr>
              <w:t>Resource reservation</w:t>
            </w:r>
          </w:p>
          <w:p w14:paraId="0C9313C8" w14:textId="77777777" w:rsidR="00F3671D" w:rsidRPr="0036687B" w:rsidRDefault="00F3671D" w:rsidP="00211497">
            <w:pPr>
              <w:pStyle w:val="TAL"/>
              <w:rPr>
                <w:rFonts w:ascii="Times New Roman" w:eastAsia="ＭＳ ゴシック" w:hAnsi="Times New Roman"/>
                <w:szCs w:val="18"/>
                <w:lang w:eastAsia="ja-JP"/>
              </w:rPr>
            </w:pPr>
          </w:p>
          <w:p w14:paraId="016A89D8"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DL resource reservation with subframe-level, slot-level and symbol-level granularity of NB-IoT non-anchor carriers.</w:t>
            </w:r>
          </w:p>
        </w:tc>
        <w:tc>
          <w:tcPr>
            <w:tcW w:w="1932" w:type="dxa"/>
            <w:shd w:val="clear" w:color="auto" w:fill="auto"/>
          </w:tcPr>
          <w:p w14:paraId="6F36E10F" w14:textId="77777777" w:rsidR="00F3671D" w:rsidRPr="0036687B" w:rsidRDefault="00F3671D" w:rsidP="00211497">
            <w:pPr>
              <w:keepNext/>
              <w:keepLines/>
              <w:overflowPunct w:val="0"/>
              <w:autoSpaceDE w:val="0"/>
              <w:autoSpaceDN w:val="0"/>
              <w:adjustRightInd w:val="0"/>
              <w:textAlignment w:val="baseline"/>
              <w:rPr>
                <w:sz w:val="18"/>
                <w:szCs w:val="18"/>
              </w:rPr>
            </w:pPr>
          </w:p>
        </w:tc>
        <w:tc>
          <w:tcPr>
            <w:tcW w:w="1977" w:type="dxa"/>
            <w:shd w:val="clear" w:color="auto" w:fill="auto"/>
          </w:tcPr>
          <w:p w14:paraId="2764E221" w14:textId="77777777" w:rsidR="00F3671D" w:rsidRPr="0036687B" w:rsidRDefault="00F3671D" w:rsidP="00211497">
            <w:pPr>
              <w:keepNext/>
              <w:keepLines/>
              <w:overflowPunct w:val="0"/>
              <w:autoSpaceDE w:val="0"/>
              <w:autoSpaceDN w:val="0"/>
              <w:adjustRightInd w:val="0"/>
              <w:textAlignment w:val="baseline"/>
              <w:rPr>
                <w:sz w:val="18"/>
                <w:szCs w:val="18"/>
              </w:rPr>
            </w:pPr>
          </w:p>
        </w:tc>
        <w:tc>
          <w:tcPr>
            <w:tcW w:w="1262" w:type="dxa"/>
            <w:shd w:val="clear" w:color="auto" w:fill="auto"/>
          </w:tcPr>
          <w:p w14:paraId="6443DDBC"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Yes</w:t>
            </w:r>
          </w:p>
        </w:tc>
        <w:tc>
          <w:tcPr>
            <w:tcW w:w="1338" w:type="dxa"/>
            <w:shd w:val="clear" w:color="auto" w:fill="auto"/>
          </w:tcPr>
          <w:p w14:paraId="1A9E55A8"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4748D823" w14:textId="77777777" w:rsidR="00F3671D" w:rsidRPr="0036687B" w:rsidRDefault="00F3671D" w:rsidP="00211497">
            <w:pPr>
              <w:keepNext/>
              <w:keepLines/>
              <w:rPr>
                <w:sz w:val="18"/>
                <w:szCs w:val="18"/>
              </w:rPr>
            </w:pPr>
            <w:r w:rsidRPr="0036687B">
              <w:rPr>
                <w:sz w:val="18"/>
                <w:szCs w:val="18"/>
              </w:rPr>
              <w:t>NB-IoT transmission may collide with NR transmission</w:t>
            </w:r>
          </w:p>
        </w:tc>
        <w:tc>
          <w:tcPr>
            <w:tcW w:w="2064" w:type="dxa"/>
            <w:shd w:val="clear" w:color="auto" w:fill="auto"/>
          </w:tcPr>
          <w:p w14:paraId="509882D7" w14:textId="77777777" w:rsidR="00F3671D" w:rsidRPr="0036687B" w:rsidRDefault="00F3671D" w:rsidP="00211497">
            <w:pPr>
              <w:keepNext/>
              <w:keepLines/>
              <w:rPr>
                <w:sz w:val="18"/>
                <w:szCs w:val="18"/>
              </w:rPr>
            </w:pPr>
            <w:r w:rsidRPr="0036687B">
              <w:rPr>
                <w:sz w:val="18"/>
                <w:szCs w:val="18"/>
              </w:rPr>
              <w:t>Per UE</w:t>
            </w:r>
          </w:p>
        </w:tc>
        <w:tc>
          <w:tcPr>
            <w:tcW w:w="1416" w:type="dxa"/>
            <w:shd w:val="clear" w:color="auto" w:fill="auto"/>
          </w:tcPr>
          <w:p w14:paraId="05E060EE"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Yes</w:t>
            </w:r>
          </w:p>
        </w:tc>
        <w:tc>
          <w:tcPr>
            <w:tcW w:w="1414" w:type="dxa"/>
            <w:shd w:val="clear" w:color="auto" w:fill="auto"/>
          </w:tcPr>
          <w:p w14:paraId="0BF33061"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0B93A945" w14:textId="77777777" w:rsidR="00F3671D" w:rsidRPr="0036687B" w:rsidRDefault="00F3671D" w:rsidP="00211497">
            <w:pPr>
              <w:pStyle w:val="TAL"/>
              <w:rPr>
                <w:rFonts w:ascii="Times New Roman" w:eastAsia="ＭＳ ゴシック" w:hAnsi="Times New Roman"/>
                <w:szCs w:val="18"/>
                <w:lang w:eastAsia="ja-JP"/>
              </w:rPr>
            </w:pPr>
          </w:p>
          <w:p w14:paraId="3AD1801A"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FFS: Whether to introduce separate indications for subframe/slot/symbol levels</w:t>
            </w:r>
          </w:p>
        </w:tc>
        <w:tc>
          <w:tcPr>
            <w:tcW w:w="1907" w:type="dxa"/>
            <w:shd w:val="clear" w:color="auto" w:fill="auto"/>
          </w:tcPr>
          <w:p w14:paraId="122C3C97"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Optional with capability signalling</w:t>
            </w:r>
          </w:p>
        </w:tc>
      </w:tr>
      <w:tr w:rsidR="00F3671D" w:rsidRPr="00890250" w14:paraId="272A454B" w14:textId="77777777" w:rsidTr="00211497">
        <w:tc>
          <w:tcPr>
            <w:tcW w:w="1838" w:type="dxa"/>
            <w:vMerge/>
            <w:shd w:val="clear" w:color="auto" w:fill="auto"/>
          </w:tcPr>
          <w:p w14:paraId="67DB3E20" w14:textId="77777777" w:rsidR="00F3671D" w:rsidRPr="0036687B" w:rsidRDefault="00F3671D" w:rsidP="00211497">
            <w:pPr>
              <w:keepNext/>
              <w:keepLines/>
              <w:overflowPunct w:val="0"/>
              <w:autoSpaceDE w:val="0"/>
              <w:autoSpaceDN w:val="0"/>
              <w:adjustRightInd w:val="0"/>
              <w:textAlignment w:val="baseline"/>
              <w:rPr>
                <w:sz w:val="18"/>
                <w:szCs w:val="18"/>
              </w:rPr>
            </w:pPr>
          </w:p>
        </w:tc>
        <w:tc>
          <w:tcPr>
            <w:tcW w:w="731" w:type="dxa"/>
            <w:shd w:val="clear" w:color="auto" w:fill="auto"/>
          </w:tcPr>
          <w:p w14:paraId="60EB38BA"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2-13</w:t>
            </w:r>
          </w:p>
        </w:tc>
        <w:tc>
          <w:tcPr>
            <w:tcW w:w="2104" w:type="dxa"/>
            <w:shd w:val="clear" w:color="auto" w:fill="auto"/>
          </w:tcPr>
          <w:p w14:paraId="3AEC0F03" w14:textId="77777777" w:rsidR="00F3671D" w:rsidRPr="0036687B" w:rsidRDefault="00F3671D" w:rsidP="00211497">
            <w:pPr>
              <w:pStyle w:val="TAL"/>
              <w:rPr>
                <w:rFonts w:ascii="Times New Roman" w:eastAsia="ＭＳ ゴシック" w:hAnsi="Times New Roman"/>
                <w:szCs w:val="18"/>
                <w:lang w:eastAsia="ja-JP"/>
              </w:rPr>
            </w:pPr>
            <w:r w:rsidRPr="0036687B">
              <w:rPr>
                <w:rFonts w:ascii="Times New Roman" w:eastAsia="ＭＳ ゴシック" w:hAnsi="Times New Roman"/>
                <w:szCs w:val="18"/>
                <w:lang w:eastAsia="ja-JP"/>
              </w:rPr>
              <w:t>Resource reservation</w:t>
            </w:r>
          </w:p>
          <w:p w14:paraId="0D08BEF5" w14:textId="77777777" w:rsidR="00F3671D" w:rsidRPr="0036687B" w:rsidRDefault="00F3671D" w:rsidP="00211497">
            <w:pPr>
              <w:pStyle w:val="TAL"/>
              <w:rPr>
                <w:rFonts w:ascii="Times New Roman" w:eastAsia="ＭＳ ゴシック" w:hAnsi="Times New Roman"/>
                <w:szCs w:val="18"/>
                <w:lang w:eastAsia="ja-JP"/>
              </w:rPr>
            </w:pPr>
          </w:p>
          <w:p w14:paraId="239280D1"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UL resource reservation with subframe-level, slot-level and symbol(s)-level granularity of NB-IoT non-anchor carriers.</w:t>
            </w:r>
          </w:p>
        </w:tc>
        <w:tc>
          <w:tcPr>
            <w:tcW w:w="1932" w:type="dxa"/>
            <w:shd w:val="clear" w:color="auto" w:fill="auto"/>
          </w:tcPr>
          <w:p w14:paraId="4664942A" w14:textId="77777777" w:rsidR="00F3671D" w:rsidRPr="0036687B" w:rsidRDefault="00F3671D" w:rsidP="00211497">
            <w:pPr>
              <w:keepNext/>
              <w:keepLines/>
              <w:overflowPunct w:val="0"/>
              <w:autoSpaceDE w:val="0"/>
              <w:autoSpaceDN w:val="0"/>
              <w:adjustRightInd w:val="0"/>
              <w:textAlignment w:val="baseline"/>
              <w:rPr>
                <w:sz w:val="18"/>
                <w:szCs w:val="18"/>
              </w:rPr>
            </w:pPr>
          </w:p>
        </w:tc>
        <w:tc>
          <w:tcPr>
            <w:tcW w:w="1977" w:type="dxa"/>
            <w:shd w:val="clear" w:color="auto" w:fill="auto"/>
          </w:tcPr>
          <w:p w14:paraId="1B94D89D" w14:textId="77777777" w:rsidR="00F3671D" w:rsidRPr="0036687B" w:rsidRDefault="00F3671D" w:rsidP="00211497">
            <w:pPr>
              <w:keepNext/>
              <w:keepLines/>
              <w:overflowPunct w:val="0"/>
              <w:autoSpaceDE w:val="0"/>
              <w:autoSpaceDN w:val="0"/>
              <w:adjustRightInd w:val="0"/>
              <w:textAlignment w:val="baseline"/>
              <w:rPr>
                <w:sz w:val="18"/>
                <w:szCs w:val="18"/>
              </w:rPr>
            </w:pPr>
          </w:p>
        </w:tc>
        <w:tc>
          <w:tcPr>
            <w:tcW w:w="1262" w:type="dxa"/>
            <w:shd w:val="clear" w:color="auto" w:fill="auto"/>
          </w:tcPr>
          <w:p w14:paraId="3846D235"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Yes</w:t>
            </w:r>
          </w:p>
        </w:tc>
        <w:tc>
          <w:tcPr>
            <w:tcW w:w="1338" w:type="dxa"/>
            <w:shd w:val="clear" w:color="auto" w:fill="auto"/>
          </w:tcPr>
          <w:p w14:paraId="0FFB068F"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2C37647B" w14:textId="77777777" w:rsidR="00F3671D" w:rsidRPr="0036687B" w:rsidRDefault="00F3671D" w:rsidP="00211497">
            <w:pPr>
              <w:keepNext/>
              <w:keepLines/>
              <w:rPr>
                <w:sz w:val="18"/>
                <w:szCs w:val="18"/>
              </w:rPr>
            </w:pPr>
            <w:r w:rsidRPr="0036687B">
              <w:rPr>
                <w:sz w:val="18"/>
                <w:szCs w:val="18"/>
              </w:rPr>
              <w:t>NB-IoT transmission may collide with NR transmission</w:t>
            </w:r>
          </w:p>
        </w:tc>
        <w:tc>
          <w:tcPr>
            <w:tcW w:w="2064" w:type="dxa"/>
            <w:shd w:val="clear" w:color="auto" w:fill="auto"/>
          </w:tcPr>
          <w:p w14:paraId="641695ED" w14:textId="77777777" w:rsidR="00F3671D" w:rsidRPr="0036687B" w:rsidRDefault="00F3671D" w:rsidP="00211497">
            <w:pPr>
              <w:keepNext/>
              <w:keepLines/>
              <w:rPr>
                <w:sz w:val="18"/>
                <w:szCs w:val="18"/>
              </w:rPr>
            </w:pPr>
            <w:r w:rsidRPr="0036687B">
              <w:rPr>
                <w:sz w:val="18"/>
                <w:szCs w:val="18"/>
              </w:rPr>
              <w:t>Per UE</w:t>
            </w:r>
          </w:p>
        </w:tc>
        <w:tc>
          <w:tcPr>
            <w:tcW w:w="1416" w:type="dxa"/>
            <w:shd w:val="clear" w:color="auto" w:fill="auto"/>
          </w:tcPr>
          <w:p w14:paraId="51829DBB"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Yes</w:t>
            </w:r>
          </w:p>
        </w:tc>
        <w:tc>
          <w:tcPr>
            <w:tcW w:w="1414" w:type="dxa"/>
            <w:shd w:val="clear" w:color="auto" w:fill="auto"/>
          </w:tcPr>
          <w:p w14:paraId="1AE9F9B6"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1D1D6860"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FFS: Whether to introduce separate indications for subframe/slot/symbol levels</w:t>
            </w:r>
          </w:p>
        </w:tc>
        <w:tc>
          <w:tcPr>
            <w:tcW w:w="1907" w:type="dxa"/>
            <w:shd w:val="clear" w:color="auto" w:fill="auto"/>
          </w:tcPr>
          <w:p w14:paraId="0C39F9A1"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Optional with capability signalling</w:t>
            </w:r>
          </w:p>
        </w:tc>
      </w:tr>
    </w:tbl>
    <w:p w14:paraId="61F729F3" w14:textId="078D493B" w:rsidR="00F3671D" w:rsidRDefault="00F3671D" w:rsidP="00621DAE">
      <w:pPr>
        <w:rPr>
          <w:lang w:val="en-US"/>
        </w:rPr>
      </w:pPr>
    </w:p>
    <w:p w14:paraId="523F1275" w14:textId="77777777" w:rsidR="00F3671D" w:rsidRDefault="00F3671D" w:rsidP="00621DAE">
      <w:pPr>
        <w:rPr>
          <w:lang w:val="en-US"/>
        </w:rPr>
      </w:pPr>
    </w:p>
    <w:p w14:paraId="589B6FB5" w14:textId="77777777" w:rsidR="00621DAE" w:rsidRDefault="00621DAE" w:rsidP="00621DAE">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621DAE" w14:paraId="51C375EE" w14:textId="77777777" w:rsidTr="00211497">
        <w:tc>
          <w:tcPr>
            <w:tcW w:w="846" w:type="dxa"/>
          </w:tcPr>
          <w:p w14:paraId="5E196565" w14:textId="24896562" w:rsidR="00621DAE" w:rsidRDefault="00621DAE" w:rsidP="00211497">
            <w:pPr>
              <w:spacing w:afterLines="50" w:after="120"/>
              <w:jc w:val="both"/>
              <w:rPr>
                <w:rFonts w:eastAsia="ＭＳ 明朝"/>
                <w:sz w:val="22"/>
              </w:rPr>
            </w:pPr>
            <w:r>
              <w:rPr>
                <w:rFonts w:eastAsia="ＭＳ 明朝"/>
                <w:sz w:val="22"/>
              </w:rPr>
              <w:t>[</w:t>
            </w:r>
            <w:r w:rsidR="001D2859">
              <w:rPr>
                <w:rFonts w:eastAsia="ＭＳ 明朝" w:hint="eastAsia"/>
                <w:sz w:val="22"/>
              </w:rPr>
              <w:t>2</w:t>
            </w:r>
            <w:r>
              <w:rPr>
                <w:rFonts w:eastAsia="ＭＳ 明朝"/>
                <w:sz w:val="22"/>
              </w:rPr>
              <w:t>]</w:t>
            </w:r>
          </w:p>
        </w:tc>
        <w:tc>
          <w:tcPr>
            <w:tcW w:w="2977" w:type="dxa"/>
          </w:tcPr>
          <w:p w14:paraId="0F53AA16" w14:textId="4F0413B5" w:rsidR="00621DAE" w:rsidRPr="00BC6D2B" w:rsidRDefault="00851D37" w:rsidP="00211497">
            <w:pPr>
              <w:spacing w:afterLines="50" w:after="120"/>
              <w:jc w:val="both"/>
              <w:rPr>
                <w:sz w:val="22"/>
                <w:lang w:val="en-US"/>
              </w:rPr>
            </w:pPr>
            <w:r>
              <w:rPr>
                <w:rFonts w:hint="eastAsia"/>
                <w:sz w:val="22"/>
                <w:lang w:val="en-US"/>
              </w:rPr>
              <w:t>ZTE</w:t>
            </w:r>
          </w:p>
        </w:tc>
        <w:tc>
          <w:tcPr>
            <w:tcW w:w="18560" w:type="dxa"/>
          </w:tcPr>
          <w:p w14:paraId="75762DAE" w14:textId="7575E9CD" w:rsidR="00621DAE" w:rsidRPr="00DB59EA" w:rsidRDefault="00851D37" w:rsidP="00DB59EA">
            <w:pPr>
              <w:spacing w:afterLines="50" w:after="120"/>
              <w:jc w:val="both"/>
              <w:rPr>
                <w:sz w:val="22"/>
              </w:rPr>
            </w:pPr>
            <w:r>
              <w:rPr>
                <w:b/>
                <w:i/>
                <w:lang w:eastAsia="zh-CN"/>
              </w:rPr>
              <w:t xml:space="preserve">Proposal 2: For Rel-16 NB-IoT enhancement, one indication for </w:t>
            </w:r>
            <w:r w:rsidRPr="0077325B">
              <w:rPr>
                <w:b/>
                <w:i/>
                <w:lang w:eastAsia="zh-CN"/>
              </w:rPr>
              <w:t>symbol-level</w:t>
            </w:r>
            <w:r>
              <w:rPr>
                <w:b/>
                <w:i/>
                <w:lang w:eastAsia="zh-CN"/>
              </w:rPr>
              <w:t>/slot level</w:t>
            </w:r>
            <w:r w:rsidRPr="0077325B">
              <w:rPr>
                <w:b/>
                <w:i/>
                <w:lang w:eastAsia="zh-CN"/>
              </w:rPr>
              <w:t xml:space="preserve"> </w:t>
            </w:r>
            <w:r>
              <w:rPr>
                <w:b/>
                <w:i/>
                <w:lang w:eastAsia="zh-CN"/>
              </w:rPr>
              <w:t xml:space="preserve">and another separate indication for subframe level should be used for </w:t>
            </w:r>
            <w:r w:rsidRPr="0077325B">
              <w:rPr>
                <w:b/>
                <w:i/>
                <w:lang w:eastAsia="zh-CN"/>
              </w:rPr>
              <w:t>DL</w:t>
            </w:r>
            <w:r>
              <w:rPr>
                <w:b/>
                <w:i/>
                <w:lang w:eastAsia="zh-CN"/>
              </w:rPr>
              <w:t>/UL</w:t>
            </w:r>
            <w:r w:rsidRPr="0077325B">
              <w:rPr>
                <w:b/>
                <w:i/>
                <w:lang w:eastAsia="zh-CN"/>
              </w:rPr>
              <w:t xml:space="preserve"> resource reservation</w:t>
            </w:r>
            <w:r>
              <w:rPr>
                <w:b/>
                <w:i/>
                <w:lang w:eastAsia="zh-CN"/>
              </w:rPr>
              <w:t>.</w:t>
            </w:r>
          </w:p>
        </w:tc>
      </w:tr>
      <w:tr w:rsidR="001548C1" w14:paraId="13A8B3AA" w14:textId="77777777" w:rsidTr="00211497">
        <w:tc>
          <w:tcPr>
            <w:tcW w:w="846" w:type="dxa"/>
          </w:tcPr>
          <w:p w14:paraId="3380869A" w14:textId="605107A8" w:rsidR="001548C1" w:rsidRDefault="001D2859" w:rsidP="00211497">
            <w:pPr>
              <w:spacing w:afterLines="50" w:after="120"/>
              <w:jc w:val="both"/>
              <w:rPr>
                <w:rFonts w:eastAsia="ＭＳ 明朝"/>
                <w:sz w:val="22"/>
              </w:rPr>
            </w:pPr>
            <w:r>
              <w:rPr>
                <w:rFonts w:eastAsia="ＭＳ 明朝" w:hint="eastAsia"/>
                <w:sz w:val="22"/>
              </w:rPr>
              <w:t>[3</w:t>
            </w:r>
            <w:r w:rsidR="001548C1">
              <w:rPr>
                <w:rFonts w:eastAsia="ＭＳ 明朝" w:hint="eastAsia"/>
                <w:sz w:val="22"/>
              </w:rPr>
              <w:t>]</w:t>
            </w:r>
          </w:p>
        </w:tc>
        <w:tc>
          <w:tcPr>
            <w:tcW w:w="2977" w:type="dxa"/>
          </w:tcPr>
          <w:p w14:paraId="64B87E56" w14:textId="1F26DBD4" w:rsidR="001548C1" w:rsidRDefault="001548C1" w:rsidP="00211497">
            <w:pPr>
              <w:spacing w:afterLines="50" w:after="120"/>
              <w:jc w:val="both"/>
              <w:rPr>
                <w:sz w:val="22"/>
                <w:lang w:val="en-US"/>
              </w:rPr>
            </w:pPr>
            <w:r w:rsidRPr="001548C1">
              <w:rPr>
                <w:sz w:val="22"/>
                <w:lang w:val="en-US"/>
              </w:rPr>
              <w:t>Qualcomm</w:t>
            </w:r>
          </w:p>
        </w:tc>
        <w:tc>
          <w:tcPr>
            <w:tcW w:w="18560" w:type="dxa"/>
          </w:tcPr>
          <w:p w14:paraId="14D39285" w14:textId="2B33FF6D" w:rsidR="001548C1" w:rsidRPr="00331E16" w:rsidRDefault="001548C1" w:rsidP="00211497">
            <w:pPr>
              <w:spacing w:afterLines="50" w:after="120"/>
              <w:jc w:val="both"/>
              <w:rPr>
                <w:color w:val="FF0000"/>
                <w:sz w:val="22"/>
              </w:rPr>
            </w:pPr>
            <w:r w:rsidRPr="001548C1">
              <w:rPr>
                <w:sz w:val="22"/>
                <w:lang w:val="en-US"/>
              </w:rPr>
              <w:t>We would like to have separate indications for all resource reservation FG.</w:t>
            </w:r>
          </w:p>
        </w:tc>
      </w:tr>
      <w:tr w:rsidR="00F05B2D" w14:paraId="7B20476E" w14:textId="77777777" w:rsidTr="00211497">
        <w:tc>
          <w:tcPr>
            <w:tcW w:w="846" w:type="dxa"/>
          </w:tcPr>
          <w:p w14:paraId="2ED8E343" w14:textId="6CCC9725" w:rsidR="00F05B2D" w:rsidRDefault="00F05B2D" w:rsidP="00F05B2D">
            <w:pPr>
              <w:spacing w:afterLines="50" w:after="120"/>
              <w:jc w:val="both"/>
              <w:rPr>
                <w:rFonts w:eastAsia="ＭＳ 明朝"/>
                <w:sz w:val="22"/>
              </w:rPr>
            </w:pPr>
            <w:r>
              <w:rPr>
                <w:rFonts w:eastAsia="ＭＳ 明朝" w:hint="eastAsia"/>
                <w:sz w:val="22"/>
              </w:rPr>
              <w:t>[</w:t>
            </w:r>
            <w:r>
              <w:rPr>
                <w:rFonts w:eastAsia="ＭＳ 明朝"/>
                <w:sz w:val="22"/>
              </w:rPr>
              <w:t>4]</w:t>
            </w:r>
          </w:p>
        </w:tc>
        <w:tc>
          <w:tcPr>
            <w:tcW w:w="2977" w:type="dxa"/>
          </w:tcPr>
          <w:p w14:paraId="5193485F" w14:textId="7FCF45E6" w:rsidR="00F05B2D" w:rsidRPr="001548C1" w:rsidRDefault="00F05B2D" w:rsidP="00F05B2D">
            <w:pPr>
              <w:spacing w:afterLines="50" w:after="120"/>
              <w:jc w:val="both"/>
              <w:rPr>
                <w:sz w:val="22"/>
                <w:lang w:val="en-US"/>
              </w:rPr>
            </w:pPr>
            <w:r w:rsidRPr="00181516">
              <w:rPr>
                <w:rFonts w:eastAsia="ＭＳ 明朝"/>
                <w:sz w:val="22"/>
              </w:rPr>
              <w:t>Ericsson</w:t>
            </w:r>
          </w:p>
        </w:tc>
        <w:tc>
          <w:tcPr>
            <w:tcW w:w="18560" w:type="dxa"/>
          </w:tcPr>
          <w:p w14:paraId="707E0146" w14:textId="77777777" w:rsidR="00F05B2D" w:rsidRPr="00F05B2D" w:rsidRDefault="00F05B2D" w:rsidP="00F05B2D">
            <w:pPr>
              <w:spacing w:afterLines="50" w:after="120"/>
              <w:jc w:val="both"/>
              <w:rPr>
                <w:rFonts w:ascii="Arial" w:eastAsiaTheme="minorEastAsia" w:hAnsi="Arial" w:cstheme="minorBidi"/>
                <w:b/>
                <w:bCs/>
                <w:kern w:val="2"/>
                <w:sz w:val="21"/>
                <w:szCs w:val="22"/>
                <w:lang w:val="en-US" w:eastAsia="zh-CN"/>
              </w:rPr>
            </w:pPr>
            <w:r w:rsidRPr="00F05B2D">
              <w:rPr>
                <w:rFonts w:ascii="Arial" w:eastAsiaTheme="minorEastAsia" w:hAnsi="Arial" w:cstheme="minorBidi"/>
                <w:b/>
                <w:bCs/>
                <w:kern w:val="2"/>
                <w:sz w:val="21"/>
                <w:szCs w:val="22"/>
                <w:lang w:val="en-US" w:eastAsia="zh-CN"/>
              </w:rPr>
              <w:t>Proposal 3</w:t>
            </w:r>
            <w:r w:rsidRPr="00F05B2D">
              <w:rPr>
                <w:rFonts w:ascii="Arial" w:eastAsiaTheme="minorEastAsia" w:hAnsi="Arial" w:cstheme="minorBidi"/>
                <w:b/>
                <w:bCs/>
                <w:kern w:val="2"/>
                <w:sz w:val="21"/>
                <w:szCs w:val="22"/>
                <w:lang w:val="en-US" w:eastAsia="zh-CN"/>
              </w:rPr>
              <w:tab/>
              <w:t>Introduce two separate indications for DL resource reservation with subframe-level and slot-/symbol-level granularity, respectively.</w:t>
            </w:r>
          </w:p>
          <w:p w14:paraId="1A4C45D9" w14:textId="2D03E114" w:rsidR="00F05B2D" w:rsidRPr="001548C1" w:rsidRDefault="00F05B2D" w:rsidP="00F05B2D">
            <w:pPr>
              <w:spacing w:afterLines="50" w:after="120"/>
              <w:jc w:val="both"/>
              <w:rPr>
                <w:sz w:val="22"/>
                <w:lang w:val="en-US"/>
              </w:rPr>
            </w:pPr>
            <w:r w:rsidRPr="00F05B2D">
              <w:rPr>
                <w:rFonts w:ascii="Arial" w:eastAsiaTheme="minorEastAsia" w:hAnsi="Arial" w:cstheme="minorBidi"/>
                <w:b/>
                <w:bCs/>
                <w:kern w:val="2"/>
                <w:sz w:val="21"/>
                <w:szCs w:val="22"/>
                <w:lang w:val="en-US" w:eastAsia="zh-CN"/>
              </w:rPr>
              <w:t>Proposal 4</w:t>
            </w:r>
            <w:r w:rsidRPr="00F05B2D">
              <w:rPr>
                <w:rFonts w:ascii="Arial" w:eastAsiaTheme="minorEastAsia" w:hAnsi="Arial" w:cstheme="minorBidi"/>
                <w:b/>
                <w:bCs/>
                <w:kern w:val="2"/>
                <w:sz w:val="21"/>
                <w:szCs w:val="22"/>
                <w:lang w:val="en-US" w:eastAsia="zh-CN"/>
              </w:rPr>
              <w:tab/>
              <w:t>Introduce two separate indications for UL resource reservation with subframe-level and slot-/symbol-level granularity, respectively.</w:t>
            </w:r>
          </w:p>
        </w:tc>
      </w:tr>
      <w:tr w:rsidR="00901B55" w14:paraId="7490F1BF" w14:textId="77777777" w:rsidTr="00211497">
        <w:tc>
          <w:tcPr>
            <w:tcW w:w="846" w:type="dxa"/>
          </w:tcPr>
          <w:p w14:paraId="6C074E12" w14:textId="4E10B91E" w:rsidR="00901B55" w:rsidRDefault="00901B55" w:rsidP="00901B55">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6F4B078A" w14:textId="729A8EC9" w:rsidR="00901B55" w:rsidRPr="00181516" w:rsidRDefault="00901B55" w:rsidP="00901B55">
            <w:pPr>
              <w:spacing w:afterLines="50" w:after="120"/>
              <w:jc w:val="both"/>
              <w:rPr>
                <w:rFonts w:eastAsia="ＭＳ 明朝"/>
                <w:sz w:val="22"/>
              </w:rPr>
            </w:pPr>
            <w:r w:rsidRPr="00534B32">
              <w:rPr>
                <w:sz w:val="22"/>
                <w:lang w:val="en-US"/>
              </w:rPr>
              <w:t>Huawei, HiSilicon</w:t>
            </w:r>
          </w:p>
        </w:tc>
        <w:tc>
          <w:tcPr>
            <w:tcW w:w="18560" w:type="dxa"/>
          </w:tcPr>
          <w:p w14:paraId="2C6D34D7" w14:textId="547B9341" w:rsidR="00901B55" w:rsidRPr="00901B55" w:rsidRDefault="00901B55" w:rsidP="00901B55">
            <w:pPr>
              <w:rPr>
                <w:rFonts w:eastAsia="SimSun"/>
                <w:b/>
                <w:lang w:eastAsia="zh-CN"/>
              </w:rPr>
            </w:pPr>
            <w:bookmarkStart w:id="9" w:name="_Ref36573758"/>
            <w:r w:rsidRPr="00E25F41">
              <w:rPr>
                <w:b/>
              </w:rPr>
              <w:t xml:space="preserve">Proposal </w:t>
            </w:r>
            <w:r w:rsidRPr="00E25F41">
              <w:rPr>
                <w:b/>
              </w:rPr>
              <w:fldChar w:fldCharType="begin"/>
            </w:r>
            <w:r w:rsidRPr="00E25F41">
              <w:rPr>
                <w:b/>
              </w:rPr>
              <w:instrText xml:space="preserve"> SEQ Proposal \* ARABIC </w:instrText>
            </w:r>
            <w:r w:rsidRPr="00E25F41">
              <w:rPr>
                <w:b/>
              </w:rPr>
              <w:fldChar w:fldCharType="separate"/>
            </w:r>
            <w:r w:rsidRPr="00E25F41">
              <w:rPr>
                <w:b/>
                <w:noProof/>
              </w:rPr>
              <w:t>4</w:t>
            </w:r>
            <w:r w:rsidRPr="00E25F41">
              <w:rPr>
                <w:b/>
              </w:rPr>
              <w:fldChar w:fldCharType="end"/>
            </w:r>
            <w:r w:rsidRPr="00E25F41">
              <w:rPr>
                <w:b/>
                <w:lang w:eastAsia="zh-CN"/>
              </w:rPr>
              <w:t>：</w:t>
            </w:r>
            <w:r w:rsidRPr="00E25F41">
              <w:rPr>
                <w:b/>
                <w:lang w:eastAsia="zh-CN"/>
              </w:rPr>
              <w:t xml:space="preserve">Separate indication to slot/symbol level resource reservation is not </w:t>
            </w:r>
            <w:r w:rsidRPr="00E25F41">
              <w:rPr>
                <w:rFonts w:eastAsia="ＭＳ 明朝"/>
                <w:b/>
              </w:rPr>
              <w:t>supported in feature groups 2-12 and 2</w:t>
            </w:r>
            <w:r w:rsidRPr="00E25F41">
              <w:rPr>
                <w:b/>
                <w:lang w:eastAsia="zh-CN"/>
              </w:rPr>
              <w:t>-</w:t>
            </w:r>
            <w:r w:rsidRPr="00E25F41">
              <w:rPr>
                <w:rFonts w:eastAsia="ＭＳ 明朝"/>
                <w:b/>
              </w:rPr>
              <w:t>13</w:t>
            </w:r>
            <w:r w:rsidRPr="00E25F41">
              <w:rPr>
                <w:b/>
                <w:lang w:eastAsia="zh-CN"/>
              </w:rPr>
              <w:t>.</w:t>
            </w:r>
            <w:bookmarkEnd w:id="9"/>
          </w:p>
        </w:tc>
      </w:tr>
    </w:tbl>
    <w:p w14:paraId="528FFFE8" w14:textId="77777777" w:rsidR="00621DAE" w:rsidRDefault="00621DAE" w:rsidP="00621DAE">
      <w:pPr>
        <w:rPr>
          <w:lang w:val="en-US"/>
        </w:rPr>
      </w:pPr>
    </w:p>
    <w:p w14:paraId="24F0EAF1" w14:textId="2D1B1682" w:rsidR="00621DAE" w:rsidRPr="003D7EA7" w:rsidRDefault="00621DAE" w:rsidP="00621DAE">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w:t>
      </w:r>
      <w:r w:rsidR="00DB59EA" w:rsidRPr="00DB59EA">
        <w:rPr>
          <w:b/>
          <w:bCs/>
          <w:sz w:val="22"/>
          <w:lang w:val="en-US"/>
        </w:rPr>
        <w:t xml:space="preserve"> FG2-12 and FG2-13</w:t>
      </w:r>
      <w:r w:rsidRPr="003D7EA7">
        <w:rPr>
          <w:b/>
          <w:bCs/>
          <w:sz w:val="22"/>
          <w:lang w:val="en-US"/>
        </w:rPr>
        <w:t>.</w:t>
      </w:r>
    </w:p>
    <w:p w14:paraId="3210B563" w14:textId="78511002" w:rsidR="0036687B" w:rsidRPr="003D7EA7" w:rsidRDefault="0036687B" w:rsidP="0036687B">
      <w:pPr>
        <w:pStyle w:val="aff"/>
        <w:numPr>
          <w:ilvl w:val="0"/>
          <w:numId w:val="28"/>
        </w:numPr>
        <w:spacing w:afterLines="50" w:after="120"/>
        <w:ind w:leftChars="0"/>
        <w:jc w:val="both"/>
        <w:rPr>
          <w:b/>
          <w:bCs/>
          <w:sz w:val="22"/>
          <w:lang w:val="en-US"/>
        </w:rPr>
      </w:pPr>
      <w:r w:rsidRPr="00C871CB">
        <w:rPr>
          <w:b/>
          <w:bCs/>
          <w:sz w:val="22"/>
          <w:lang w:val="en-US"/>
        </w:rPr>
        <w:t xml:space="preserve">Whether </w:t>
      </w:r>
      <w:r>
        <w:rPr>
          <w:b/>
          <w:bCs/>
          <w:sz w:val="22"/>
          <w:lang w:val="en-US"/>
        </w:rPr>
        <w:t>or not to introduce</w:t>
      </w:r>
      <w:r w:rsidRPr="00C871CB">
        <w:rPr>
          <w:b/>
          <w:bCs/>
          <w:sz w:val="22"/>
          <w:lang w:val="en-US"/>
        </w:rPr>
        <w:t xml:space="preserve"> separate </w:t>
      </w:r>
      <w:r>
        <w:rPr>
          <w:b/>
          <w:bCs/>
          <w:sz w:val="22"/>
          <w:lang w:val="en-US"/>
        </w:rPr>
        <w:t>FG</w:t>
      </w:r>
      <w:r w:rsidRPr="00C871CB">
        <w:rPr>
          <w:b/>
          <w:bCs/>
          <w:sz w:val="22"/>
          <w:lang w:val="en-US"/>
        </w:rPr>
        <w:t xml:space="preserve">s for </w:t>
      </w:r>
      <w:r>
        <w:rPr>
          <w:b/>
          <w:bCs/>
          <w:sz w:val="22"/>
          <w:lang w:val="en-US"/>
        </w:rPr>
        <w:t>slot/symbol level resource reservation for FG</w:t>
      </w:r>
      <w:r>
        <w:rPr>
          <w:b/>
          <w:bCs/>
          <w:sz w:val="22"/>
          <w:lang w:val="en-US"/>
        </w:rPr>
        <w:t>2-12 and 2-13</w:t>
      </w:r>
    </w:p>
    <w:p w14:paraId="0F36B56A" w14:textId="1CE16B7C" w:rsidR="0036687B" w:rsidRPr="004B53A9" w:rsidRDefault="0036687B" w:rsidP="0036687B">
      <w:pPr>
        <w:pStyle w:val="aff"/>
        <w:numPr>
          <w:ilvl w:val="1"/>
          <w:numId w:val="28"/>
        </w:numPr>
        <w:spacing w:afterLines="50" w:after="120"/>
        <w:ind w:leftChars="0"/>
        <w:jc w:val="both"/>
        <w:rPr>
          <w:b/>
          <w:bCs/>
          <w:sz w:val="22"/>
          <w:lang w:val="en-US"/>
        </w:rPr>
      </w:pPr>
      <w:r>
        <w:rPr>
          <w:rFonts w:hint="eastAsia"/>
          <w:b/>
          <w:bCs/>
          <w:sz w:val="22"/>
          <w:lang w:val="en-US"/>
        </w:rPr>
        <w:t>W</w:t>
      </w:r>
      <w:r>
        <w:rPr>
          <w:b/>
          <w:bCs/>
          <w:sz w:val="22"/>
          <w:lang w:val="en-US"/>
        </w:rPr>
        <w:t>hether this issue should be discussed with 1-</w:t>
      </w:r>
      <w:r>
        <w:rPr>
          <w:b/>
          <w:bCs/>
          <w:sz w:val="22"/>
          <w:lang w:val="en-US"/>
        </w:rPr>
        <w:t xml:space="preserve">23 to 1-26 </w:t>
      </w:r>
      <w:r>
        <w:rPr>
          <w:b/>
          <w:bCs/>
          <w:sz w:val="22"/>
          <w:lang w:val="en-US"/>
        </w:rPr>
        <w:t>jointly or individually</w:t>
      </w:r>
    </w:p>
    <w:p w14:paraId="33D8241F" w14:textId="0E3DBC91" w:rsidR="00FB2476" w:rsidRPr="0036687B" w:rsidRDefault="00FB2476" w:rsidP="00121551">
      <w:pPr>
        <w:rPr>
          <w:lang w:val="en-US"/>
        </w:rPr>
      </w:pPr>
    </w:p>
    <w:p w14:paraId="7177C790" w14:textId="1B2FC4B1" w:rsidR="0036687B" w:rsidRDefault="0036687B" w:rsidP="00121551">
      <w:pPr>
        <w:rPr>
          <w:lang w:val="en-US"/>
        </w:rPr>
      </w:pPr>
    </w:p>
    <w:p w14:paraId="12998B00" w14:textId="77777777" w:rsidR="0036687B" w:rsidRDefault="0036687B" w:rsidP="00121551">
      <w:pPr>
        <w:rPr>
          <w:rFonts w:hint="eastAsia"/>
          <w:lang w:val="en-US"/>
        </w:rPr>
      </w:pPr>
    </w:p>
    <w:p w14:paraId="14EF8062" w14:textId="407CC30B" w:rsidR="00211497" w:rsidRPr="00621DAE" w:rsidRDefault="001548C1" w:rsidP="00200299">
      <w:pPr>
        <w:pStyle w:val="1"/>
        <w:numPr>
          <w:ilvl w:val="0"/>
          <w:numId w:val="4"/>
        </w:numPr>
        <w:spacing w:before="180" w:after="120"/>
        <w:rPr>
          <w:rFonts w:eastAsia="ＭＳ 明朝"/>
          <w:b/>
          <w:bCs/>
          <w:szCs w:val="24"/>
          <w:lang w:val="en-US"/>
        </w:rPr>
      </w:pPr>
      <w:r>
        <w:rPr>
          <w:rFonts w:eastAsia="ＭＳ 明朝"/>
          <w:b/>
          <w:bCs/>
          <w:szCs w:val="24"/>
          <w:lang w:val="en-US"/>
        </w:rPr>
        <w:lastRenderedPageBreak/>
        <w:t xml:space="preserve">2-14: </w:t>
      </w:r>
      <w:r w:rsidR="00200299" w:rsidRPr="00200299">
        <w:rPr>
          <w:rFonts w:eastAsia="ＭＳ 明朝"/>
          <w:b/>
          <w:bCs/>
          <w:szCs w:val="24"/>
          <w:lang w:val="en-US"/>
        </w:rPr>
        <w:t>Quality report in Msg3 for non-anchor access</w:t>
      </w:r>
    </w:p>
    <w:p w14:paraId="431CF343" w14:textId="0A631362" w:rsidR="00211497" w:rsidRDefault="00211497" w:rsidP="00211497">
      <w:pPr>
        <w:rPr>
          <w:lang w:val="en-US"/>
        </w:rPr>
      </w:pPr>
      <w:r w:rsidRPr="00890250">
        <w:rPr>
          <w:lang w:val="en-US"/>
        </w:rPr>
        <w:t>In [1], FG</w:t>
      </w:r>
      <w:r w:rsidR="00200299">
        <w:rPr>
          <w:lang w:val="en-US"/>
        </w:rPr>
        <w:t>2-14</w:t>
      </w:r>
      <w:r w:rsidRPr="00890250">
        <w:rPr>
          <w:lang w:val="en-US"/>
        </w:rPr>
        <w:t xml:space="preserve"> is captured as below.</w:t>
      </w:r>
    </w:p>
    <w:p w14:paraId="48AD2C01" w14:textId="77777777" w:rsidR="00211497" w:rsidRDefault="00211497" w:rsidP="00211497">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211497" w:rsidRPr="00890250" w14:paraId="6FBE1157" w14:textId="77777777" w:rsidTr="00211497">
        <w:tc>
          <w:tcPr>
            <w:tcW w:w="1838" w:type="dxa"/>
            <w:shd w:val="clear" w:color="auto" w:fill="auto"/>
          </w:tcPr>
          <w:p w14:paraId="367DF3F6"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1904F6CA"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6E7C75BA"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37BD5250"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750B96B5"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58A1A12D"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4BB12C44"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6FBFC46" w14:textId="77777777" w:rsidR="00211497" w:rsidRPr="00890250" w:rsidRDefault="00211497" w:rsidP="00211497">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6C0A05E2" w14:textId="77777777" w:rsidR="00211497" w:rsidRPr="00890250" w:rsidRDefault="00211497" w:rsidP="00211497">
            <w:pPr>
              <w:keepNext/>
              <w:keepLines/>
              <w:rPr>
                <w:rFonts w:ascii="Arial" w:eastAsia="Times New Roman" w:hAnsi="Arial"/>
                <w:b/>
                <w:sz w:val="18"/>
              </w:rPr>
            </w:pPr>
            <w:r w:rsidRPr="00890250">
              <w:rPr>
                <w:rFonts w:ascii="Arial" w:eastAsia="Times New Roman" w:hAnsi="Arial" w:hint="eastAsia"/>
                <w:b/>
                <w:sz w:val="18"/>
              </w:rPr>
              <w:t>Type</w:t>
            </w:r>
          </w:p>
          <w:p w14:paraId="5790A3FD" w14:textId="77777777" w:rsidR="00211497" w:rsidRPr="00890250" w:rsidRDefault="00211497" w:rsidP="00211497">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2F00889"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2D8451A1"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483C4981"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BDCC6A9"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1548C1" w:rsidRPr="00890250" w14:paraId="5D0D7D4F" w14:textId="77777777" w:rsidTr="00211497">
        <w:tc>
          <w:tcPr>
            <w:tcW w:w="1838" w:type="dxa"/>
            <w:shd w:val="clear" w:color="auto" w:fill="auto"/>
          </w:tcPr>
          <w:p w14:paraId="69AC2F8A" w14:textId="77777777" w:rsidR="001548C1" w:rsidRPr="0036687B" w:rsidRDefault="001548C1" w:rsidP="001548C1">
            <w:pPr>
              <w:keepNext/>
              <w:keepLines/>
              <w:overflowPunct w:val="0"/>
              <w:autoSpaceDE w:val="0"/>
              <w:autoSpaceDN w:val="0"/>
              <w:adjustRightInd w:val="0"/>
              <w:textAlignment w:val="baseline"/>
              <w:rPr>
                <w:rFonts w:ascii="Arial" w:eastAsia="Times New Roman" w:hAnsi="Arial"/>
                <w:b/>
                <w:sz w:val="18"/>
                <w:szCs w:val="18"/>
              </w:rPr>
            </w:pPr>
            <w:r w:rsidRPr="0036687B">
              <w:rPr>
                <w:sz w:val="18"/>
                <w:szCs w:val="18"/>
              </w:rPr>
              <w:t>2. NB_IOTenh3</w:t>
            </w:r>
          </w:p>
        </w:tc>
        <w:tc>
          <w:tcPr>
            <w:tcW w:w="731" w:type="dxa"/>
            <w:shd w:val="clear" w:color="auto" w:fill="auto"/>
          </w:tcPr>
          <w:p w14:paraId="0DA8A192" w14:textId="3D757284" w:rsidR="001548C1" w:rsidRPr="0036687B" w:rsidRDefault="001548C1" w:rsidP="001548C1">
            <w:pPr>
              <w:keepNext/>
              <w:keepLines/>
              <w:overflowPunct w:val="0"/>
              <w:autoSpaceDE w:val="0"/>
              <w:autoSpaceDN w:val="0"/>
              <w:adjustRightInd w:val="0"/>
              <w:textAlignment w:val="baseline"/>
              <w:rPr>
                <w:sz w:val="18"/>
                <w:szCs w:val="18"/>
              </w:rPr>
            </w:pPr>
            <w:r w:rsidRPr="0036687B">
              <w:rPr>
                <w:sz w:val="18"/>
                <w:szCs w:val="18"/>
              </w:rPr>
              <w:t>2-14</w:t>
            </w:r>
          </w:p>
        </w:tc>
        <w:tc>
          <w:tcPr>
            <w:tcW w:w="1539" w:type="dxa"/>
            <w:shd w:val="clear" w:color="auto" w:fill="auto"/>
          </w:tcPr>
          <w:p w14:paraId="194B08C0" w14:textId="5DB70EDD" w:rsidR="001548C1" w:rsidRPr="0036687B" w:rsidRDefault="001548C1" w:rsidP="001548C1">
            <w:pPr>
              <w:keepNext/>
              <w:keepLines/>
              <w:overflowPunct w:val="0"/>
              <w:autoSpaceDE w:val="0"/>
              <w:autoSpaceDN w:val="0"/>
              <w:adjustRightInd w:val="0"/>
              <w:textAlignment w:val="baseline"/>
              <w:rPr>
                <w:sz w:val="18"/>
                <w:szCs w:val="18"/>
              </w:rPr>
            </w:pPr>
            <w:r w:rsidRPr="0036687B">
              <w:rPr>
                <w:sz w:val="18"/>
                <w:szCs w:val="18"/>
              </w:rPr>
              <w:t>Quality report in Msg3 for non-anchor access</w:t>
            </w:r>
          </w:p>
        </w:tc>
        <w:tc>
          <w:tcPr>
            <w:tcW w:w="2497" w:type="dxa"/>
            <w:shd w:val="clear" w:color="auto" w:fill="auto"/>
          </w:tcPr>
          <w:p w14:paraId="52C2171D" w14:textId="77777777" w:rsidR="001548C1" w:rsidRPr="0036687B" w:rsidRDefault="001548C1" w:rsidP="001548C1">
            <w:pPr>
              <w:pStyle w:val="TAL"/>
              <w:rPr>
                <w:rFonts w:ascii="Times New Roman" w:eastAsia="ＭＳ ゴシック" w:hAnsi="Times New Roman"/>
                <w:szCs w:val="18"/>
                <w:lang w:eastAsia="ja-JP"/>
              </w:rPr>
            </w:pPr>
            <w:r w:rsidRPr="0036687B">
              <w:rPr>
                <w:rFonts w:ascii="Times New Roman" w:eastAsia="ＭＳ ゴシック" w:hAnsi="Times New Roman"/>
                <w:szCs w:val="18"/>
                <w:lang w:eastAsia="ja-JP"/>
              </w:rPr>
              <w:t>1. Quality report in Msg3 for non-anchor access in IDLE mode</w:t>
            </w:r>
          </w:p>
          <w:p w14:paraId="6E9B75C1" w14:textId="77777777" w:rsidR="001548C1" w:rsidRPr="0036687B" w:rsidRDefault="001548C1" w:rsidP="001548C1">
            <w:pPr>
              <w:keepNext/>
              <w:keepLines/>
              <w:overflowPunct w:val="0"/>
              <w:autoSpaceDE w:val="0"/>
              <w:autoSpaceDN w:val="0"/>
              <w:adjustRightInd w:val="0"/>
              <w:textAlignment w:val="baseline"/>
              <w:rPr>
                <w:sz w:val="18"/>
                <w:szCs w:val="18"/>
              </w:rPr>
            </w:pPr>
          </w:p>
        </w:tc>
        <w:tc>
          <w:tcPr>
            <w:tcW w:w="1977" w:type="dxa"/>
            <w:shd w:val="clear" w:color="auto" w:fill="auto"/>
          </w:tcPr>
          <w:p w14:paraId="5D015C4E" w14:textId="7AFDA3C6" w:rsidR="001548C1" w:rsidRPr="0036687B" w:rsidRDefault="001548C1" w:rsidP="001548C1">
            <w:pPr>
              <w:keepNext/>
              <w:keepLines/>
              <w:overflowPunct w:val="0"/>
              <w:autoSpaceDE w:val="0"/>
              <w:autoSpaceDN w:val="0"/>
              <w:adjustRightInd w:val="0"/>
              <w:textAlignment w:val="baseline"/>
              <w:rPr>
                <w:sz w:val="18"/>
                <w:szCs w:val="18"/>
              </w:rPr>
            </w:pPr>
            <w:r w:rsidRPr="0036687B">
              <w:rPr>
                <w:sz w:val="18"/>
                <w:szCs w:val="18"/>
              </w:rPr>
              <w:t>Non-anchor carrier for paging/RACH, non-anchor carrier for unicast</w:t>
            </w:r>
          </w:p>
        </w:tc>
        <w:tc>
          <w:tcPr>
            <w:tcW w:w="1262" w:type="dxa"/>
            <w:shd w:val="clear" w:color="auto" w:fill="auto"/>
          </w:tcPr>
          <w:p w14:paraId="183F0B75" w14:textId="6F80E6E0" w:rsidR="001548C1" w:rsidRPr="0036687B" w:rsidRDefault="001548C1" w:rsidP="001548C1">
            <w:pPr>
              <w:keepNext/>
              <w:keepLines/>
              <w:overflowPunct w:val="0"/>
              <w:autoSpaceDE w:val="0"/>
              <w:autoSpaceDN w:val="0"/>
              <w:adjustRightInd w:val="0"/>
              <w:textAlignment w:val="baseline"/>
              <w:rPr>
                <w:sz w:val="18"/>
                <w:szCs w:val="18"/>
              </w:rPr>
            </w:pPr>
            <w:r w:rsidRPr="0036687B">
              <w:rPr>
                <w:sz w:val="18"/>
                <w:szCs w:val="18"/>
              </w:rPr>
              <w:t>No</w:t>
            </w:r>
          </w:p>
        </w:tc>
        <w:tc>
          <w:tcPr>
            <w:tcW w:w="1338" w:type="dxa"/>
            <w:shd w:val="clear" w:color="auto" w:fill="auto"/>
          </w:tcPr>
          <w:p w14:paraId="45A7494A" w14:textId="3F261AA2" w:rsidR="001548C1" w:rsidRPr="0036687B" w:rsidRDefault="001548C1" w:rsidP="001548C1">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3DB38828" w14:textId="33D88B0D" w:rsidR="001548C1" w:rsidRPr="0036687B" w:rsidRDefault="001548C1" w:rsidP="001548C1">
            <w:pPr>
              <w:keepNext/>
              <w:keepLines/>
              <w:rPr>
                <w:sz w:val="18"/>
                <w:szCs w:val="18"/>
              </w:rPr>
            </w:pPr>
            <w:r w:rsidRPr="0036687B">
              <w:rPr>
                <w:sz w:val="18"/>
                <w:szCs w:val="18"/>
              </w:rPr>
              <w:t>The network cannot receive the quality report for non-anchor carriers in IDLE mode</w:t>
            </w:r>
          </w:p>
        </w:tc>
        <w:tc>
          <w:tcPr>
            <w:tcW w:w="2064" w:type="dxa"/>
            <w:shd w:val="clear" w:color="auto" w:fill="auto"/>
          </w:tcPr>
          <w:p w14:paraId="2B7B2C11" w14:textId="155B2F2B" w:rsidR="001548C1" w:rsidRPr="0036687B" w:rsidRDefault="001548C1" w:rsidP="001548C1">
            <w:pPr>
              <w:keepNext/>
              <w:keepLines/>
              <w:rPr>
                <w:sz w:val="18"/>
                <w:szCs w:val="18"/>
              </w:rPr>
            </w:pPr>
            <w:r w:rsidRPr="0036687B">
              <w:rPr>
                <w:sz w:val="18"/>
                <w:szCs w:val="18"/>
              </w:rPr>
              <w:t>Per-UE</w:t>
            </w:r>
          </w:p>
        </w:tc>
        <w:tc>
          <w:tcPr>
            <w:tcW w:w="1416" w:type="dxa"/>
            <w:shd w:val="clear" w:color="auto" w:fill="auto"/>
          </w:tcPr>
          <w:p w14:paraId="2F56513B" w14:textId="662D35FF" w:rsidR="001548C1" w:rsidRPr="0036687B" w:rsidRDefault="001548C1" w:rsidP="001548C1">
            <w:pPr>
              <w:keepNext/>
              <w:keepLines/>
              <w:overflowPunct w:val="0"/>
              <w:autoSpaceDE w:val="0"/>
              <w:autoSpaceDN w:val="0"/>
              <w:adjustRightInd w:val="0"/>
              <w:textAlignment w:val="baseline"/>
              <w:rPr>
                <w:sz w:val="18"/>
                <w:szCs w:val="18"/>
              </w:rPr>
            </w:pPr>
            <w:r w:rsidRPr="0036687B">
              <w:rPr>
                <w:sz w:val="18"/>
                <w:szCs w:val="18"/>
              </w:rPr>
              <w:t>FDD only</w:t>
            </w:r>
          </w:p>
        </w:tc>
        <w:tc>
          <w:tcPr>
            <w:tcW w:w="1414" w:type="dxa"/>
            <w:shd w:val="clear" w:color="auto" w:fill="auto"/>
          </w:tcPr>
          <w:p w14:paraId="1D772219" w14:textId="6F7D6C5F" w:rsidR="001548C1" w:rsidRPr="0036687B" w:rsidRDefault="001548C1" w:rsidP="001548C1">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7E63CE81" w14:textId="77777777" w:rsidR="001548C1" w:rsidRPr="0036687B" w:rsidRDefault="001548C1" w:rsidP="001548C1">
            <w:pPr>
              <w:keepNext/>
              <w:keepLines/>
              <w:overflowPunct w:val="0"/>
              <w:autoSpaceDE w:val="0"/>
              <w:autoSpaceDN w:val="0"/>
              <w:adjustRightInd w:val="0"/>
              <w:textAlignment w:val="baseline"/>
              <w:rPr>
                <w:sz w:val="18"/>
                <w:szCs w:val="18"/>
              </w:rPr>
            </w:pPr>
          </w:p>
        </w:tc>
        <w:tc>
          <w:tcPr>
            <w:tcW w:w="1907" w:type="dxa"/>
            <w:shd w:val="clear" w:color="auto" w:fill="auto"/>
          </w:tcPr>
          <w:p w14:paraId="3525167D" w14:textId="77777777" w:rsidR="001548C1" w:rsidRPr="0036687B" w:rsidRDefault="001548C1" w:rsidP="001548C1">
            <w:pPr>
              <w:pStyle w:val="TAL"/>
              <w:rPr>
                <w:rFonts w:ascii="Times New Roman" w:eastAsia="ＭＳ ゴシック" w:hAnsi="Times New Roman"/>
                <w:szCs w:val="18"/>
                <w:lang w:eastAsia="ja-JP"/>
              </w:rPr>
            </w:pPr>
            <w:r w:rsidRPr="0036687B">
              <w:rPr>
                <w:rFonts w:ascii="Times New Roman" w:eastAsia="ＭＳ ゴシック" w:hAnsi="Times New Roman"/>
                <w:szCs w:val="18"/>
                <w:lang w:eastAsia="ja-JP"/>
              </w:rPr>
              <w:t>Optional without capability signalling</w:t>
            </w:r>
          </w:p>
          <w:p w14:paraId="55F61842" w14:textId="77777777" w:rsidR="001548C1" w:rsidRPr="0036687B" w:rsidRDefault="001548C1" w:rsidP="001548C1">
            <w:pPr>
              <w:keepNext/>
              <w:keepLines/>
              <w:overflowPunct w:val="0"/>
              <w:autoSpaceDE w:val="0"/>
              <w:autoSpaceDN w:val="0"/>
              <w:adjustRightInd w:val="0"/>
              <w:textAlignment w:val="baseline"/>
              <w:rPr>
                <w:sz w:val="18"/>
                <w:szCs w:val="18"/>
              </w:rPr>
            </w:pPr>
          </w:p>
        </w:tc>
      </w:tr>
    </w:tbl>
    <w:p w14:paraId="698D17AA" w14:textId="77777777" w:rsidR="00211497" w:rsidRDefault="00211497" w:rsidP="00211497">
      <w:pPr>
        <w:rPr>
          <w:lang w:val="en-US"/>
        </w:rPr>
      </w:pPr>
    </w:p>
    <w:p w14:paraId="64D1B809" w14:textId="77777777" w:rsidR="00211497" w:rsidRDefault="00211497" w:rsidP="00211497">
      <w:pPr>
        <w:rPr>
          <w:lang w:val="en-US"/>
        </w:rPr>
      </w:pPr>
    </w:p>
    <w:p w14:paraId="5C8E24F5" w14:textId="77777777" w:rsidR="00211497" w:rsidRDefault="00211497" w:rsidP="00211497">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1548C1" w14:paraId="17DCF8A7" w14:textId="77777777" w:rsidTr="00211497">
        <w:tc>
          <w:tcPr>
            <w:tcW w:w="846" w:type="dxa"/>
          </w:tcPr>
          <w:p w14:paraId="542CB63A" w14:textId="1875F712" w:rsidR="001548C1" w:rsidRDefault="001D2859" w:rsidP="001548C1">
            <w:pPr>
              <w:spacing w:afterLines="50" w:after="120"/>
              <w:jc w:val="both"/>
              <w:rPr>
                <w:rFonts w:eastAsia="ＭＳ 明朝"/>
                <w:sz w:val="22"/>
              </w:rPr>
            </w:pPr>
            <w:r>
              <w:rPr>
                <w:rFonts w:eastAsia="ＭＳ 明朝"/>
                <w:sz w:val="22"/>
              </w:rPr>
              <w:t>[3</w:t>
            </w:r>
            <w:r w:rsidR="001548C1">
              <w:rPr>
                <w:rFonts w:eastAsia="ＭＳ 明朝"/>
                <w:sz w:val="22"/>
              </w:rPr>
              <w:t>]</w:t>
            </w:r>
          </w:p>
        </w:tc>
        <w:tc>
          <w:tcPr>
            <w:tcW w:w="2977" w:type="dxa"/>
          </w:tcPr>
          <w:p w14:paraId="5257A623" w14:textId="345EDA32" w:rsidR="001548C1" w:rsidRPr="001548C1" w:rsidRDefault="001548C1" w:rsidP="001548C1">
            <w:pPr>
              <w:spacing w:afterLines="50" w:after="120"/>
              <w:jc w:val="both"/>
              <w:rPr>
                <w:rFonts w:eastAsia="ＭＳ 明朝"/>
                <w:sz w:val="22"/>
              </w:rPr>
            </w:pPr>
            <w:r w:rsidRPr="009C206E">
              <w:rPr>
                <w:rFonts w:eastAsia="ＭＳ 明朝"/>
                <w:sz w:val="22"/>
              </w:rPr>
              <w:t>Qualcomm</w:t>
            </w:r>
          </w:p>
        </w:tc>
        <w:tc>
          <w:tcPr>
            <w:tcW w:w="18560" w:type="dxa"/>
          </w:tcPr>
          <w:p w14:paraId="5705E2DC" w14:textId="53280C16" w:rsidR="001548C1" w:rsidRPr="001548C1" w:rsidRDefault="001548C1" w:rsidP="001548C1">
            <w:pPr>
              <w:spacing w:afterLines="50" w:after="120"/>
              <w:jc w:val="both"/>
              <w:rPr>
                <w:rFonts w:eastAsia="ＭＳ 明朝"/>
                <w:sz w:val="22"/>
              </w:rPr>
            </w:pPr>
            <w:r>
              <w:rPr>
                <w:rFonts w:eastAsia="ＭＳ 明朝"/>
                <w:sz w:val="22"/>
              </w:rPr>
              <w:t>A</w:t>
            </w:r>
            <w:r w:rsidRPr="001548C1">
              <w:rPr>
                <w:rFonts w:eastAsia="ＭＳ 明朝"/>
                <w:sz w:val="22"/>
              </w:rPr>
              <w:t>lthough this is something minor, probably better to put “Up to RAN2”, since the indication of support/no support may be implicit in the msg3 encoding.</w:t>
            </w:r>
          </w:p>
        </w:tc>
      </w:tr>
    </w:tbl>
    <w:p w14:paraId="133BD345" w14:textId="77777777" w:rsidR="00211497" w:rsidRDefault="00211497" w:rsidP="00211497">
      <w:pPr>
        <w:rPr>
          <w:lang w:val="en-US"/>
        </w:rPr>
      </w:pPr>
    </w:p>
    <w:p w14:paraId="18446071" w14:textId="32D42171" w:rsidR="00211497" w:rsidRPr="003D7EA7" w:rsidRDefault="00211497" w:rsidP="00211497">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w:t>
      </w:r>
      <w:r w:rsidR="00200299">
        <w:rPr>
          <w:b/>
          <w:bCs/>
          <w:sz w:val="22"/>
          <w:lang w:val="en-US"/>
        </w:rPr>
        <w:t>2-14</w:t>
      </w:r>
      <w:r w:rsidRPr="003D7EA7">
        <w:rPr>
          <w:b/>
          <w:bCs/>
          <w:sz w:val="22"/>
          <w:lang w:val="en-US"/>
        </w:rPr>
        <w:t>.</w:t>
      </w:r>
    </w:p>
    <w:p w14:paraId="2139E629" w14:textId="0E4772C6" w:rsidR="00211497" w:rsidRPr="00200299" w:rsidRDefault="00200299" w:rsidP="00200299">
      <w:pPr>
        <w:pStyle w:val="aff"/>
        <w:numPr>
          <w:ilvl w:val="0"/>
          <w:numId w:val="27"/>
        </w:numPr>
        <w:ind w:leftChars="0"/>
        <w:rPr>
          <w:lang w:val="en-US"/>
        </w:rPr>
      </w:pPr>
      <w:r w:rsidRPr="00200299">
        <w:rPr>
          <w:b/>
          <w:bCs/>
          <w:sz w:val="22"/>
          <w:lang w:val="en-US"/>
        </w:rPr>
        <w:t xml:space="preserve">Regarding to ‘Mandatory/Optional’ column,  whether </w:t>
      </w:r>
      <w:r w:rsidR="0036687B">
        <w:rPr>
          <w:b/>
          <w:bCs/>
          <w:sz w:val="22"/>
          <w:lang w:val="en-US"/>
        </w:rPr>
        <w:t xml:space="preserve">or not </w:t>
      </w:r>
      <w:r w:rsidRPr="00200299">
        <w:rPr>
          <w:b/>
          <w:bCs/>
          <w:sz w:val="22"/>
          <w:lang w:val="en-US"/>
        </w:rPr>
        <w:t xml:space="preserve">to change </w:t>
      </w:r>
      <w:r w:rsidR="0036687B">
        <w:rPr>
          <w:b/>
          <w:bCs/>
          <w:sz w:val="22"/>
          <w:lang w:val="en-US"/>
        </w:rPr>
        <w:t>‘</w:t>
      </w:r>
      <w:r w:rsidRPr="00200299">
        <w:rPr>
          <w:b/>
          <w:bCs/>
          <w:sz w:val="22"/>
          <w:lang w:val="en-US"/>
        </w:rPr>
        <w:t>Optional without capability signa</w:t>
      </w:r>
      <w:r>
        <w:rPr>
          <w:b/>
          <w:bCs/>
          <w:sz w:val="22"/>
          <w:lang w:val="en-US"/>
        </w:rPr>
        <w:t>lling</w:t>
      </w:r>
      <w:r w:rsidRPr="00200299">
        <w:rPr>
          <w:b/>
          <w:bCs/>
          <w:sz w:val="22"/>
          <w:lang w:val="en-US"/>
        </w:rPr>
        <w:t>' to '</w:t>
      </w:r>
      <w:r>
        <w:rPr>
          <w:b/>
          <w:bCs/>
          <w:sz w:val="22"/>
          <w:lang w:val="en-US"/>
        </w:rPr>
        <w:t>Up to RAN2</w:t>
      </w:r>
      <w:r w:rsidRPr="00200299">
        <w:rPr>
          <w:b/>
          <w:bCs/>
          <w:sz w:val="22"/>
          <w:lang w:val="en-US"/>
        </w:rPr>
        <w:t>'</w:t>
      </w:r>
    </w:p>
    <w:p w14:paraId="7E2F9199" w14:textId="2F20E600" w:rsidR="00200299" w:rsidRDefault="00200299" w:rsidP="00200299">
      <w:pPr>
        <w:pStyle w:val="aff"/>
        <w:ind w:leftChars="0" w:left="420"/>
        <w:rPr>
          <w:lang w:val="en-US"/>
        </w:rPr>
      </w:pPr>
    </w:p>
    <w:p w14:paraId="1C24509D" w14:textId="38355CDE" w:rsidR="0036687B" w:rsidRDefault="0036687B" w:rsidP="00200299">
      <w:pPr>
        <w:pStyle w:val="aff"/>
        <w:ind w:leftChars="0" w:left="420"/>
        <w:rPr>
          <w:lang w:val="en-US"/>
        </w:rPr>
      </w:pPr>
    </w:p>
    <w:p w14:paraId="72389593" w14:textId="77777777" w:rsidR="0036687B" w:rsidRDefault="0036687B" w:rsidP="00200299">
      <w:pPr>
        <w:pStyle w:val="aff"/>
        <w:ind w:leftChars="0" w:left="420"/>
        <w:rPr>
          <w:rFonts w:hint="eastAsia"/>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32DF074E" w14:textId="06E609A1" w:rsidR="00F8330C" w:rsidRPr="008A6859" w:rsidRDefault="004A741F" w:rsidP="00F8330C">
      <w:pPr>
        <w:spacing w:afterLines="50" w:after="120"/>
        <w:jc w:val="both"/>
        <w:rPr>
          <w:rFonts w:eastAsia="ＭＳ 明朝"/>
          <w:sz w:val="22"/>
        </w:rPr>
      </w:pPr>
      <w:r w:rsidRPr="008A6859">
        <w:rPr>
          <w:rFonts w:eastAsia="ＭＳ 明朝" w:hint="eastAsia"/>
          <w:sz w:val="22"/>
        </w:rPr>
        <w:t>[1]</w:t>
      </w:r>
      <w:r w:rsidR="00CD781F" w:rsidRPr="008A6859">
        <w:rPr>
          <w:rFonts w:eastAsia="ＭＳ 明朝"/>
          <w:sz w:val="22"/>
        </w:rPr>
        <w:tab/>
      </w:r>
      <w:r w:rsidR="00856953" w:rsidRPr="008A6859">
        <w:rPr>
          <w:rFonts w:eastAsia="ＭＳ 明朝"/>
          <w:sz w:val="22"/>
        </w:rPr>
        <w:t>R1-2001485</w:t>
      </w:r>
      <w:r w:rsidR="00F8330C" w:rsidRPr="008A6859">
        <w:rPr>
          <w:rFonts w:eastAsia="ＭＳ 明朝"/>
          <w:sz w:val="22"/>
        </w:rPr>
        <w:tab/>
      </w:r>
      <w:r w:rsidR="00856953" w:rsidRPr="008A6859">
        <w:rPr>
          <w:rFonts w:eastAsia="ＭＳ 明朝"/>
          <w:sz w:val="22"/>
        </w:rPr>
        <w:t>RAN1 UE features list for Rel-16 LTE after RAN1#100-E</w:t>
      </w:r>
      <w:r w:rsidR="00856953" w:rsidRPr="008A6859" w:rsidDel="00856953">
        <w:rPr>
          <w:rFonts w:eastAsia="ＭＳ 明朝"/>
          <w:sz w:val="22"/>
        </w:rPr>
        <w:t xml:space="preserve"> </w:t>
      </w:r>
      <w:r w:rsidR="00F8330C" w:rsidRPr="008A6859">
        <w:rPr>
          <w:rFonts w:eastAsia="ＭＳ 明朝"/>
          <w:sz w:val="22"/>
        </w:rPr>
        <w:tab/>
      </w:r>
      <w:r w:rsidR="004C3CE1" w:rsidRPr="008A6859">
        <w:rPr>
          <w:rFonts w:eastAsia="ＭＳ 明朝"/>
          <w:sz w:val="22"/>
        </w:rPr>
        <w:t>Moderator (AT&amp;T, NTT DOCOMO, INC.)</w:t>
      </w:r>
    </w:p>
    <w:p w14:paraId="6BC6F091" w14:textId="420C29C0" w:rsidR="00F8330C" w:rsidRPr="008A6859" w:rsidRDefault="00F8330C" w:rsidP="00F8330C">
      <w:pPr>
        <w:spacing w:afterLines="50" w:after="120"/>
        <w:jc w:val="both"/>
        <w:rPr>
          <w:rFonts w:eastAsia="ＭＳ 明朝"/>
          <w:sz w:val="22"/>
        </w:rPr>
      </w:pPr>
      <w:r w:rsidRPr="008A6859">
        <w:rPr>
          <w:rFonts w:eastAsia="ＭＳ 明朝"/>
          <w:sz w:val="22"/>
        </w:rPr>
        <w:t>[2]</w:t>
      </w:r>
      <w:r w:rsidRPr="008A6859">
        <w:rPr>
          <w:rFonts w:eastAsia="ＭＳ 明朝"/>
          <w:sz w:val="22"/>
        </w:rPr>
        <w:tab/>
      </w:r>
      <w:r w:rsidR="00856953" w:rsidRPr="008A6859">
        <w:rPr>
          <w:rFonts w:eastAsia="ＭＳ 明朝"/>
          <w:sz w:val="22"/>
        </w:rPr>
        <w:t>R1-2001858</w:t>
      </w:r>
      <w:r w:rsidR="00856953" w:rsidRPr="008A6859">
        <w:rPr>
          <w:rFonts w:eastAsia="ＭＳ 明朝"/>
          <w:sz w:val="22"/>
        </w:rPr>
        <w:tab/>
        <w:t>Discussion on   UE features for additional enhancements for NB-IoT</w:t>
      </w:r>
      <w:r w:rsidR="00856953" w:rsidRPr="008A6859">
        <w:rPr>
          <w:rFonts w:eastAsia="ＭＳ 明朝"/>
          <w:sz w:val="22"/>
        </w:rPr>
        <w:tab/>
        <w:t>ZTE</w:t>
      </w:r>
    </w:p>
    <w:p w14:paraId="4A07E389" w14:textId="10A82952" w:rsidR="00F8330C" w:rsidRPr="008A6859" w:rsidRDefault="00F8330C" w:rsidP="00F8330C">
      <w:pPr>
        <w:spacing w:afterLines="50" w:after="120"/>
        <w:jc w:val="both"/>
        <w:rPr>
          <w:rFonts w:eastAsia="ＭＳ 明朝"/>
          <w:sz w:val="22"/>
        </w:rPr>
      </w:pPr>
      <w:r w:rsidRPr="008A6859">
        <w:rPr>
          <w:rFonts w:eastAsia="ＭＳ 明朝"/>
          <w:sz w:val="22"/>
        </w:rPr>
        <w:t>[3]</w:t>
      </w:r>
      <w:r w:rsidRPr="008A6859">
        <w:rPr>
          <w:rFonts w:eastAsia="ＭＳ 明朝"/>
          <w:sz w:val="22"/>
        </w:rPr>
        <w:tab/>
      </w:r>
      <w:r w:rsidR="00856953" w:rsidRPr="008A6859">
        <w:rPr>
          <w:rFonts w:eastAsia="ＭＳ 明朝"/>
          <w:sz w:val="22"/>
        </w:rPr>
        <w:t>R1-2002182</w:t>
      </w:r>
      <w:r w:rsidR="00856953" w:rsidRPr="008A6859">
        <w:rPr>
          <w:rFonts w:eastAsia="ＭＳ 明朝"/>
          <w:sz w:val="22"/>
        </w:rPr>
        <w:tab/>
        <w:t>UE features for NB-IoT</w:t>
      </w:r>
      <w:r w:rsidR="008A6859" w:rsidRPr="008A6859">
        <w:rPr>
          <w:rFonts w:eastAsia="ＭＳ 明朝" w:hint="eastAsia"/>
          <w:sz w:val="22"/>
        </w:rPr>
        <w:t xml:space="preserve">　</w:t>
      </w:r>
      <w:r w:rsidR="00856953" w:rsidRPr="008A6859">
        <w:rPr>
          <w:rFonts w:eastAsia="ＭＳ 明朝"/>
          <w:sz w:val="22"/>
        </w:rPr>
        <w:tab/>
        <w:t>Qualcomm Incorporated</w:t>
      </w:r>
    </w:p>
    <w:p w14:paraId="2BB0D829" w14:textId="1E45DDD9" w:rsidR="00F8330C" w:rsidRPr="008A6859" w:rsidRDefault="00F8330C" w:rsidP="00F8330C">
      <w:pPr>
        <w:spacing w:afterLines="50" w:after="120"/>
        <w:jc w:val="both"/>
        <w:rPr>
          <w:rFonts w:eastAsia="ＭＳ 明朝"/>
          <w:sz w:val="22"/>
        </w:rPr>
      </w:pPr>
      <w:r w:rsidRPr="008A6859">
        <w:rPr>
          <w:rFonts w:eastAsia="ＭＳ 明朝"/>
          <w:sz w:val="22"/>
        </w:rPr>
        <w:t>[4]</w:t>
      </w:r>
      <w:r w:rsidRPr="008A6859">
        <w:rPr>
          <w:rFonts w:eastAsia="ＭＳ 明朝"/>
          <w:sz w:val="22"/>
        </w:rPr>
        <w:tab/>
      </w:r>
      <w:r w:rsidR="00856953" w:rsidRPr="008A6859">
        <w:rPr>
          <w:rFonts w:eastAsia="ＭＳ 明朝"/>
          <w:sz w:val="22"/>
        </w:rPr>
        <w:t>R1-2002511</w:t>
      </w:r>
      <w:r w:rsidR="00856953" w:rsidRPr="008A6859">
        <w:rPr>
          <w:rFonts w:eastAsia="ＭＳ 明朝"/>
          <w:sz w:val="22"/>
        </w:rPr>
        <w:tab/>
        <w:t>On the RAN1 UE feature list for Rel-16 NB-IoT</w:t>
      </w:r>
      <w:r w:rsidR="008A6859" w:rsidRPr="008A6859">
        <w:rPr>
          <w:rFonts w:eastAsia="ＭＳ 明朝" w:hint="eastAsia"/>
          <w:sz w:val="22"/>
        </w:rPr>
        <w:t xml:space="preserve">　</w:t>
      </w:r>
      <w:r w:rsidR="00856953" w:rsidRPr="008A6859">
        <w:rPr>
          <w:rFonts w:eastAsia="ＭＳ 明朝"/>
          <w:sz w:val="22"/>
        </w:rPr>
        <w:tab/>
        <w:t>Ericsson</w:t>
      </w:r>
    </w:p>
    <w:p w14:paraId="5EC04722" w14:textId="5AC347B3" w:rsidR="00856953" w:rsidRPr="008A6859" w:rsidRDefault="00F8330C" w:rsidP="00F8330C">
      <w:pPr>
        <w:spacing w:afterLines="50" w:after="120"/>
        <w:jc w:val="both"/>
        <w:rPr>
          <w:rFonts w:eastAsia="ＭＳ 明朝"/>
          <w:sz w:val="22"/>
        </w:rPr>
      </w:pPr>
      <w:r w:rsidRPr="008A6859">
        <w:rPr>
          <w:rFonts w:eastAsia="ＭＳ 明朝"/>
          <w:sz w:val="22"/>
        </w:rPr>
        <w:t>[5]</w:t>
      </w:r>
      <w:r w:rsidRPr="008A6859">
        <w:rPr>
          <w:rFonts w:eastAsia="ＭＳ 明朝"/>
          <w:sz w:val="22"/>
        </w:rPr>
        <w:tab/>
      </w:r>
      <w:r w:rsidR="00856953" w:rsidRPr="008A6859">
        <w:rPr>
          <w:rFonts w:eastAsia="ＭＳ 明朝"/>
          <w:sz w:val="22"/>
        </w:rPr>
        <w:t>R1-2002605</w:t>
      </w:r>
      <w:r w:rsidR="00856953" w:rsidRPr="008A6859">
        <w:rPr>
          <w:rFonts w:eastAsia="ＭＳ 明朝"/>
          <w:sz w:val="22"/>
        </w:rPr>
        <w:tab/>
        <w:t>Rel-16 UE features for NB-IoT</w:t>
      </w:r>
      <w:r w:rsidR="008A6859" w:rsidRPr="008A6859">
        <w:rPr>
          <w:rFonts w:eastAsia="ＭＳ 明朝" w:hint="eastAsia"/>
          <w:sz w:val="22"/>
        </w:rPr>
        <w:t xml:space="preserve">　</w:t>
      </w:r>
      <w:r w:rsidR="00856953" w:rsidRPr="008A6859">
        <w:rPr>
          <w:rFonts w:eastAsia="ＭＳ 明朝"/>
          <w:sz w:val="22"/>
        </w:rPr>
        <w:tab/>
        <w:t>Huawei, HiSilicon</w:t>
      </w:r>
    </w:p>
    <w:p w14:paraId="3FA8CDEA" w14:textId="6D4100B7" w:rsidR="00033D72" w:rsidRPr="008A6859" w:rsidRDefault="00033D72" w:rsidP="00F8330C">
      <w:pPr>
        <w:spacing w:afterLines="50" w:after="120"/>
        <w:jc w:val="both"/>
        <w:rPr>
          <w:rFonts w:eastAsia="ＭＳ 明朝"/>
          <w:sz w:val="22"/>
        </w:rPr>
      </w:pPr>
    </w:p>
    <w:p w14:paraId="057F49A2" w14:textId="77777777" w:rsidR="00856953" w:rsidRPr="00856953" w:rsidRDefault="00856953" w:rsidP="00F8330C">
      <w:pPr>
        <w:spacing w:afterLines="50" w:after="120"/>
        <w:jc w:val="both"/>
        <w:rPr>
          <w:rFonts w:eastAsia="ＭＳ 明朝"/>
          <w:color w:val="FF0000"/>
          <w:sz w:val="22"/>
        </w:rPr>
      </w:pPr>
    </w:p>
    <w:sectPr w:rsidR="00856953" w:rsidRPr="00856953"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B98DB" w14:textId="77777777" w:rsidR="003E0584" w:rsidRDefault="003E0584">
      <w:r>
        <w:separator/>
      </w:r>
    </w:p>
  </w:endnote>
  <w:endnote w:type="continuationSeparator" w:id="0">
    <w:p w14:paraId="7B94D2F6" w14:textId="77777777" w:rsidR="003E0584" w:rsidRDefault="003E0584">
      <w:r>
        <w:continuationSeparator/>
      </w:r>
    </w:p>
  </w:endnote>
  <w:endnote w:type="continuationNotice" w:id="1">
    <w:p w14:paraId="759DD87A" w14:textId="77777777" w:rsidR="003E0584" w:rsidRDefault="003E05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247F9BD5" w:rsidR="001712A7" w:rsidRPr="00000924" w:rsidRDefault="001712A7">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10</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10</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CF211" w14:textId="77777777" w:rsidR="003E0584" w:rsidRDefault="003E0584">
      <w:r>
        <w:separator/>
      </w:r>
    </w:p>
  </w:footnote>
  <w:footnote w:type="continuationSeparator" w:id="0">
    <w:p w14:paraId="316F623D" w14:textId="77777777" w:rsidR="003E0584" w:rsidRDefault="003E0584">
      <w:r>
        <w:continuationSeparator/>
      </w:r>
    </w:p>
  </w:footnote>
  <w:footnote w:type="continuationNotice" w:id="1">
    <w:p w14:paraId="5EF3B086" w14:textId="77777777" w:rsidR="003E0584" w:rsidRDefault="003E05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554C9"/>
    <w:multiLevelType w:val="hybridMultilevel"/>
    <w:tmpl w:val="5FB063DC"/>
    <w:lvl w:ilvl="0" w:tplc="768AFF5E">
      <w:start w:val="1"/>
      <w:numFmt w:val="decimal"/>
      <w:lvlText w:val="%1)"/>
      <w:lvlJc w:val="left"/>
      <w:pPr>
        <w:ind w:left="360" w:hanging="360"/>
      </w:pPr>
      <w:rPr>
        <w:rFonts w:eastAsia="ＭＳ 明朝"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41A5B19"/>
    <w:multiLevelType w:val="hybridMultilevel"/>
    <w:tmpl w:val="0D0270F2"/>
    <w:lvl w:ilvl="0" w:tplc="4CA6E2D8">
      <w:start w:val="5"/>
      <w:numFmt w:val="bullet"/>
      <w:lvlText w:val="-"/>
      <w:lvlJc w:val="left"/>
      <w:pPr>
        <w:ind w:left="1224" w:hanging="360"/>
      </w:pPr>
      <w:rPr>
        <w:rFonts w:ascii="Times New Roman" w:eastAsia="SimSun" w:hAnsi="Times New Roman"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4"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10"/>
  </w:num>
  <w:num w:numId="3">
    <w:abstractNumId w:val="25"/>
  </w:num>
  <w:num w:numId="4">
    <w:abstractNumId w:val="17"/>
  </w:num>
  <w:num w:numId="5">
    <w:abstractNumId w:val="6"/>
  </w:num>
  <w:num w:numId="6">
    <w:abstractNumId w:val="8"/>
  </w:num>
  <w:num w:numId="7">
    <w:abstractNumId w:val="13"/>
  </w:num>
  <w:num w:numId="8">
    <w:abstractNumId w:val="16"/>
  </w:num>
  <w:num w:numId="9">
    <w:abstractNumId w:val="22"/>
  </w:num>
  <w:num w:numId="10">
    <w:abstractNumId w:val="14"/>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7"/>
  </w:num>
  <w:num w:numId="17">
    <w:abstractNumId w:val="19"/>
  </w:num>
  <w:num w:numId="18">
    <w:abstractNumId w:val="15"/>
  </w:num>
  <w:num w:numId="19">
    <w:abstractNumId w:val="11"/>
  </w:num>
  <w:num w:numId="20">
    <w:abstractNumId w:val="3"/>
  </w:num>
  <w:num w:numId="21">
    <w:abstractNumId w:val="4"/>
  </w:num>
  <w:num w:numId="22">
    <w:abstractNumId w:val="12"/>
  </w:num>
  <w:num w:numId="23">
    <w:abstractNumId w:val="5"/>
  </w:num>
  <w:num w:numId="24">
    <w:abstractNumId w:val="18"/>
  </w:num>
  <w:num w:numId="25">
    <w:abstractNumId w:val="0"/>
  </w:num>
  <w:num w:numId="26">
    <w:abstractNumId w:val="9"/>
  </w:num>
  <w:num w:numId="27">
    <w:abstractNumId w:val="26"/>
  </w:num>
  <w:num w:numId="28">
    <w:abstractNumId w:val="24"/>
  </w:num>
  <w:num w:numId="29">
    <w:abstractNumId w:val="21"/>
  </w:num>
  <w:num w:numId="30">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2F7E"/>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3B6"/>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8B"/>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91"/>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551"/>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8C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CD0"/>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2A7"/>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83D"/>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799"/>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1EF"/>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59"/>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299"/>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497"/>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328"/>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B93"/>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87B"/>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2AE"/>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BE"/>
    <w:rsid w:val="003D7B58"/>
    <w:rsid w:val="003D7E76"/>
    <w:rsid w:val="003D7EA7"/>
    <w:rsid w:val="003E0584"/>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2C0"/>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730"/>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08"/>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1DAE"/>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1CE"/>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D37"/>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5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3EE0"/>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859"/>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03C"/>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55"/>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D99"/>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AA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55D"/>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EA"/>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B2D"/>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55"/>
    <w:rsid w:val="00F348F6"/>
    <w:rsid w:val="00F34A2C"/>
    <w:rsid w:val="00F34E32"/>
    <w:rsid w:val="00F34E35"/>
    <w:rsid w:val="00F3543D"/>
    <w:rsid w:val="00F35769"/>
    <w:rsid w:val="00F35965"/>
    <w:rsid w:val="00F35C3A"/>
    <w:rsid w:val="00F35FE4"/>
    <w:rsid w:val="00F362B9"/>
    <w:rsid w:val="00F36318"/>
    <w:rsid w:val="00F3671D"/>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476"/>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02BB"/>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833D1"/>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cap Char2"/>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2">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List Paragraph,목록단락"/>
    <w:basedOn w:val="a0"/>
    <w:link w:val="aff0"/>
    <w:uiPriority w:val="34"/>
    <w:qFormat/>
    <w:rsid w:val="002D136A"/>
    <w:pPr>
      <w:ind w:leftChars="400" w:left="840"/>
    </w:pPr>
  </w:style>
  <w:style w:type="character" w:customStyle="1" w:styleId="aff0">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045883">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EA6BE5AE-FCE6-4233-9A78-5DA4A9EC9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8</Pages>
  <Words>2666</Words>
  <Characters>15198</Characters>
  <Application>Microsoft Office Word</Application>
  <DocSecurity>0</DocSecurity>
  <Lines>126</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8</cp:revision>
  <cp:lastPrinted>2017-08-09T04:40:00Z</cp:lastPrinted>
  <dcterms:created xsi:type="dcterms:W3CDTF">2020-04-14T21:06:00Z</dcterms:created>
  <dcterms:modified xsi:type="dcterms:W3CDTF">2020-04-15T11:12:00Z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