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06CE89E4" w:rsidR="003311F4" w:rsidRPr="005F4783" w:rsidRDefault="003311F4" w:rsidP="003311F4">
      <w:pPr>
        <w:spacing w:afterLines="50" w:after="120"/>
        <w:jc w:val="both"/>
        <w:rPr>
          <w:b/>
          <w:bCs/>
          <w:sz w:val="22"/>
          <w:lang w:val="en-US"/>
        </w:rPr>
      </w:pPr>
      <w:r w:rsidRPr="00832B47">
        <w:rPr>
          <w:b/>
          <w:bCs/>
          <w:sz w:val="22"/>
          <w:lang w:val="en-US"/>
        </w:rPr>
        <w:tab/>
      </w:r>
      <w:r w:rsidRPr="005F4783">
        <w:rPr>
          <w:b/>
          <w:bCs/>
          <w:sz w:val="22"/>
          <w:lang w:val="en-US"/>
        </w:rPr>
        <w:t>Introducing the separate FG supported by:</w:t>
      </w:r>
      <w:r w:rsidR="00276A6B" w:rsidRPr="005F4783">
        <w:rPr>
          <w:b/>
          <w:bCs/>
          <w:sz w:val="22"/>
          <w:lang w:val="en-US"/>
        </w:rPr>
        <w:t xml:space="preserve"> Ericsson</w:t>
      </w:r>
      <w:r w:rsidR="007B7CB7" w:rsidRPr="005F4783">
        <w:rPr>
          <w:b/>
          <w:bCs/>
          <w:sz w:val="22"/>
          <w:lang w:val="en-US"/>
        </w:rPr>
        <w:t>, Qualcomm</w:t>
      </w:r>
      <w:r w:rsidR="001E297A">
        <w:rPr>
          <w:b/>
          <w:bCs/>
          <w:sz w:val="22"/>
          <w:lang w:val="en-US"/>
        </w:rPr>
        <w:t>, Sony</w:t>
      </w:r>
    </w:p>
    <w:p w14:paraId="3A0F6E89" w14:textId="016061C9" w:rsidR="003311F4" w:rsidRPr="00832B47" w:rsidRDefault="003311F4" w:rsidP="003311F4">
      <w:pPr>
        <w:spacing w:afterLines="50" w:after="120"/>
        <w:jc w:val="both"/>
        <w:rPr>
          <w:b/>
          <w:bCs/>
          <w:sz w:val="22"/>
          <w:lang w:val="en-US"/>
        </w:rPr>
      </w:pPr>
      <w:r w:rsidRPr="005F4783">
        <w:rPr>
          <w:b/>
          <w:bCs/>
          <w:sz w:val="22"/>
          <w:lang w:val="en-US"/>
        </w:rPr>
        <w:tab/>
        <w:t>Objected (i.e., reusing the legacy capability to support the combination) by:</w:t>
      </w:r>
      <w:r w:rsidR="00AE66D5" w:rsidRPr="005F4783">
        <w:rPr>
          <w:b/>
          <w:bCs/>
          <w:sz w:val="22"/>
          <w:lang w:val="en-US"/>
        </w:rPr>
        <w:t xml:space="preserve"> </w:t>
      </w:r>
      <w:r w:rsidR="006A3B69" w:rsidRPr="005F4783">
        <w:rPr>
          <w:b/>
          <w:bCs/>
          <w:sz w:val="22"/>
          <w:lang w:val="en-US"/>
        </w:rPr>
        <w:t>Huawei, HiSilicon</w:t>
      </w:r>
      <w:r w:rsidR="000A1DF2" w:rsidRPr="005F4783">
        <w:rPr>
          <w:b/>
          <w:bCs/>
          <w:sz w:val="22"/>
          <w:lang w:val="en-US"/>
        </w:rPr>
        <w:t>, ZTE,</w:t>
      </w:r>
      <w:r w:rsidR="00131245" w:rsidRPr="005F4783">
        <w:rPr>
          <w:b/>
          <w:bCs/>
          <w:sz w:val="22"/>
          <w:lang w:val="en-US"/>
        </w:rPr>
        <w:t xml:space="preserve"> </w:t>
      </w:r>
      <w:r w:rsidR="000A1DF2" w:rsidRPr="005F4783">
        <w:rPr>
          <w:b/>
          <w:bCs/>
          <w:sz w:val="22"/>
          <w:lang w:val="en-US"/>
        </w:rPr>
        <w:t>Sanechips</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r w:rsidRPr="009F1822">
              <w:rPr>
                <w:rFonts w:eastAsia="MS PGothic"/>
                <w:sz w:val="22"/>
                <w:szCs w:val="22"/>
                <w:lang w:val="en-US"/>
              </w:rPr>
              <w:t>ZTE,Sanechip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TBS+MPDCCH_improvment, TBS+PUR+MPDCCH_Improvement  etc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r w:rsidRPr="009F1822">
              <w:rPr>
                <w:rFonts w:eastAsia="MS PGothic"/>
                <w:sz w:val="22"/>
                <w:szCs w:val="22"/>
                <w:lang w:val="en-US"/>
              </w:rPr>
              <w:t>ZTE,Sanechip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MS PGothic"/>
                <w:sz w:val="22"/>
                <w:szCs w:val="22"/>
                <w:lang w:val="en-US"/>
              </w:rPr>
            </w:pPr>
            <w:r>
              <w:rPr>
                <w:rFonts w:eastAsia="MS PGothic"/>
                <w:sz w:val="22"/>
                <w:szCs w:val="22"/>
                <w:lang w:val="en-US"/>
              </w:rPr>
              <w:t>ZTE,Sanechip (3</w:t>
            </w:r>
            <w:r w:rsidRPr="009F1822">
              <w:rPr>
                <w:rFonts w:eastAsia="MS PGothic"/>
                <w:sz w:val="22"/>
                <w:szCs w:val="22"/>
                <w:lang w:val="en-US"/>
              </w:rPr>
              <w:t>)</w:t>
            </w:r>
          </w:p>
        </w:tc>
        <w:tc>
          <w:tcPr>
            <w:tcW w:w="7982" w:type="dxa"/>
          </w:tcPr>
          <w:p w14:paraId="6A393A0C" w14:textId="5D5D9089" w:rsidR="00C15213" w:rsidRDefault="008F2837" w:rsidP="00030058">
            <w:pPr>
              <w:rPr>
                <w:rFonts w:eastAsia="MS PGothic"/>
                <w:sz w:val="22"/>
                <w:szCs w:val="22"/>
                <w:lang w:val="en-US"/>
              </w:rPr>
            </w:pPr>
            <w:r>
              <w:rPr>
                <w:rFonts w:eastAsia="MS PGothic"/>
                <w:sz w:val="22"/>
                <w:szCs w:val="22"/>
                <w:lang w:val="en-US"/>
              </w:rPr>
              <w:t>Of course UE need to interpret the RRC bits differently depending on the larger TBS being enabled or not.</w:t>
            </w:r>
            <w:r w:rsidR="00030058">
              <w:rPr>
                <w:rFonts w:eastAsia="MS PGothic"/>
                <w:sz w:val="22"/>
                <w:szCs w:val="22"/>
                <w:lang w:val="en-US"/>
              </w:rPr>
              <w:t xml:space="preserve"> For UE supporting larger TBS , when you test them for PUR, you should make sure they work correctly. The key is you don't need  to separate this into two step</w:t>
            </w:r>
            <w:r w:rsidR="00CA6033">
              <w:rPr>
                <w:rFonts w:eastAsia="MS PGothic"/>
                <w:sz w:val="22"/>
                <w:szCs w:val="22"/>
                <w:lang w:val="en-US"/>
              </w:rPr>
              <w:t>s</w:t>
            </w:r>
            <w:r w:rsidR="00030058">
              <w:rPr>
                <w:rFonts w:eastAsia="MS PGothic"/>
                <w:sz w:val="22"/>
                <w:szCs w:val="22"/>
                <w:lang w:val="en-US"/>
              </w:rPr>
              <w:t>.</w:t>
            </w:r>
          </w:p>
          <w:p w14:paraId="5A86E578" w14:textId="28103B72" w:rsidR="00030058" w:rsidRDefault="00030058" w:rsidP="00914972">
            <w:pPr>
              <w:rPr>
                <w:rFonts w:eastAsia="MS PGothic"/>
                <w:sz w:val="22"/>
                <w:szCs w:val="22"/>
                <w:lang w:val="en-US"/>
              </w:rPr>
            </w:pPr>
            <w:r>
              <w:rPr>
                <w:rFonts w:eastAsia="MS PGothic"/>
                <w:sz w:val="22"/>
                <w:szCs w:val="22"/>
                <w:lang w:val="en-US"/>
              </w:rPr>
              <w:t xml:space="preserve">I am amazed that such nuance is used to for justification. I would love to see more of such </w:t>
            </w:r>
            <w:r w:rsidR="00914972">
              <w:rPr>
                <w:rFonts w:eastAsia="MS PGothic"/>
                <w:sz w:val="22"/>
                <w:szCs w:val="22"/>
                <w:lang w:val="en-US"/>
              </w:rPr>
              <w:t xml:space="preserve">'argument' </w:t>
            </w:r>
            <w:r>
              <w:rPr>
                <w:rFonts w:eastAsia="MS PGothic"/>
                <w:sz w:val="22"/>
                <w:szCs w:val="22"/>
                <w:lang w:val="en-US"/>
              </w:rPr>
              <w:t xml:space="preserve"> in 3.1</w:t>
            </w:r>
            <w:r w:rsidR="00914972">
              <w:rPr>
                <w:rFonts w:eastAsia="MS PGothic"/>
                <w:sz w:val="22"/>
                <w:szCs w:val="22"/>
                <w:lang w:val="en-US"/>
              </w:rPr>
              <w:t xml:space="preserve"> since in that section there are many more requests for this type of </w:t>
            </w:r>
            <w:r w:rsidR="00CA6033">
              <w:rPr>
                <w:rFonts w:eastAsia="MS PGothic"/>
                <w:sz w:val="22"/>
                <w:szCs w:val="22"/>
                <w:lang w:val="en-US"/>
              </w:rPr>
              <w:t xml:space="preserve"> combo FGs, but no "DCI in RRC" </w:t>
            </w:r>
            <w:r w:rsidR="00914972">
              <w:rPr>
                <w:rFonts w:eastAsia="MS PGothic"/>
                <w:sz w:val="22"/>
                <w:szCs w:val="22"/>
                <w:lang w:val="en-US"/>
              </w:rPr>
              <w:t>issue.</w:t>
            </w:r>
          </w:p>
        </w:tc>
      </w:tr>
      <w:tr w:rsidR="008C4BA0" w14:paraId="56106FFE" w14:textId="77777777" w:rsidTr="00131245">
        <w:trPr>
          <w:trHeight w:val="70"/>
        </w:trPr>
        <w:tc>
          <w:tcPr>
            <w:tcW w:w="1980" w:type="dxa"/>
          </w:tcPr>
          <w:p w14:paraId="48B95CF1" w14:textId="3F01CD36" w:rsidR="008C4BA0" w:rsidRDefault="008C4BA0" w:rsidP="008C4BA0">
            <w:pPr>
              <w:rPr>
                <w:rFonts w:eastAsia="MS PGothic"/>
                <w:sz w:val="22"/>
                <w:szCs w:val="22"/>
                <w:lang w:val="en-US"/>
              </w:rPr>
            </w:pPr>
            <w:r>
              <w:rPr>
                <w:rFonts w:eastAsia="MS PGothic"/>
                <w:sz w:val="22"/>
                <w:szCs w:val="22"/>
                <w:lang w:val="en-US"/>
              </w:rPr>
              <w:t>SONY</w:t>
            </w:r>
          </w:p>
        </w:tc>
        <w:tc>
          <w:tcPr>
            <w:tcW w:w="7982" w:type="dxa"/>
          </w:tcPr>
          <w:p w14:paraId="432A6450" w14:textId="77777777" w:rsidR="008C4BA0" w:rsidRDefault="008C4BA0" w:rsidP="008C4BA0">
            <w:pPr>
              <w:rPr>
                <w:rFonts w:eastAsia="MS PGothic"/>
                <w:sz w:val="22"/>
                <w:szCs w:val="22"/>
                <w:lang w:val="en-US"/>
              </w:rPr>
            </w:pPr>
            <w:r>
              <w:rPr>
                <w:rFonts w:eastAsia="MS PGothic"/>
                <w:sz w:val="22"/>
                <w:szCs w:val="22"/>
                <w:lang w:val="en-US"/>
              </w:rPr>
              <w:t xml:space="preserve">We have sympathy with the “Ericsson 2” view. </w:t>
            </w:r>
          </w:p>
          <w:p w14:paraId="4C5726C8" w14:textId="77777777" w:rsidR="008C4BA0" w:rsidRDefault="008C4BA0" w:rsidP="008C4BA0">
            <w:pPr>
              <w:rPr>
                <w:rFonts w:eastAsia="MS PGothic"/>
                <w:sz w:val="22"/>
                <w:szCs w:val="22"/>
                <w:lang w:val="en-US"/>
              </w:rPr>
            </w:pPr>
            <w:r>
              <w:rPr>
                <w:rFonts w:eastAsia="MS PGothic"/>
                <w:sz w:val="22"/>
                <w:szCs w:val="22"/>
                <w:lang w:val="en-US"/>
              </w:rPr>
              <w:t>We see a case that the larger UL TBS would be useful as a rel-14 feature, but would not be so useful as a feature combined with PUR (we would expect that the MCS would be chosen more conservatively for PUR, which makes larger UL TBS less likely to be scheduled). So we can see a case that the UE would have implemented (1) larger UL TBS and (2) PUR, but might not have implemented (and tested) both 1+2 together.</w:t>
            </w:r>
          </w:p>
          <w:p w14:paraId="0A2F5D06" w14:textId="467798B4" w:rsidR="008C4BA0" w:rsidRDefault="008C4BA0" w:rsidP="008C4BA0">
            <w:pPr>
              <w:rPr>
                <w:rFonts w:eastAsia="MS PGothic"/>
                <w:sz w:val="22"/>
                <w:szCs w:val="22"/>
                <w:lang w:val="en-US"/>
              </w:rPr>
            </w:pPr>
            <w:r>
              <w:rPr>
                <w:rFonts w:eastAsia="MS PGothic"/>
                <w:sz w:val="22"/>
                <w:szCs w:val="22"/>
                <w:lang w:val="en-US"/>
              </w:rPr>
              <w:lastRenderedPageBreak/>
              <w:t>So we are OK with a separate FG for larger UL TBS + PUR.</w:t>
            </w:r>
          </w:p>
        </w:tc>
      </w:tr>
      <w:tr w:rsidR="00215B69" w14:paraId="0FB6C5B5" w14:textId="77777777" w:rsidTr="00131245">
        <w:trPr>
          <w:trHeight w:val="70"/>
        </w:trPr>
        <w:tc>
          <w:tcPr>
            <w:tcW w:w="1980" w:type="dxa"/>
          </w:tcPr>
          <w:p w14:paraId="7C03679B" w14:textId="2DD22D31" w:rsidR="00215B69" w:rsidRDefault="00215B69" w:rsidP="00215B69">
            <w:pPr>
              <w:rPr>
                <w:rFonts w:eastAsia="MS PGothic"/>
                <w:sz w:val="22"/>
                <w:szCs w:val="22"/>
                <w:lang w:val="en-US"/>
              </w:rPr>
            </w:pPr>
            <w:r>
              <w:rPr>
                <w:rFonts w:eastAsia="MS PGothic"/>
                <w:sz w:val="22"/>
                <w:szCs w:val="22"/>
                <w:lang w:val="en-US"/>
              </w:rPr>
              <w:lastRenderedPageBreak/>
              <w:t>ZTE,Sanechip (4</w:t>
            </w:r>
            <w:r w:rsidRPr="009F1822">
              <w:rPr>
                <w:rFonts w:eastAsia="MS PGothic"/>
                <w:sz w:val="22"/>
                <w:szCs w:val="22"/>
                <w:lang w:val="en-US"/>
              </w:rPr>
              <w:t>)</w:t>
            </w:r>
          </w:p>
        </w:tc>
        <w:tc>
          <w:tcPr>
            <w:tcW w:w="7982" w:type="dxa"/>
          </w:tcPr>
          <w:p w14:paraId="29AA922E" w14:textId="30752543" w:rsidR="00563905" w:rsidRDefault="00215B69" w:rsidP="008147E7">
            <w:pPr>
              <w:rPr>
                <w:rFonts w:eastAsia="MS PGothic"/>
                <w:sz w:val="22"/>
                <w:szCs w:val="22"/>
                <w:lang w:val="en-US"/>
              </w:rPr>
            </w:pPr>
            <w:r>
              <w:rPr>
                <w:rFonts w:eastAsia="MS PGothic"/>
                <w:sz w:val="22"/>
                <w:szCs w:val="22"/>
                <w:lang w:val="en-US"/>
              </w:rPr>
              <w:t xml:space="preserve">The MCS depend on the channel status. It is true that MCS may be chosen more conservatively for PUR , but for UE with very good link status (very close to the eNB) they can still utilize </w:t>
            </w:r>
            <w:r w:rsidR="00563905">
              <w:rPr>
                <w:rFonts w:eastAsia="MS PGothic"/>
                <w:sz w:val="22"/>
                <w:szCs w:val="22"/>
                <w:lang w:val="en-US"/>
              </w:rPr>
              <w:t>larger TBS .</w:t>
            </w:r>
            <w:r w:rsidR="008147E7">
              <w:rPr>
                <w:rFonts w:eastAsia="MS PGothic"/>
                <w:sz w:val="22"/>
                <w:szCs w:val="22"/>
                <w:lang w:val="en-US"/>
              </w:rPr>
              <w:t xml:space="preserve"> </w:t>
            </w:r>
            <w:r w:rsidR="00D64F27">
              <w:rPr>
                <w:rFonts w:eastAsia="MS PGothic"/>
                <w:sz w:val="22"/>
                <w:szCs w:val="22"/>
                <w:lang w:val="en-US"/>
              </w:rPr>
              <w:t>So i</w:t>
            </w:r>
            <w:r w:rsidR="008147E7">
              <w:rPr>
                <w:rFonts w:eastAsia="MS PGothic"/>
                <w:sz w:val="22"/>
                <w:szCs w:val="22"/>
                <w:lang w:val="en-US"/>
              </w:rPr>
              <w:t>t's not true that because of conservative selection of MCS so larger TBS is not useful for PUR.</w:t>
            </w:r>
          </w:p>
        </w:tc>
      </w:tr>
    </w:tbl>
    <w:p w14:paraId="7A7F27BC" w14:textId="3D561F8C" w:rsidR="009C206E" w:rsidRDefault="009C206E" w:rsidP="00890250">
      <w:pPr>
        <w:rPr>
          <w:lang w:val="en-US"/>
        </w:rPr>
      </w:pPr>
    </w:p>
    <w:p w14:paraId="007782B1" w14:textId="0E452182" w:rsidR="003311F4" w:rsidRDefault="003311F4" w:rsidP="00890250">
      <w:pPr>
        <w:rPr>
          <w:lang w:val="en-US"/>
        </w:rPr>
      </w:pPr>
    </w:p>
    <w:p w14:paraId="19CEE46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311BF464" w14:textId="6C57F4DE" w:rsidR="001E297A" w:rsidRDefault="001E297A" w:rsidP="001E297A">
      <w:pPr>
        <w:pStyle w:val="ListParagraph"/>
        <w:numPr>
          <w:ilvl w:val="0"/>
          <w:numId w:val="39"/>
        </w:numPr>
        <w:ind w:leftChars="0"/>
      </w:pPr>
      <w:r>
        <w:t>FG1-3 is kept as a single FG, and legacy capabilities are reused to support combinations.</w:t>
      </w:r>
    </w:p>
    <w:p w14:paraId="0D232F01" w14:textId="77777777" w:rsidR="001E297A" w:rsidRPr="001E297A" w:rsidRDefault="001E297A" w:rsidP="00890250"/>
    <w:tbl>
      <w:tblPr>
        <w:tblStyle w:val="GridTable4-Accent2"/>
        <w:tblW w:w="0" w:type="auto"/>
        <w:tblLook w:val="04A0" w:firstRow="1" w:lastRow="0" w:firstColumn="1" w:lastColumn="0" w:noHBand="0" w:noVBand="1"/>
      </w:tblPr>
      <w:tblGrid>
        <w:gridCol w:w="1980"/>
        <w:gridCol w:w="7982"/>
      </w:tblGrid>
      <w:tr w:rsidR="00EC6BCC" w14:paraId="1DA7B8E4" w14:textId="77777777" w:rsidTr="00EC6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5AEE87" w14:textId="77777777" w:rsidR="00EC6BCC" w:rsidRDefault="00EC6BCC"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4F7D86C3" w14:textId="77777777" w:rsidR="00EC6BCC" w:rsidRDefault="00EC6BCC"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196559EA" w14:textId="77777777" w:rsidTr="00EC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6CB255" w14:textId="78A79EB3" w:rsidR="00EC6BCC" w:rsidRPr="009F1822" w:rsidRDefault="00EC6BCC" w:rsidP="00920FA6">
            <w:pPr>
              <w:jc w:val="both"/>
              <w:rPr>
                <w:sz w:val="22"/>
                <w:szCs w:val="22"/>
                <w:lang w:val="en-US"/>
              </w:rPr>
            </w:pPr>
            <w:r>
              <w:rPr>
                <w:sz w:val="22"/>
                <w:szCs w:val="22"/>
                <w:lang w:val="en-US"/>
              </w:rPr>
              <w:t>Qualcomm</w:t>
            </w:r>
          </w:p>
        </w:tc>
        <w:tc>
          <w:tcPr>
            <w:tcW w:w="7982" w:type="dxa"/>
          </w:tcPr>
          <w:p w14:paraId="530246DC" w14:textId="55CF61D0" w:rsidR="00EC6BCC" w:rsidRPr="009F1822" w:rsidRDefault="00EC6BCC" w:rsidP="00920FA6">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We think this is pretty dangerous and may lead to not being able to enable a feature forever (e.g. if there are some faulty UEs originally deployed but without IODT opportunity). We would ask companies to reconsider. Could a compromise be to make this “mandatory with capability signaling”?</w:t>
            </w:r>
          </w:p>
        </w:tc>
      </w:tr>
      <w:tr w:rsidR="00973EB3" w:rsidRPr="009F1822" w14:paraId="2078B8B0" w14:textId="77777777" w:rsidTr="00EC6BCC">
        <w:tc>
          <w:tcPr>
            <w:cnfStyle w:val="001000000000" w:firstRow="0" w:lastRow="0" w:firstColumn="1" w:lastColumn="0" w:oddVBand="0" w:evenVBand="0" w:oddHBand="0" w:evenHBand="0" w:firstRowFirstColumn="0" w:firstRowLastColumn="0" w:lastRowFirstColumn="0" w:lastRowLastColumn="0"/>
            <w:tcW w:w="1980" w:type="dxa"/>
          </w:tcPr>
          <w:p w14:paraId="603969DF" w14:textId="4F3B3012" w:rsidR="00973EB3" w:rsidRDefault="00973EB3" w:rsidP="00920FA6">
            <w:pPr>
              <w:jc w:val="both"/>
              <w:rPr>
                <w:sz w:val="22"/>
                <w:szCs w:val="22"/>
                <w:lang w:val="en-US"/>
              </w:rPr>
            </w:pPr>
            <w:r>
              <w:rPr>
                <w:sz w:val="22"/>
                <w:szCs w:val="22"/>
                <w:lang w:val="en-US"/>
              </w:rPr>
              <w:t>Ericsson</w:t>
            </w:r>
          </w:p>
        </w:tc>
        <w:tc>
          <w:tcPr>
            <w:tcW w:w="7982" w:type="dxa"/>
          </w:tcPr>
          <w:p w14:paraId="159F6F2C" w14:textId="443E799D" w:rsidR="00973EB3" w:rsidRPr="00973EB3" w:rsidRDefault="00973EB3" w:rsidP="00920FA6">
            <w:pPr>
              <w:cnfStyle w:val="000000000000" w:firstRow="0" w:lastRow="0" w:firstColumn="0" w:lastColumn="0" w:oddVBand="0" w:evenVBand="0" w:oddHBand="0" w:evenHBand="0" w:firstRowFirstColumn="0" w:firstRowLastColumn="0" w:lastRowFirstColumn="0" w:lastRowLastColumn="0"/>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bl>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1507B87E"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FGs supported by:</w:t>
      </w:r>
      <w:r w:rsidR="00393003" w:rsidRPr="001E297A">
        <w:rPr>
          <w:b/>
          <w:bCs/>
          <w:sz w:val="22"/>
          <w:lang w:val="en-US"/>
        </w:rPr>
        <w:t xml:space="preserve"> Ericsson</w:t>
      </w:r>
      <w:r w:rsidR="001E297A">
        <w:rPr>
          <w:b/>
          <w:bCs/>
          <w:sz w:val="22"/>
          <w:lang w:val="en-US"/>
        </w:rPr>
        <w:t>, Qualcomm, Sony</w:t>
      </w:r>
    </w:p>
    <w:p w14:paraId="0979419E" w14:textId="11A51691" w:rsidR="003311F4" w:rsidRPr="00832B47" w:rsidRDefault="003311F4" w:rsidP="003311F4">
      <w:pPr>
        <w:spacing w:afterLines="50" w:after="120"/>
        <w:jc w:val="both"/>
        <w:rPr>
          <w:b/>
          <w:bCs/>
          <w:sz w:val="22"/>
          <w:lang w:val="en-US"/>
        </w:rPr>
      </w:pPr>
      <w:r w:rsidRPr="001E297A">
        <w:rPr>
          <w:b/>
          <w:bCs/>
          <w:sz w:val="22"/>
          <w:lang w:val="en-US"/>
        </w:rPr>
        <w:tab/>
        <w:t>Objected (i.e., reusing the legacy capability to support the combinations) by:</w:t>
      </w:r>
      <w:r w:rsidR="00AE66D5" w:rsidRPr="001E297A">
        <w:rPr>
          <w:b/>
          <w:bCs/>
          <w:sz w:val="22"/>
          <w:lang w:val="en-US"/>
        </w:rPr>
        <w:t xml:space="preserve"> </w:t>
      </w:r>
      <w:r w:rsidR="00685D79" w:rsidRPr="001E297A">
        <w:rPr>
          <w:b/>
          <w:bCs/>
          <w:sz w:val="22"/>
          <w:lang w:val="en-US"/>
        </w:rPr>
        <w:t>Huawei, HiSilicon</w:t>
      </w:r>
      <w:r w:rsidR="000B4589" w:rsidRPr="001E297A">
        <w:rPr>
          <w:b/>
          <w:bCs/>
          <w:sz w:val="22"/>
          <w:lang w:val="en-US"/>
        </w:rPr>
        <w:t>,</w:t>
      </w:r>
      <w:r w:rsidR="0013124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r w:rsidR="001E297A">
        <w:rPr>
          <w:b/>
          <w:bCs/>
          <w:sz w:val="22"/>
          <w:lang w:val="en-US"/>
        </w:rPr>
        <w:t>, Nokia, NSB</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r w:rsidRPr="009F1822">
              <w:rPr>
                <w:rFonts w:eastAsia="MS PGothic"/>
                <w:sz w:val="22"/>
                <w:szCs w:val="22"/>
                <w:lang w:val="en-US"/>
              </w:rPr>
              <w:t>ZTE,Sanechips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r w:rsidRPr="009F1822">
              <w:rPr>
                <w:rFonts w:eastAsia="MS PGothic"/>
                <w:sz w:val="22"/>
                <w:szCs w:val="22"/>
                <w:lang w:val="en-US"/>
              </w:rPr>
              <w:t>ZTE,Sanechips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r w:rsidR="008C4BA0" w14:paraId="264E5F83" w14:textId="77777777" w:rsidTr="00BA04B8">
        <w:trPr>
          <w:trHeight w:val="70"/>
        </w:trPr>
        <w:tc>
          <w:tcPr>
            <w:tcW w:w="1980" w:type="dxa"/>
          </w:tcPr>
          <w:p w14:paraId="1351C967" w14:textId="7BA14EC0" w:rsidR="008C4BA0" w:rsidRPr="009F1822" w:rsidRDefault="008C4BA0" w:rsidP="008C4BA0">
            <w:pPr>
              <w:rPr>
                <w:rFonts w:eastAsia="MS PGothic"/>
                <w:sz w:val="22"/>
                <w:szCs w:val="22"/>
                <w:lang w:val="en-US"/>
              </w:rPr>
            </w:pPr>
            <w:r>
              <w:rPr>
                <w:rFonts w:eastAsia="MS PGothic"/>
                <w:sz w:val="22"/>
                <w:szCs w:val="22"/>
                <w:lang w:val="en-US"/>
              </w:rPr>
              <w:t>SONY</w:t>
            </w:r>
          </w:p>
        </w:tc>
        <w:tc>
          <w:tcPr>
            <w:tcW w:w="7982" w:type="dxa"/>
          </w:tcPr>
          <w:p w14:paraId="765718A7" w14:textId="77777777" w:rsidR="008C4BA0" w:rsidRDefault="008C4BA0" w:rsidP="008C4BA0">
            <w:pPr>
              <w:rPr>
                <w:rFonts w:eastAsia="MS PGothic"/>
                <w:sz w:val="22"/>
                <w:szCs w:val="22"/>
                <w:lang w:val="en-US"/>
              </w:rPr>
            </w:pPr>
            <w:r>
              <w:rPr>
                <w:rFonts w:eastAsia="MS PGothic"/>
                <w:sz w:val="22"/>
                <w:szCs w:val="22"/>
                <w:lang w:val="en-US"/>
              </w:rPr>
              <w:t>The safest thing to do from an IODT perspective is to have separate FGs, so we would be OK with the Ericsson proposal.</w:t>
            </w:r>
          </w:p>
          <w:p w14:paraId="43A83036" w14:textId="0659B715" w:rsidR="008C4BA0" w:rsidRPr="009F1822" w:rsidRDefault="008C4BA0" w:rsidP="008C4BA0">
            <w:pPr>
              <w:rPr>
                <w:rFonts w:eastAsia="MS PGothic"/>
                <w:sz w:val="22"/>
                <w:szCs w:val="22"/>
                <w:lang w:val="en-US"/>
              </w:rPr>
            </w:pPr>
            <w:r>
              <w:rPr>
                <w:rFonts w:eastAsia="MS PGothic"/>
                <w:sz w:val="22"/>
                <w:szCs w:val="22"/>
                <w:lang w:val="en-US"/>
              </w:rPr>
              <w:t>We should avoid having FGs considering all permutations and combinations (ZTE proposal in section 2.1) as that will lead to too many FGs.</w:t>
            </w:r>
          </w:p>
        </w:tc>
      </w:tr>
    </w:tbl>
    <w:p w14:paraId="2B8D8360" w14:textId="77777777" w:rsidR="003311F4" w:rsidRPr="003311F4" w:rsidRDefault="003311F4" w:rsidP="00890250"/>
    <w:p w14:paraId="782092E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2A1197FF" w14:textId="46C3235C" w:rsidR="00D90B9A" w:rsidRPr="001E297A" w:rsidRDefault="001E297A" w:rsidP="001E297A">
      <w:pPr>
        <w:pStyle w:val="ListParagraph"/>
        <w:numPr>
          <w:ilvl w:val="0"/>
          <w:numId w:val="39"/>
        </w:numPr>
        <w:ind w:leftChars="0"/>
        <w:rPr>
          <w:lang w:val="en-US"/>
        </w:rPr>
      </w:pPr>
      <w:r>
        <w:t>Each of FG1-10/1-11/1-12/1-13 is kept as a single FG, and following legacy capabilities are reused to support combinations.</w:t>
      </w:r>
    </w:p>
    <w:p w14:paraId="2FEF6677" w14:textId="77777777" w:rsidR="001E297A" w:rsidRPr="001E297A" w:rsidRDefault="001E297A" w:rsidP="001E297A">
      <w:pPr>
        <w:pStyle w:val="ListParagraph"/>
        <w:numPr>
          <w:ilvl w:val="1"/>
          <w:numId w:val="39"/>
        </w:numPr>
        <w:ind w:leftChars="0"/>
        <w:rPr>
          <w:lang w:val="en-US"/>
        </w:rPr>
      </w:pPr>
      <w:r w:rsidRPr="001E297A">
        <w:rPr>
          <w:lang w:val="en-US"/>
        </w:rPr>
        <w:t>1. Rel-14 feature for 2984 bits max UL TBS in 1.4 MHz in CE mode A</w:t>
      </w:r>
    </w:p>
    <w:p w14:paraId="0E3ABF05" w14:textId="77777777" w:rsidR="001E297A" w:rsidRPr="001E297A" w:rsidRDefault="001E297A" w:rsidP="001E297A">
      <w:pPr>
        <w:pStyle w:val="ListParagraph"/>
        <w:numPr>
          <w:ilvl w:val="1"/>
          <w:numId w:val="39"/>
        </w:numPr>
        <w:ind w:leftChars="0"/>
        <w:rPr>
          <w:lang w:val="en-US"/>
        </w:rPr>
      </w:pPr>
      <w:r w:rsidRPr="001E297A">
        <w:rPr>
          <w:lang w:val="en-US"/>
        </w:rPr>
        <w:t>2. Rel-14 feature for new numbers of repetitions for PUSCH in CE mode A</w:t>
      </w:r>
    </w:p>
    <w:p w14:paraId="7EBEE9D8" w14:textId="77777777" w:rsidR="001E297A" w:rsidRPr="001E297A" w:rsidRDefault="001E297A" w:rsidP="001E297A">
      <w:pPr>
        <w:pStyle w:val="ListParagraph"/>
        <w:numPr>
          <w:ilvl w:val="1"/>
          <w:numId w:val="39"/>
        </w:numPr>
        <w:ind w:leftChars="0"/>
        <w:rPr>
          <w:lang w:val="en-US"/>
        </w:rPr>
      </w:pPr>
      <w:r w:rsidRPr="001E297A">
        <w:rPr>
          <w:lang w:val="en-US"/>
        </w:rPr>
        <w:t>3. Rel-14 feature for modulation restrictions for PDSCH/PUSCH in CE mode A</w:t>
      </w:r>
    </w:p>
    <w:p w14:paraId="29922DC0" w14:textId="67F3A7EE" w:rsidR="001E297A" w:rsidRPr="001E297A" w:rsidRDefault="001E297A" w:rsidP="001E297A">
      <w:pPr>
        <w:pStyle w:val="ListParagraph"/>
        <w:numPr>
          <w:ilvl w:val="1"/>
          <w:numId w:val="39"/>
        </w:numPr>
        <w:ind w:leftChars="0"/>
        <w:rPr>
          <w:lang w:val="en-US"/>
        </w:rPr>
      </w:pPr>
      <w:r w:rsidRPr="001E297A">
        <w:rPr>
          <w:lang w:val="en-US"/>
        </w:rPr>
        <w:t>6. Rel-15 features for flexible starting PRB for PDSCH/PUSCH in CE mode A/B</w:t>
      </w:r>
    </w:p>
    <w:p w14:paraId="3663A49A" w14:textId="27AE804A" w:rsidR="001E297A" w:rsidRDefault="001E297A" w:rsidP="00890250">
      <w:pPr>
        <w:rPr>
          <w:lang w:val="en-US"/>
        </w:rPr>
      </w:pPr>
    </w:p>
    <w:tbl>
      <w:tblPr>
        <w:tblStyle w:val="GridTable4-Accent2"/>
        <w:tblW w:w="0" w:type="auto"/>
        <w:tblLook w:val="04A0" w:firstRow="1" w:lastRow="0" w:firstColumn="1" w:lastColumn="0" w:noHBand="0" w:noVBand="1"/>
      </w:tblPr>
      <w:tblGrid>
        <w:gridCol w:w="1980"/>
        <w:gridCol w:w="7982"/>
      </w:tblGrid>
      <w:tr w:rsidR="00EC6BCC" w14:paraId="39B9E8AD" w14:textId="77777777" w:rsidTr="00920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22D3C7" w14:textId="77777777" w:rsidR="00EC6BCC" w:rsidRDefault="00EC6BCC"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10236A83" w14:textId="77777777" w:rsidR="00EC6BCC" w:rsidRDefault="00EC6BCC"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3CE45695" w14:textId="77777777" w:rsidTr="0092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1FFA75" w14:textId="77777777" w:rsidR="00EC6BCC" w:rsidRPr="009F1822" w:rsidRDefault="00EC6BCC" w:rsidP="00920FA6">
            <w:pPr>
              <w:jc w:val="both"/>
              <w:rPr>
                <w:sz w:val="22"/>
                <w:szCs w:val="22"/>
                <w:lang w:val="en-US"/>
              </w:rPr>
            </w:pPr>
            <w:r>
              <w:rPr>
                <w:sz w:val="22"/>
                <w:szCs w:val="22"/>
                <w:lang w:val="en-US"/>
              </w:rPr>
              <w:t>Qualcomm</w:t>
            </w:r>
          </w:p>
        </w:tc>
        <w:tc>
          <w:tcPr>
            <w:tcW w:w="7982" w:type="dxa"/>
          </w:tcPr>
          <w:p w14:paraId="61D82A87" w14:textId="620972BB" w:rsidR="00EC6BCC" w:rsidRPr="009F1822" w:rsidRDefault="00EC6BCC" w:rsidP="00920FA6">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Similar comment as for Discussion 1.</w:t>
            </w:r>
          </w:p>
        </w:tc>
      </w:tr>
      <w:tr w:rsidR="00973EB3" w:rsidRPr="009F1822" w14:paraId="13111891" w14:textId="77777777" w:rsidTr="00920FA6">
        <w:tc>
          <w:tcPr>
            <w:tcW w:w="1980" w:type="dxa"/>
          </w:tcPr>
          <w:p w14:paraId="5D26E422" w14:textId="7D1D1839" w:rsidR="00973EB3" w:rsidRDefault="00973EB3" w:rsidP="00920FA6">
            <w:pPr>
              <w:jc w:val="both"/>
              <w:cnfStyle w:val="001000000000" w:firstRow="0" w:lastRow="0" w:firstColumn="1" w:lastColumn="0" w:oddVBand="0" w:evenVBand="0" w:oddHBand="0" w:evenHBand="0" w:firstRowFirstColumn="0" w:firstRowLastColumn="0" w:lastRowFirstColumn="0" w:lastRowLastColumn="0"/>
              <w:rPr>
                <w:sz w:val="22"/>
                <w:szCs w:val="22"/>
                <w:lang w:val="en-US"/>
              </w:rPr>
            </w:pPr>
            <w:r>
              <w:rPr>
                <w:sz w:val="22"/>
                <w:szCs w:val="22"/>
                <w:lang w:val="en-US"/>
              </w:rPr>
              <w:t>Ericsson</w:t>
            </w:r>
          </w:p>
        </w:tc>
        <w:tc>
          <w:tcPr>
            <w:tcW w:w="7982" w:type="dxa"/>
          </w:tcPr>
          <w:p w14:paraId="380AD819" w14:textId="4084EFD2" w:rsidR="00973EB3" w:rsidRDefault="00973EB3" w:rsidP="00920FA6">
            <w:pPr>
              <w:rPr>
                <w:sz w:val="22"/>
                <w:szCs w:val="22"/>
                <w:lang w:val="en-US"/>
              </w:rPr>
            </w:pPr>
            <w:r>
              <w:rPr>
                <w:sz w:val="22"/>
                <w:szCs w:val="22"/>
                <w:lang w:val="en-US"/>
              </w:rPr>
              <w:t>Similar comment as for Discussion 1.</w:t>
            </w:r>
            <w:bookmarkStart w:id="4" w:name="_GoBack"/>
            <w:bookmarkEnd w:id="4"/>
          </w:p>
        </w:tc>
      </w:tr>
    </w:tbl>
    <w:p w14:paraId="6C7C5047" w14:textId="77777777" w:rsidR="001E297A" w:rsidRDefault="001E297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w:t>
            </w:r>
            <w:r w:rsidR="000B4589" w:rsidRPr="000B66F7">
              <w:rPr>
                <w:b/>
                <w:i/>
                <w:lang w:eastAsia="zh-CN"/>
              </w:rPr>
              <w:t>e</w:t>
            </w:r>
            <w:r w:rsidRPr="000B66F7">
              <w:rPr>
                <w:b/>
                <w:i/>
                <w:lang w:eastAsia="zh-CN"/>
              </w:rPr>
              <w:t>modeB'.</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 supported by:</w:t>
      </w:r>
      <w:r w:rsidR="00AE66D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p>
    <w:p w14:paraId="51D8284E" w14:textId="526F1C67" w:rsidR="003311F4" w:rsidRPr="00832B47" w:rsidRDefault="003311F4" w:rsidP="003311F4">
      <w:pPr>
        <w:spacing w:afterLines="50" w:after="120"/>
        <w:jc w:val="both"/>
        <w:rPr>
          <w:b/>
          <w:bCs/>
          <w:sz w:val="22"/>
          <w:lang w:val="en-US"/>
        </w:rPr>
      </w:pPr>
      <w:r w:rsidRPr="001E297A">
        <w:rPr>
          <w:b/>
          <w:bCs/>
          <w:sz w:val="22"/>
          <w:lang w:val="en-US"/>
        </w:rPr>
        <w:tab/>
        <w:t>Objected (i.e., adding multi-TB unicast HARQ multiplexing as component in FG1-11 or not supporting the feature) by:</w:t>
      </w:r>
      <w:r w:rsidR="00AE66D5" w:rsidRPr="001E297A">
        <w:rPr>
          <w:b/>
          <w:bCs/>
          <w:sz w:val="22"/>
          <w:lang w:val="en-US"/>
        </w:rPr>
        <w:t xml:space="preserve"> </w:t>
      </w:r>
      <w:r w:rsidR="00131245" w:rsidRPr="001E297A">
        <w:rPr>
          <w:b/>
          <w:bCs/>
          <w:sz w:val="22"/>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r w:rsidRPr="009F1822">
              <w:rPr>
                <w:rFonts w:eastAsia="Batang"/>
                <w:iCs/>
                <w:sz w:val="22"/>
                <w:szCs w:val="22"/>
                <w:lang w:eastAsia="x-none"/>
              </w:rPr>
              <w:t>ZTE,Sanechips</w:t>
            </w:r>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ZTE,Sanechips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w:t>
            </w:r>
            <w:r w:rsidRPr="009F1822">
              <w:rPr>
                <w:rFonts w:eastAsia="Batang"/>
                <w:iCs/>
                <w:sz w:val="22"/>
                <w:szCs w:val="22"/>
                <w:lang w:eastAsia="x-none"/>
              </w:rPr>
              <w:lastRenderedPageBreak/>
              <w:t xml:space="preserve">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ListParagraph"/>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The only agreement we have on multiplexing is saying “support multiplexing or bundling, downselect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  until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ListParagraph"/>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ListParagraph"/>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lastRenderedPageBreak/>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“donwselect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  until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ListParagraph"/>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ListParagraph"/>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3.5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8"/>
                <w:lang w:eastAsia="zh-CN"/>
              </w:rPr>
              <w:pict w14:anchorId="17DC1478">
                <v:shape id="_x0000_i1026" type="#_x0000_t75" style="width:29.25pt;height:13.5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5"/>
                <w:lang w:eastAsia="zh-CN"/>
              </w:rPr>
              <w:pict w14:anchorId="710A043A">
                <v:shape id="_x0000_i1027" type="#_x0000_t75" style="width:11.25pt;height:11.25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5"/>
                <w:lang w:eastAsia="zh-CN"/>
              </w:rPr>
              <w:pict w14:anchorId="28510D99">
                <v:shape id="_x0000_i1028" type="#_x0000_t75" style="width:11.25pt;height:11.25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973EB3">
              <w:rPr>
                <w:rFonts w:eastAsiaTheme="minorHAnsi" w:cs="Times"/>
                <w:position w:val="-8"/>
                <w:lang w:eastAsia="x-none"/>
              </w:rPr>
              <w:pict w14:anchorId="4883690B">
                <v:shape id="_x0000_i1029" type="#_x0000_t75" style="width:181.5pt;height:13.5pt" equationxml="&lt;">
                  <v:imagedata r:id="rId19"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973EB3">
              <w:rPr>
                <w:rFonts w:eastAsiaTheme="minorHAnsi" w:cs="Times"/>
                <w:position w:val="-8"/>
                <w:lang w:eastAsia="x-none"/>
              </w:rPr>
              <w:pict w14:anchorId="7461A941">
                <v:shape id="_x0000_i1030" type="#_x0000_t75" style="width:181.5pt;height:13.5pt" equationxml="&lt;">
                  <v:imagedata r:id="rId19"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973EB3">
              <w:rPr>
                <w:rFonts w:eastAsiaTheme="minorHAnsi" w:cs="Times"/>
                <w:position w:val="-9"/>
                <w:lang w:eastAsia="x-none"/>
              </w:rPr>
              <w:pict w14:anchorId="61A70FC8">
                <v:shape id="_x0000_i1031" type="#_x0000_t75" style="width:234.75pt;height:13.5pt" equationxml="&lt;">
                  <v:imagedata r:id="rId20"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973EB3">
              <w:rPr>
                <w:rFonts w:eastAsiaTheme="minorHAnsi" w:cs="Times"/>
                <w:position w:val="-9"/>
                <w:lang w:eastAsia="x-none"/>
              </w:rPr>
              <w:pict w14:anchorId="61155E85">
                <v:shape id="_x0000_i1032" type="#_x0000_t75" style="width:234.75pt;height:13.5pt" equationxml="&lt;">
                  <v:imagedata r:id="rId20"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8"/>
                <w:lang w:eastAsia="zh-CN"/>
              </w:rPr>
              <w:pict w14:anchorId="0BD7FF9E">
                <v:shape id="_x0000_i1033" type="#_x0000_t75" style="width:33.75pt;height:13.5pt" equationxml="&lt;">
                  <v:imagedata r:id="rId21"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8"/>
                <w:lang w:eastAsia="zh-CN"/>
              </w:rPr>
              <w:pict w14:anchorId="78760811">
                <v:shape id="_x0000_i1034" type="#_x0000_t75" style="width:33.75pt;height:13.5pt" equationxml="&lt;">
                  <v:imagedata r:id="rId21"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5"/>
                <w:lang w:eastAsia="zh-CN"/>
              </w:rPr>
              <w:pict w14:anchorId="632072CE">
                <v:shape id="_x0000_i1035" type="#_x0000_t75" style="width:11.25pt;height:11.25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5"/>
                <w:lang w:eastAsia="zh-CN"/>
              </w:rPr>
              <w:pict w14:anchorId="6EE121C6">
                <v:shape id="_x0000_i1036" type="#_x0000_t75" style="width:11.25pt;height:11.25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5"/>
                <w:lang w:eastAsia="zh-CN"/>
              </w:rPr>
              <w:pict w14:anchorId="4DD99A12">
                <v:shape id="_x0000_i1037" type="#_x0000_t75" style="width:30pt;height:11.25pt" equationxml="&lt;">
                  <v:imagedata r:id="rId2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5"/>
                <w:lang w:eastAsia="zh-CN"/>
              </w:rPr>
              <w:pict w14:anchorId="2FF8892B">
                <v:shape id="_x0000_i1038" type="#_x0000_t75" style="width:30pt;height:11.25pt" equationxml="&lt;">
                  <v:imagedata r:id="rId2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9"/>
                <w:lang w:eastAsia="zh-CN"/>
              </w:rPr>
              <w:pict w14:anchorId="6CB30E49">
                <v:shape id="_x0000_i1039" type="#_x0000_t75" style="width:32.25pt;height:14.25pt" equationxml="&lt;">
                  <v:imagedata r:id="rId2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9"/>
                <w:lang w:eastAsia="zh-CN"/>
              </w:rPr>
              <w:pict w14:anchorId="2C37F44B">
                <v:shape id="_x0000_i1040" type="#_x0000_t75" style="width:32.25pt;height:14.25pt" equationxml="&lt;">
                  <v:imagedata r:id="rId2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973EB3">
              <w:rPr>
                <w:rFonts w:eastAsia="Times New Roman"/>
                <w:position w:val="-5"/>
                <w:lang w:eastAsia="zh-CN"/>
              </w:rPr>
              <w:pict w14:anchorId="79A398C4">
                <v:shape id="_x0000_i1041" type="#_x0000_t75" style="width:11.25pt;height:11.25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973EB3">
              <w:rPr>
                <w:rFonts w:eastAsia="Times New Roman"/>
                <w:position w:val="-5"/>
                <w:lang w:eastAsia="zh-CN"/>
              </w:rPr>
              <w:pict w14:anchorId="142887E6">
                <v:shape id="_x0000_i1042" type="#_x0000_t75" style="width:11.25pt;height:11.25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SimSun"/>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r>
              <w:rPr>
                <w:rFonts w:eastAsia="SimSun"/>
                <w:iCs/>
                <w:sz w:val="22"/>
                <w:szCs w:val="22"/>
                <w:lang w:eastAsia="zh-CN"/>
              </w:rPr>
              <w:t xml:space="preserve">"  Isn't  true we are doing this for the TDD bundling right now ? </w:t>
            </w:r>
            <w:r w:rsidR="00D9088A">
              <w:rPr>
                <w:rFonts w:eastAsia="SimSun"/>
                <w:iCs/>
                <w:sz w:val="22"/>
                <w:szCs w:val="22"/>
                <w:lang w:eastAsia="zh-CN"/>
              </w:rPr>
              <w:t xml:space="preserve"> </w:t>
            </w:r>
            <w:r>
              <w:rPr>
                <w:rFonts w:eastAsia="Batang"/>
                <w:iCs/>
                <w:sz w:val="22"/>
                <w:szCs w:val="22"/>
                <w:lang w:eastAsia="x-none"/>
              </w:rPr>
              <w:t>Note  TDD bundling   is not supported yet but the table seems to suggest this feature exists.</w:t>
            </w:r>
          </w:p>
          <w:p w14:paraId="44CBB14F" w14:textId="37887862" w:rsidR="007638BE" w:rsidRPr="007638BE" w:rsidRDefault="00D9088A" w:rsidP="00D9088A">
            <w:pPr>
              <w:tabs>
                <w:tab w:val="num" w:pos="1800"/>
              </w:tabs>
              <w:rPr>
                <w:rFonts w:eastAsia="SimSun"/>
                <w:iCs/>
                <w:sz w:val="22"/>
                <w:szCs w:val="22"/>
                <w:lang w:eastAsia="zh-CN"/>
              </w:rPr>
            </w:pPr>
            <w:r>
              <w:rPr>
                <w:rFonts w:eastAsia="SimSun"/>
                <w:iCs/>
                <w:sz w:val="22"/>
                <w:szCs w:val="22"/>
                <w:lang w:eastAsia="zh-CN"/>
              </w:rPr>
              <w:t xml:space="preserve">Multiplexing for mode a is an important </w:t>
            </w:r>
            <w:r w:rsidR="002429D0">
              <w:rPr>
                <w:rFonts w:eastAsia="SimSun"/>
                <w:iCs/>
                <w:sz w:val="22"/>
                <w:szCs w:val="22"/>
                <w:lang w:eastAsia="zh-CN"/>
              </w:rPr>
              <w:t>functionality,</w:t>
            </w:r>
            <w:r>
              <w:rPr>
                <w:rFonts w:eastAsia="SimSun"/>
                <w:iCs/>
                <w:sz w:val="22"/>
                <w:szCs w:val="22"/>
                <w:lang w:eastAsia="zh-CN"/>
              </w:rPr>
              <w:t xml:space="preserve"> especially for TDD. </w:t>
            </w:r>
          </w:p>
        </w:tc>
      </w:tr>
      <w:tr w:rsidR="008C4BA0" w14:paraId="1E45168E" w14:textId="77777777" w:rsidTr="00131245">
        <w:trPr>
          <w:trHeight w:val="70"/>
        </w:trPr>
        <w:tc>
          <w:tcPr>
            <w:tcW w:w="1980" w:type="dxa"/>
          </w:tcPr>
          <w:p w14:paraId="701F02C2" w14:textId="6B910473" w:rsidR="008C4BA0" w:rsidRPr="009F1822" w:rsidRDefault="008C4BA0" w:rsidP="008C4BA0">
            <w:pPr>
              <w:tabs>
                <w:tab w:val="num" w:pos="1800"/>
              </w:tabs>
              <w:rPr>
                <w:rFonts w:eastAsia="Batang"/>
                <w:iCs/>
                <w:sz w:val="22"/>
                <w:szCs w:val="22"/>
                <w:lang w:eastAsia="x-none"/>
              </w:rPr>
            </w:pPr>
            <w:r>
              <w:rPr>
                <w:rFonts w:eastAsia="Batang"/>
                <w:iCs/>
                <w:sz w:val="22"/>
                <w:szCs w:val="22"/>
                <w:lang w:eastAsia="x-none"/>
              </w:rPr>
              <w:t>SONY</w:t>
            </w:r>
          </w:p>
        </w:tc>
        <w:tc>
          <w:tcPr>
            <w:tcW w:w="7982" w:type="dxa"/>
          </w:tcPr>
          <w:p w14:paraId="70B9AD95" w14:textId="3564AC4F" w:rsidR="008C4BA0" w:rsidRDefault="008C4BA0" w:rsidP="008C4BA0">
            <w:pPr>
              <w:tabs>
                <w:tab w:val="num" w:pos="1800"/>
              </w:tabs>
              <w:rPr>
                <w:rFonts w:eastAsia="Batang"/>
                <w:iCs/>
                <w:sz w:val="22"/>
                <w:szCs w:val="22"/>
                <w:lang w:eastAsia="x-none"/>
              </w:rPr>
            </w:pPr>
            <w:r>
              <w:rPr>
                <w:rFonts w:eastAsia="Batang"/>
                <w:iCs/>
                <w:sz w:val="22"/>
                <w:szCs w:val="22"/>
                <w:lang w:eastAsia="x-none"/>
              </w:rPr>
              <w:t>Our understanding is that HARQ multiplexing is not supported for MTBG. We noted this understanding in our contribution R1-1910739 in RAN1#98bis.</w:t>
            </w:r>
          </w:p>
        </w:tc>
      </w:tr>
    </w:tbl>
    <w:p w14:paraId="51BDE9EC" w14:textId="47305923" w:rsidR="003311F4" w:rsidRDefault="003311F4" w:rsidP="003311F4">
      <w:pPr>
        <w:rPr>
          <w:lang w:val="en-US"/>
        </w:rPr>
      </w:pPr>
    </w:p>
    <w:p w14:paraId="7E4E4CAE"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CE09EEE" w14:textId="2ECB0C01"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24D86FF4" w14:textId="1E4BAE1F" w:rsidR="001E297A" w:rsidRDefault="001E297A" w:rsidP="003311F4">
      <w:pPr>
        <w:rPr>
          <w:lang w:val="en-US"/>
        </w:rPr>
      </w:pPr>
    </w:p>
    <w:p w14:paraId="5863A3DE" w14:textId="77777777" w:rsidR="001E297A" w:rsidRDefault="001E297A"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2DD94A14" w:rsidR="003311F4" w:rsidRPr="00271E34" w:rsidRDefault="003311F4" w:rsidP="003311F4">
      <w:pPr>
        <w:spacing w:afterLines="50" w:after="120"/>
        <w:jc w:val="both"/>
        <w:rPr>
          <w:b/>
          <w:bCs/>
          <w:sz w:val="22"/>
          <w:lang w:val="en-US"/>
        </w:rPr>
      </w:pPr>
      <w:r w:rsidRPr="00832B47">
        <w:rPr>
          <w:b/>
          <w:bCs/>
          <w:sz w:val="22"/>
          <w:lang w:val="en-US"/>
        </w:rPr>
        <w:tab/>
      </w:r>
      <w:r w:rsidRPr="00271E34">
        <w:rPr>
          <w:b/>
          <w:bCs/>
          <w:sz w:val="22"/>
          <w:lang w:val="en-US"/>
        </w:rPr>
        <w:t>Introducing the separate FG supported by:</w:t>
      </w:r>
      <w:r w:rsidR="002E159B" w:rsidRPr="00271E34">
        <w:rPr>
          <w:b/>
          <w:bCs/>
          <w:sz w:val="22"/>
          <w:lang w:val="en-US"/>
        </w:rPr>
        <w:t xml:space="preserve"> Ericsson</w:t>
      </w:r>
      <w:r w:rsidR="007B7CB7" w:rsidRPr="00271E34">
        <w:rPr>
          <w:b/>
          <w:bCs/>
          <w:sz w:val="22"/>
          <w:lang w:val="en-US"/>
        </w:rPr>
        <w:t>, Qualcomm</w:t>
      </w:r>
      <w:r w:rsidR="00271E34">
        <w:rPr>
          <w:b/>
          <w:bCs/>
          <w:sz w:val="22"/>
          <w:lang w:val="en-US"/>
        </w:rPr>
        <w:t>, Nokia, NSB</w:t>
      </w:r>
    </w:p>
    <w:p w14:paraId="345CEAAB" w14:textId="4D5CE4A9" w:rsidR="003311F4" w:rsidRPr="00832B47" w:rsidRDefault="003311F4" w:rsidP="003311F4">
      <w:pPr>
        <w:spacing w:afterLines="50" w:after="120"/>
        <w:jc w:val="both"/>
        <w:rPr>
          <w:b/>
          <w:bCs/>
          <w:sz w:val="22"/>
          <w:lang w:val="en-US"/>
        </w:rPr>
      </w:pPr>
      <w:r w:rsidRPr="00271E34">
        <w:rPr>
          <w:b/>
          <w:bCs/>
          <w:sz w:val="22"/>
          <w:lang w:val="en-US"/>
        </w:rPr>
        <w:tab/>
        <w:t xml:space="preserve">Objected (i.e., </w:t>
      </w:r>
      <w:r w:rsidR="00F1439A" w:rsidRPr="00271E34">
        <w:rPr>
          <w:b/>
          <w:bCs/>
          <w:sz w:val="22"/>
          <w:lang w:val="en-US"/>
        </w:rPr>
        <w:t>not introducing the separate capability</w:t>
      </w:r>
      <w:r w:rsidRPr="00271E34">
        <w:rPr>
          <w:b/>
          <w:bCs/>
          <w:sz w:val="22"/>
          <w:lang w:val="en-US"/>
        </w:rPr>
        <w:t>) by:</w:t>
      </w:r>
      <w:r w:rsidR="00AE66D5" w:rsidRPr="00271E34">
        <w:rPr>
          <w:b/>
          <w:bCs/>
          <w:sz w:val="22"/>
          <w:lang w:val="en-US"/>
        </w:rPr>
        <w:t xml:space="preserve"> </w:t>
      </w:r>
      <w:r w:rsidR="00685D79" w:rsidRPr="00271E34">
        <w:rPr>
          <w:b/>
          <w:bCs/>
          <w:sz w:val="22"/>
          <w:lang w:val="en-US"/>
        </w:rPr>
        <w:t>Huawei, HiSilicon</w:t>
      </w:r>
      <w:r w:rsidR="000B4589" w:rsidRPr="00271E34">
        <w:rPr>
          <w:b/>
          <w:bCs/>
          <w:sz w:val="22"/>
          <w:lang w:val="en-US"/>
        </w:rPr>
        <w:t>,</w:t>
      </w:r>
      <w:r w:rsidR="00131245" w:rsidRPr="00271E34">
        <w:rPr>
          <w:b/>
          <w:bCs/>
          <w:sz w:val="22"/>
          <w:lang w:val="en-US"/>
        </w:rPr>
        <w:t xml:space="preserve"> </w:t>
      </w:r>
      <w:r w:rsidR="000B4589" w:rsidRPr="00271E34">
        <w:rPr>
          <w:b/>
          <w:bCs/>
          <w:sz w:val="22"/>
          <w:lang w:val="en-US"/>
        </w:rPr>
        <w:t>ZTE,</w:t>
      </w:r>
      <w:r w:rsidR="00131245" w:rsidRPr="00271E34">
        <w:rPr>
          <w:b/>
          <w:bCs/>
          <w:sz w:val="22"/>
          <w:lang w:val="en-US"/>
        </w:rPr>
        <w:t xml:space="preserve"> </w:t>
      </w:r>
      <w:r w:rsidR="000B4589" w:rsidRPr="00271E34">
        <w:rPr>
          <w:b/>
          <w:bCs/>
          <w:sz w:val="22"/>
          <w:lang w:val="en-US"/>
        </w:rPr>
        <w:t>Sanechips</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F92AFF"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4F33721" w14:textId="2DC54BD6"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1F18C573" w14:textId="145B89D9" w:rsidR="003311F4" w:rsidRPr="00271E3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r w:rsidR="0058263E" w:rsidRPr="009F1822">
              <w:rPr>
                <w:rFonts w:eastAsia="SimSun"/>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lastRenderedPageBreak/>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r w:rsidR="008C4BA0" w:rsidRPr="00C86FE9" w14:paraId="70EA5A7A" w14:textId="77777777" w:rsidTr="00BA04B8">
        <w:trPr>
          <w:trHeight w:val="70"/>
        </w:trPr>
        <w:tc>
          <w:tcPr>
            <w:tcW w:w="1980" w:type="dxa"/>
          </w:tcPr>
          <w:p w14:paraId="0D424A5C" w14:textId="0E53CEDC" w:rsidR="008C4BA0" w:rsidRPr="009F1822" w:rsidRDefault="008C4BA0" w:rsidP="009F1822">
            <w:pPr>
              <w:rPr>
                <w:sz w:val="22"/>
                <w:szCs w:val="22"/>
                <w:lang w:val="en-US"/>
              </w:rPr>
            </w:pPr>
            <w:r>
              <w:rPr>
                <w:sz w:val="22"/>
                <w:szCs w:val="22"/>
                <w:lang w:val="en-US"/>
              </w:rPr>
              <w:t>SONY</w:t>
            </w:r>
          </w:p>
        </w:tc>
        <w:tc>
          <w:tcPr>
            <w:tcW w:w="7982" w:type="dxa"/>
          </w:tcPr>
          <w:p w14:paraId="432B5861" w14:textId="0F662DB7" w:rsidR="008C4BA0" w:rsidRPr="008C4BA0" w:rsidRDefault="008C4BA0" w:rsidP="009F1822">
            <w:pPr>
              <w:rPr>
                <w:vanish/>
                <w:sz w:val="22"/>
                <w:szCs w:val="22"/>
                <w:lang w:val="en-US"/>
              </w:rPr>
            </w:pPr>
            <w:r>
              <w:rPr>
                <w:sz w:val="22"/>
                <w:szCs w:val="22"/>
                <w:lang w:val="en-US"/>
              </w:rPr>
              <w:t xml:space="preserve">We are basically OK with the proposal. </w:t>
            </w:r>
            <w:r w:rsidR="00C73CEF">
              <w:rPr>
                <w:sz w:val="22"/>
                <w:szCs w:val="22"/>
                <w:lang w:val="en-US"/>
              </w:rPr>
              <w:t>While there is a need for a FG1-1 to cover Group WUS, our view expressed in the “01-eMTC” email discussion is that group resource alternation is part of the basic FG1-1 and hence FG1-1 should simply be named “Group WUS”.</w:t>
            </w:r>
            <w:r>
              <w:rPr>
                <w:vanish/>
                <w:sz w:val="22"/>
                <w:szCs w:val="22"/>
                <w:lang w:val="en-US"/>
              </w:rPr>
              <w:t xml:space="preserve">woeevr </w:t>
            </w:r>
            <w:r w:rsidR="00C73CEF">
              <w:rPr>
                <w:vanish/>
                <w:sz w:val="22"/>
                <w:szCs w:val="22"/>
                <w:lang w:val="en-US"/>
              </w:rPr>
              <w:t xml:space="preserve">While </w:t>
            </w:r>
          </w:p>
        </w:tc>
      </w:tr>
    </w:tbl>
    <w:p w14:paraId="7DC2D98C" w14:textId="1E5937FA" w:rsidR="00BE5DCB" w:rsidRDefault="00BE5DCB" w:rsidP="00890250">
      <w:pPr>
        <w:rPr>
          <w:lang w:val="en-US"/>
        </w:rPr>
      </w:pPr>
    </w:p>
    <w:p w14:paraId="594B81E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FC54151" w14:textId="06AC68E1" w:rsidR="00271E34" w:rsidRPr="00271E34" w:rsidRDefault="00271E34" w:rsidP="00490380">
      <w:pPr>
        <w:pStyle w:val="ListParagraph"/>
        <w:numPr>
          <w:ilvl w:val="0"/>
          <w:numId w:val="39"/>
        </w:numPr>
        <w:ind w:leftChars="0"/>
        <w:rPr>
          <w:lang w:val="en-US"/>
        </w:rPr>
      </w:pPr>
      <w:r>
        <w:t>FG1-1/3/4/5/6/8/10</w:t>
      </w:r>
      <w:r w:rsidR="000B1DED">
        <w:t>~</w:t>
      </w:r>
      <w:r>
        <w:t>19/21</w:t>
      </w:r>
      <w:r w:rsidR="000B1DED">
        <w:t>~</w:t>
      </w:r>
      <w:r>
        <w:t xml:space="preserve">41 are kept </w:t>
      </w:r>
    </w:p>
    <w:p w14:paraId="7EBAA4A6" w14:textId="77777777" w:rsidR="00271E34" w:rsidRDefault="00271E34"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5DECE774" w:rsidR="00131245" w:rsidRDefault="00271E34" w:rsidP="00131245">
      <w:pPr>
        <w:spacing w:afterLines="50" w:after="120"/>
        <w:jc w:val="both"/>
        <w:rPr>
          <w:b/>
          <w:bCs/>
          <w:sz w:val="22"/>
          <w:lang w:val="en-US"/>
        </w:rPr>
      </w:pPr>
      <w:r>
        <w:rPr>
          <w:b/>
          <w:bCs/>
          <w:sz w:val="22"/>
          <w:lang w:val="en-US"/>
        </w:rPr>
        <w:tab/>
        <w:t>Supported by: Ericsson, Qualcomm, Huawei, HiSilicon, Nokia, NSB, Sony</w:t>
      </w:r>
    </w:p>
    <w:p w14:paraId="163D8B7B" w14:textId="0972853F" w:rsidR="00271E34" w:rsidRDefault="00271E34" w:rsidP="00131245">
      <w:pPr>
        <w:spacing w:afterLines="50" w:after="120"/>
        <w:jc w:val="both"/>
        <w:rPr>
          <w:b/>
          <w:bCs/>
          <w:sz w:val="22"/>
          <w:lang w:val="en-US"/>
        </w:rPr>
      </w:pPr>
      <w:r>
        <w:rPr>
          <w:b/>
          <w:bCs/>
          <w:sz w:val="22"/>
          <w:lang w:val="en-US"/>
        </w:rPr>
        <w:tab/>
        <w:t>Not supported by: ZTE, Sanechips</w:t>
      </w:r>
    </w:p>
    <w:p w14:paraId="441CEA49" w14:textId="77777777" w:rsidR="00271E34" w:rsidRDefault="00271E34"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r w:rsidR="00C73CEF" w14:paraId="2A42483B" w14:textId="77777777" w:rsidTr="00BA04B8">
        <w:trPr>
          <w:trHeight w:val="70"/>
        </w:trPr>
        <w:tc>
          <w:tcPr>
            <w:tcW w:w="1980" w:type="dxa"/>
          </w:tcPr>
          <w:p w14:paraId="378BE2C1" w14:textId="52ADE93B" w:rsidR="00C73CEF" w:rsidRDefault="00C73CEF" w:rsidP="00354E53">
            <w:pPr>
              <w:jc w:val="both"/>
              <w:rPr>
                <w:rFonts w:eastAsiaTheme="minorEastAsia"/>
                <w:sz w:val="22"/>
                <w:szCs w:val="22"/>
              </w:rPr>
            </w:pPr>
            <w:r>
              <w:rPr>
                <w:rFonts w:eastAsiaTheme="minorEastAsia"/>
                <w:sz w:val="22"/>
                <w:szCs w:val="22"/>
              </w:rPr>
              <w:t>SONY</w:t>
            </w:r>
          </w:p>
        </w:tc>
        <w:tc>
          <w:tcPr>
            <w:tcW w:w="7982" w:type="dxa"/>
          </w:tcPr>
          <w:p w14:paraId="0C86CBBA" w14:textId="32245693" w:rsidR="00C73CEF" w:rsidRPr="00C73CEF" w:rsidRDefault="00C73CEF" w:rsidP="00354E53">
            <w:pPr>
              <w:rPr>
                <w:rFonts w:eastAsia="MS PGothic"/>
                <w:vanish/>
                <w:sz w:val="22"/>
                <w:szCs w:val="22"/>
                <w:lang w:val="en-US"/>
              </w:rPr>
            </w:pPr>
            <w:r>
              <w:rPr>
                <w:rFonts w:eastAsia="MS PGothic"/>
                <w:sz w:val="22"/>
                <w:szCs w:val="22"/>
                <w:lang w:val="en-US"/>
              </w:rPr>
              <w:t xml:space="preserve">We have some sympathy for the ZTE view. However we think that resource reservation can be used (very well) to provide early termination gaps. We think it is time to move on and are hence OK if FG1-20 is removed. </w:t>
            </w:r>
            <w:r>
              <w:rPr>
                <w:rFonts w:eastAsia="MS PGothic"/>
                <w:vanish/>
                <w:sz w:val="22"/>
                <w:szCs w:val="22"/>
                <w:lang w:val="en-US"/>
              </w:rPr>
              <w:t>owHowe</w:t>
            </w:r>
          </w:p>
        </w:tc>
      </w:tr>
    </w:tbl>
    <w:p w14:paraId="56019567" w14:textId="6AE49881" w:rsidR="00131245" w:rsidRDefault="00131245" w:rsidP="00131245">
      <w:pPr>
        <w:rPr>
          <w:lang w:val="en-US"/>
        </w:rPr>
      </w:pPr>
    </w:p>
    <w:p w14:paraId="109DA81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B457E94" w14:textId="3FB59524" w:rsidR="00271E34" w:rsidRPr="00271E34" w:rsidRDefault="00271E34" w:rsidP="00271E34">
      <w:pPr>
        <w:pStyle w:val="ListParagraph"/>
        <w:numPr>
          <w:ilvl w:val="0"/>
          <w:numId w:val="39"/>
        </w:numPr>
        <w:ind w:leftChars="0"/>
        <w:rPr>
          <w:lang w:val="en-US"/>
        </w:rPr>
      </w:pPr>
      <w:r>
        <w:t>FG1-20 is removed</w:t>
      </w:r>
    </w:p>
    <w:p w14:paraId="5EBB8100" w14:textId="5A50CBD1" w:rsidR="00271E34" w:rsidRDefault="00271E34" w:rsidP="00131245">
      <w:pPr>
        <w:rPr>
          <w:lang w:val="en-US"/>
        </w:rPr>
      </w:pPr>
    </w:p>
    <w:p w14:paraId="68A80390" w14:textId="77777777" w:rsidR="00271E34" w:rsidRPr="00F1439A" w:rsidRDefault="00271E34"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r w:rsidRPr="009118BE">
              <w:rPr>
                <w:rFonts w:eastAsia="SimSun"/>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34274971" w:rsidR="00BE5DCB" w:rsidRDefault="00BE5DCB" w:rsidP="00BE5DCB">
      <w:pPr>
        <w:rPr>
          <w:lang w:val="en-US"/>
        </w:rPr>
      </w:pPr>
    </w:p>
    <w:p w14:paraId="4274C7D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523EDA2" w14:textId="60E4A83E" w:rsidR="00271E34" w:rsidRPr="00271E34" w:rsidRDefault="00271E34" w:rsidP="00271E34">
      <w:pPr>
        <w:pStyle w:val="ListParagraph"/>
        <w:numPr>
          <w:ilvl w:val="0"/>
          <w:numId w:val="39"/>
        </w:numPr>
        <w:ind w:leftChars="0"/>
        <w:rPr>
          <w:lang w:val="en-US"/>
        </w:rPr>
      </w:pPr>
      <w:r>
        <w:t>FG1-42 is removed from RAN1 UE features list</w:t>
      </w:r>
    </w:p>
    <w:p w14:paraId="623932D7" w14:textId="77777777" w:rsidR="00271E34" w:rsidRPr="00F1439A" w:rsidRDefault="00271E34"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B873D61" w14:textId="77777777" w:rsidR="00271E34" w:rsidRDefault="00271E34" w:rsidP="00D90B9A">
      <w:pPr>
        <w:spacing w:afterLines="50" w:after="120"/>
        <w:jc w:val="both"/>
        <w:rPr>
          <w:rFonts w:eastAsia="MS Mincho"/>
          <w:sz w:val="22"/>
          <w:szCs w:val="22"/>
          <w:lang w:val="en-US"/>
        </w:rPr>
      </w:pPr>
    </w:p>
    <w:p w14:paraId="641082E0"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6879A656" w14:textId="77777777" w:rsidR="00271E34" w:rsidRDefault="00271E34" w:rsidP="00271E34">
      <w:pPr>
        <w:pStyle w:val="ListParagraph"/>
        <w:numPr>
          <w:ilvl w:val="0"/>
          <w:numId w:val="39"/>
        </w:numPr>
        <w:ind w:leftChars="0"/>
      </w:pPr>
      <w:r>
        <w:t>FG1-3 is kept as a single FG, and legacy capabilities are reused to support combinations.</w:t>
      </w:r>
    </w:p>
    <w:p w14:paraId="3E2BBE95" w14:textId="77777777" w:rsidR="00271E34" w:rsidRPr="00271E34" w:rsidRDefault="00271E34" w:rsidP="00D90B9A">
      <w:pPr>
        <w:spacing w:afterLines="50" w:after="120"/>
        <w:jc w:val="both"/>
        <w:rPr>
          <w:rFonts w:eastAsia="MS Mincho"/>
          <w:sz w:val="22"/>
          <w:szCs w:val="22"/>
        </w:rPr>
      </w:pPr>
    </w:p>
    <w:p w14:paraId="68662504"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1A6EB56" w14:textId="77777777" w:rsidR="00271E34" w:rsidRPr="001E297A" w:rsidRDefault="00271E34" w:rsidP="00271E34">
      <w:pPr>
        <w:pStyle w:val="ListParagraph"/>
        <w:numPr>
          <w:ilvl w:val="0"/>
          <w:numId w:val="39"/>
        </w:numPr>
        <w:ind w:leftChars="0"/>
        <w:rPr>
          <w:lang w:val="en-US"/>
        </w:rPr>
      </w:pPr>
      <w:r>
        <w:t>Each of FG1-10/1-11/1-12/1-13 is kept as a single FG, and following legacy capabilities are reused to support combinations.</w:t>
      </w:r>
    </w:p>
    <w:p w14:paraId="6B9F16C2" w14:textId="77777777" w:rsidR="00271E34" w:rsidRPr="001E297A" w:rsidRDefault="00271E34" w:rsidP="00271E34">
      <w:pPr>
        <w:pStyle w:val="ListParagraph"/>
        <w:numPr>
          <w:ilvl w:val="1"/>
          <w:numId w:val="39"/>
        </w:numPr>
        <w:ind w:leftChars="0"/>
        <w:rPr>
          <w:lang w:val="en-US"/>
        </w:rPr>
      </w:pPr>
      <w:r w:rsidRPr="001E297A">
        <w:rPr>
          <w:lang w:val="en-US"/>
        </w:rPr>
        <w:t>1. Rel-14 feature for 2984 bits max UL TBS in 1.4 MHz in CE mode A</w:t>
      </w:r>
    </w:p>
    <w:p w14:paraId="51390C7B" w14:textId="77777777" w:rsidR="00271E34" w:rsidRPr="001E297A" w:rsidRDefault="00271E34" w:rsidP="00271E34">
      <w:pPr>
        <w:pStyle w:val="ListParagraph"/>
        <w:numPr>
          <w:ilvl w:val="1"/>
          <w:numId w:val="39"/>
        </w:numPr>
        <w:ind w:leftChars="0"/>
        <w:rPr>
          <w:lang w:val="en-US"/>
        </w:rPr>
      </w:pPr>
      <w:r w:rsidRPr="001E297A">
        <w:rPr>
          <w:lang w:val="en-US"/>
        </w:rPr>
        <w:t>2. Rel-14 feature for new numbers of repetitions for PUSCH in CE mode A</w:t>
      </w:r>
    </w:p>
    <w:p w14:paraId="14A0BC34" w14:textId="77777777" w:rsidR="00271E34" w:rsidRPr="001E297A" w:rsidRDefault="00271E34" w:rsidP="00271E34">
      <w:pPr>
        <w:pStyle w:val="ListParagraph"/>
        <w:numPr>
          <w:ilvl w:val="1"/>
          <w:numId w:val="39"/>
        </w:numPr>
        <w:ind w:leftChars="0"/>
        <w:rPr>
          <w:lang w:val="en-US"/>
        </w:rPr>
      </w:pPr>
      <w:r w:rsidRPr="001E297A">
        <w:rPr>
          <w:lang w:val="en-US"/>
        </w:rPr>
        <w:t>3. Rel-14 feature for modulation restrictions for PDSCH/PUSCH in CE mode A</w:t>
      </w:r>
    </w:p>
    <w:p w14:paraId="7560D17B" w14:textId="77777777" w:rsidR="00271E34" w:rsidRPr="001E297A" w:rsidRDefault="00271E34" w:rsidP="00271E34">
      <w:pPr>
        <w:pStyle w:val="ListParagraph"/>
        <w:numPr>
          <w:ilvl w:val="1"/>
          <w:numId w:val="39"/>
        </w:numPr>
        <w:ind w:leftChars="0"/>
        <w:rPr>
          <w:lang w:val="en-US"/>
        </w:rPr>
      </w:pPr>
      <w:r w:rsidRPr="001E297A">
        <w:rPr>
          <w:lang w:val="en-US"/>
        </w:rPr>
        <w:t>6. Rel-15 features for flexible starting PRB for PDSCH/PUSCH in CE mode A/B</w:t>
      </w:r>
    </w:p>
    <w:p w14:paraId="0DA73E5F" w14:textId="59FB21B1" w:rsidR="00271E34" w:rsidRDefault="00271E34" w:rsidP="00D90B9A">
      <w:pPr>
        <w:spacing w:afterLines="50" w:after="120"/>
        <w:jc w:val="both"/>
        <w:rPr>
          <w:rFonts w:eastAsia="MS Mincho"/>
          <w:sz w:val="22"/>
          <w:szCs w:val="22"/>
          <w:lang w:val="en-US"/>
        </w:rPr>
      </w:pPr>
    </w:p>
    <w:p w14:paraId="039ED86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FDFD4EE" w14:textId="77777777"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049E67DD" w14:textId="09310BD4" w:rsidR="00271E34" w:rsidRPr="00271E34" w:rsidRDefault="00271E34" w:rsidP="00271E34">
      <w:pPr>
        <w:spacing w:afterLines="50" w:after="120"/>
        <w:jc w:val="both"/>
        <w:rPr>
          <w:lang w:val="en-US"/>
        </w:rPr>
      </w:pPr>
    </w:p>
    <w:p w14:paraId="3A08ABBA"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9B0E093" w14:textId="77777777"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399F8B20" w14:textId="3F5E8E1D" w:rsidR="00271E34" w:rsidRDefault="00271E34" w:rsidP="00271E34">
      <w:pPr>
        <w:spacing w:afterLines="50" w:after="120"/>
        <w:jc w:val="both"/>
        <w:rPr>
          <w:lang w:val="en-US"/>
        </w:rPr>
      </w:pPr>
    </w:p>
    <w:p w14:paraId="7E650859"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4FE3FD0" w14:textId="14038083" w:rsidR="00271E34" w:rsidRPr="00271E34" w:rsidRDefault="00271E34" w:rsidP="00271E34">
      <w:pPr>
        <w:pStyle w:val="ListParagraph"/>
        <w:numPr>
          <w:ilvl w:val="0"/>
          <w:numId w:val="39"/>
        </w:numPr>
        <w:ind w:leftChars="0"/>
        <w:rPr>
          <w:lang w:val="en-US"/>
        </w:rPr>
      </w:pPr>
      <w:r>
        <w:t>FG1-1/3/4/5/6/8/10</w:t>
      </w:r>
      <w:r w:rsidR="000B1DED">
        <w:t>~</w:t>
      </w:r>
      <w:r>
        <w:t>19/21</w:t>
      </w:r>
      <w:r w:rsidR="000B1DED">
        <w:t>~</w:t>
      </w:r>
      <w:r>
        <w:t xml:space="preserve">41 are kept </w:t>
      </w:r>
    </w:p>
    <w:p w14:paraId="297EBD96" w14:textId="4B28C51C" w:rsidR="00271E34" w:rsidRDefault="00271E34" w:rsidP="00271E34">
      <w:pPr>
        <w:spacing w:afterLines="50" w:after="120"/>
        <w:jc w:val="both"/>
        <w:rPr>
          <w:lang w:val="en-US"/>
        </w:rPr>
      </w:pPr>
    </w:p>
    <w:p w14:paraId="104C2453"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41A3D52" w14:textId="77777777" w:rsidR="00271E34" w:rsidRPr="00271E34" w:rsidRDefault="00271E34" w:rsidP="00271E34">
      <w:pPr>
        <w:pStyle w:val="ListParagraph"/>
        <w:numPr>
          <w:ilvl w:val="0"/>
          <w:numId w:val="39"/>
        </w:numPr>
        <w:ind w:leftChars="0"/>
        <w:rPr>
          <w:lang w:val="en-US"/>
        </w:rPr>
      </w:pPr>
      <w:r>
        <w:t>FG1-20 is removed</w:t>
      </w:r>
    </w:p>
    <w:p w14:paraId="761EA27A" w14:textId="484C6E4D" w:rsidR="00271E34" w:rsidRDefault="00271E34" w:rsidP="00271E34">
      <w:pPr>
        <w:spacing w:afterLines="50" w:after="120"/>
        <w:jc w:val="both"/>
        <w:rPr>
          <w:lang w:val="en-US"/>
        </w:rPr>
      </w:pPr>
    </w:p>
    <w:p w14:paraId="55346F4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79D24AC" w14:textId="77777777" w:rsidR="00271E34" w:rsidRPr="00271E34" w:rsidRDefault="00271E34" w:rsidP="00271E34">
      <w:pPr>
        <w:pStyle w:val="ListParagraph"/>
        <w:numPr>
          <w:ilvl w:val="0"/>
          <w:numId w:val="39"/>
        </w:numPr>
        <w:ind w:leftChars="0"/>
        <w:rPr>
          <w:lang w:val="en-US"/>
        </w:rPr>
      </w:pPr>
      <w:r>
        <w:t>FG1-42 is removed from RAN1 UE features list</w:t>
      </w:r>
    </w:p>
    <w:p w14:paraId="37305B89" w14:textId="77777777" w:rsidR="00271E34" w:rsidRPr="00271E34" w:rsidRDefault="00271E34" w:rsidP="00271E34">
      <w:pPr>
        <w:spacing w:afterLines="50" w:after="120"/>
        <w:jc w:val="both"/>
        <w:rPr>
          <w:lang w:val="en-US"/>
        </w:rPr>
      </w:pPr>
    </w:p>
    <w:p w14:paraId="35D9B882" w14:textId="77777777" w:rsidR="00271E34" w:rsidRPr="00271E34" w:rsidRDefault="00271E34" w:rsidP="00271E34">
      <w:pPr>
        <w:spacing w:afterLines="50" w:after="120"/>
        <w:jc w:val="both"/>
        <w:rPr>
          <w:rFonts w:eastAsia="MS Mincho"/>
          <w:sz w:val="22"/>
          <w:szCs w:val="22"/>
          <w:lang w:val="en-US"/>
        </w:rPr>
      </w:pPr>
    </w:p>
    <w:p w14:paraId="31C21E81" w14:textId="2F3B3684"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6ECBD" w14:textId="77777777" w:rsidR="007E099F" w:rsidRDefault="007E099F">
      <w:r>
        <w:separator/>
      </w:r>
    </w:p>
  </w:endnote>
  <w:endnote w:type="continuationSeparator" w:id="0">
    <w:p w14:paraId="6B181792" w14:textId="77777777" w:rsidR="007E099F" w:rsidRDefault="007E099F">
      <w:r>
        <w:continuationSeparator/>
      </w:r>
    </w:p>
  </w:endnote>
  <w:endnote w:type="continuationNotice" w:id="1">
    <w:p w14:paraId="28FF0B73" w14:textId="77777777" w:rsidR="007E099F" w:rsidRDefault="007E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033C" w14:textId="77777777" w:rsidR="00EC6BCC" w:rsidRDefault="00EC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0204857" w:rsidR="005F4783" w:rsidRPr="00000924" w:rsidRDefault="005F47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6479" w14:textId="77777777" w:rsidR="00EC6BCC" w:rsidRDefault="00EC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0F05" w14:textId="77777777" w:rsidR="007E099F" w:rsidRDefault="007E099F">
      <w:r>
        <w:separator/>
      </w:r>
    </w:p>
  </w:footnote>
  <w:footnote w:type="continuationSeparator" w:id="0">
    <w:p w14:paraId="4F7B04A9" w14:textId="77777777" w:rsidR="007E099F" w:rsidRDefault="007E099F">
      <w:r>
        <w:continuationSeparator/>
      </w:r>
    </w:p>
  </w:footnote>
  <w:footnote w:type="continuationNotice" w:id="1">
    <w:p w14:paraId="59AA9B44" w14:textId="77777777" w:rsidR="007E099F" w:rsidRDefault="007E0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D60F" w14:textId="77777777" w:rsidR="00EC6BCC" w:rsidRDefault="00EC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C022" w14:textId="77777777" w:rsidR="00EC6BCC" w:rsidRDefault="00EC6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DA30" w14:textId="77777777" w:rsidR="00EC6BCC" w:rsidRDefault="00EC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1"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21"/>
  </w:num>
  <w:num w:numId="5">
    <w:abstractNumId w:val="6"/>
  </w:num>
  <w:num w:numId="6">
    <w:abstractNumId w:val="9"/>
  </w:num>
  <w:num w:numId="7">
    <w:abstractNumId w:val="17"/>
  </w:num>
  <w:num w:numId="8">
    <w:abstractNumId w:val="20"/>
  </w:num>
  <w:num w:numId="9">
    <w:abstractNumId w:val="28"/>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4"/>
  </w:num>
  <w:num w:numId="28">
    <w:abstractNumId w:val="32"/>
  </w:num>
  <w:num w:numId="29">
    <w:abstractNumId w:val="26"/>
  </w:num>
  <w:num w:numId="30">
    <w:abstractNumId w:val="31"/>
  </w:num>
  <w:num w:numId="31">
    <w:abstractNumId w:val="29"/>
  </w:num>
  <w:num w:numId="32">
    <w:abstractNumId w:val="14"/>
  </w:num>
  <w:num w:numId="33">
    <w:abstractNumId w:val="11"/>
  </w:num>
  <w:num w:numId="34">
    <w:abstractNumId w:val="22"/>
  </w:num>
  <w:num w:numId="35">
    <w:abstractNumId w:val="16"/>
  </w:num>
  <w:num w:numId="36">
    <w:abstractNumId w:val="35"/>
  </w:num>
  <w:num w:numId="37">
    <w:abstractNumId w:va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ED"/>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D60"/>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97A"/>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5B69"/>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1E34"/>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3C2"/>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42F"/>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B67"/>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905"/>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783"/>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6E65"/>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99F"/>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7E7"/>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BA0"/>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EB3"/>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E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F27"/>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6B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BCC"/>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598"/>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1E3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 w:type="table" w:styleId="GridTable1Light-Accent2">
    <w:name w:val="Grid Table 1 Light Accent 2"/>
    <w:basedOn w:val="TableNormal"/>
    <w:uiPriority w:val="46"/>
    <w:rsid w:val="00EC6BC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C6BC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103018">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138">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6042C-62E0-4327-B542-01E00630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5173</Words>
  <Characters>27423</Characters>
  <Application>Microsoft Office Word</Application>
  <DocSecurity>0</DocSecurity>
  <Lines>228</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6</cp:revision>
  <cp:lastPrinted>2017-08-09T04:40:00Z</cp:lastPrinted>
  <dcterms:created xsi:type="dcterms:W3CDTF">2020-04-23T00:56:00Z</dcterms:created>
  <dcterms:modified xsi:type="dcterms:W3CDTF">2020-04-23T15:09:00Z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