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MS Gothic"/>
          <w:noProof w:val="0"/>
          <w:sz w:val="24"/>
          <w:lang w:eastAsia="ja-JP"/>
        </w:rPr>
      </w:pPr>
    </w:p>
    <w:p w14:paraId="16354F5F" w14:textId="77777777" w:rsidR="001640AD" w:rsidRPr="0074587E" w:rsidRDefault="001640AD" w:rsidP="001640AD">
      <w:pPr>
        <w:pStyle w:val="a6"/>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C92CA9">
        <w:tc>
          <w:tcPr>
            <w:tcW w:w="1838" w:type="dxa"/>
            <w:shd w:val="clear" w:color="auto" w:fill="auto"/>
          </w:tcPr>
          <w:p w14:paraId="4FC6306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C92CA9">
        <w:tc>
          <w:tcPr>
            <w:tcW w:w="1838" w:type="dxa"/>
            <w:shd w:val="clear" w:color="auto" w:fill="auto"/>
          </w:tcPr>
          <w:p w14:paraId="0059FD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C92CA9">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C92CA9">
            <w:pPr>
              <w:pStyle w:val="TAL"/>
              <w:rPr>
                <w:rFonts w:ascii="Times New Roman" w:eastAsia="MS Gothic" w:hAnsi="Times New Roman"/>
                <w:szCs w:val="18"/>
                <w:lang w:eastAsia="ja-JP"/>
              </w:rPr>
            </w:pPr>
          </w:p>
          <w:p w14:paraId="36EF182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000A631C" w14:textId="77777777" w:rsidTr="00C92CA9">
        <w:tc>
          <w:tcPr>
            <w:tcW w:w="846" w:type="dxa"/>
          </w:tcPr>
          <w:p w14:paraId="3A06872F" w14:textId="77777777" w:rsidR="003311F4" w:rsidRDefault="003311F4" w:rsidP="00C92CA9">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C92CA9">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C92CA9">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9"/>
        <w:tblW w:w="0" w:type="auto"/>
        <w:tblLook w:val="04A0" w:firstRow="1" w:lastRow="0" w:firstColumn="1" w:lastColumn="0" w:noHBand="0" w:noVBand="1"/>
      </w:tblPr>
      <w:tblGrid>
        <w:gridCol w:w="846"/>
        <w:gridCol w:w="2977"/>
        <w:gridCol w:w="18560"/>
      </w:tblGrid>
      <w:tr w:rsidR="003311F4" w14:paraId="275CBD8F" w14:textId="77777777" w:rsidTr="00C92CA9">
        <w:tc>
          <w:tcPr>
            <w:tcW w:w="846" w:type="dxa"/>
          </w:tcPr>
          <w:p w14:paraId="4FC26D5E"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4E6E5D70"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r w:rsidR="00276A6B">
        <w:rPr>
          <w:b/>
          <w:bCs/>
          <w:sz w:val="22"/>
          <w:lang w:val="en-US"/>
        </w:rPr>
        <w:t xml:space="preserve"> Ericsson</w:t>
      </w:r>
      <w:r w:rsidR="007B7CB7">
        <w:rPr>
          <w:b/>
          <w:bCs/>
          <w:sz w:val="22"/>
          <w:lang w:val="en-US"/>
        </w:rPr>
        <w:t>, Qualcomm</w:t>
      </w:r>
    </w:p>
    <w:p w14:paraId="3A0F6E89" w14:textId="697AC092"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 </w:t>
      </w:r>
      <w:r w:rsidRPr="00832B47">
        <w:rPr>
          <w:b/>
          <w:bCs/>
          <w:sz w:val="22"/>
          <w:lang w:val="en-US"/>
        </w:rPr>
        <w:t>by:</w:t>
      </w:r>
      <w:r w:rsidR="005613EF">
        <w:rPr>
          <w:b/>
          <w:bCs/>
          <w:sz w:val="22"/>
          <w:lang w:val="en-US"/>
        </w:rPr>
        <w:t xml:space="preserve"> Huawei, HiSilicon</w:t>
      </w:r>
    </w:p>
    <w:p w14:paraId="7D1051D6" w14:textId="77777777" w:rsidR="003311F4" w:rsidRPr="004F76D2"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139391FC" w14:textId="77777777" w:rsidTr="00C92CA9">
        <w:tc>
          <w:tcPr>
            <w:tcW w:w="1980" w:type="dxa"/>
            <w:shd w:val="clear" w:color="auto" w:fill="F2F2F2" w:themeFill="background1" w:themeFillShade="F2"/>
          </w:tcPr>
          <w:p w14:paraId="7620774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C92CA9">
        <w:tc>
          <w:tcPr>
            <w:tcW w:w="1980" w:type="dxa"/>
          </w:tcPr>
          <w:p w14:paraId="1F541B68" w14:textId="47E1D8DB" w:rsidR="00D847B3" w:rsidRDefault="00D847B3" w:rsidP="00D847B3">
            <w:pPr>
              <w:spacing w:after="0"/>
              <w:jc w:val="both"/>
              <w:rPr>
                <w:sz w:val="22"/>
                <w:lang w:val="en-US"/>
              </w:rPr>
            </w:pPr>
            <w:r>
              <w:rPr>
                <w:sz w:val="22"/>
                <w:lang w:val="en-US"/>
              </w:rPr>
              <w:t>Ericsson</w:t>
            </w:r>
          </w:p>
        </w:tc>
        <w:tc>
          <w:tcPr>
            <w:tcW w:w="7982" w:type="dxa"/>
          </w:tcPr>
          <w:p w14:paraId="78AC3AB9" w14:textId="3E493681" w:rsidR="00D847B3" w:rsidRPr="00900640" w:rsidRDefault="00D847B3" w:rsidP="00D847B3">
            <w:pPr>
              <w:spacing w:after="0"/>
              <w:rPr>
                <w:rFonts w:ascii="MS PGothic" w:eastAsia="MS PGothic" w:hAnsi="MS PGothic" w:cs="MS PGothic"/>
                <w:color w:val="000000"/>
                <w:szCs w:val="24"/>
                <w:lang w:val="en-US"/>
              </w:rPr>
            </w:pPr>
            <w:r>
              <w:rPr>
                <w:sz w:val="22"/>
                <w:lang w:val="en-US"/>
              </w:rPr>
              <w:t>Introduce a separate FG for the combination with larger UL TBS for IODT reasons.</w:t>
            </w:r>
          </w:p>
        </w:tc>
      </w:tr>
      <w:tr w:rsidR="00D847B3" w14:paraId="0166931B" w14:textId="77777777" w:rsidTr="00C92CA9">
        <w:tc>
          <w:tcPr>
            <w:tcW w:w="1980" w:type="dxa"/>
          </w:tcPr>
          <w:p w14:paraId="2CA0988D" w14:textId="01309690" w:rsidR="00D847B3" w:rsidRDefault="007B7CB7" w:rsidP="00D847B3">
            <w:pPr>
              <w:spacing w:after="0"/>
              <w:jc w:val="both"/>
              <w:rPr>
                <w:sz w:val="22"/>
                <w:lang w:val="en-US"/>
              </w:rPr>
            </w:pPr>
            <w:r>
              <w:rPr>
                <w:sz w:val="22"/>
                <w:lang w:val="en-US"/>
              </w:rPr>
              <w:t>Qualcomm</w:t>
            </w:r>
          </w:p>
        </w:tc>
        <w:tc>
          <w:tcPr>
            <w:tcW w:w="7982" w:type="dxa"/>
          </w:tcPr>
          <w:p w14:paraId="280921E8" w14:textId="44A851C9" w:rsidR="00D847B3" w:rsidRPr="00563B84" w:rsidRDefault="007B7CB7" w:rsidP="00D847B3">
            <w:pPr>
              <w:tabs>
                <w:tab w:val="num" w:pos="1800"/>
              </w:tabs>
              <w:spacing w:after="0"/>
              <w:rPr>
                <w:rFonts w:ascii="Times" w:eastAsia="Batang" w:hAnsi="Times"/>
                <w:iCs/>
                <w:lang w:eastAsia="x-none"/>
              </w:rPr>
            </w:pPr>
            <w:r>
              <w:rPr>
                <w:rFonts w:ascii="Times" w:eastAsia="Batang" w:hAnsi="Times"/>
                <w:iCs/>
                <w:lang w:eastAsia="x-none"/>
              </w:rPr>
              <w:t>We are OK with introducing this separate FG</w:t>
            </w:r>
          </w:p>
        </w:tc>
      </w:tr>
      <w:tr w:rsidR="00D847B3" w14:paraId="740600F9" w14:textId="77777777" w:rsidTr="00C92CA9">
        <w:tc>
          <w:tcPr>
            <w:tcW w:w="1980" w:type="dxa"/>
          </w:tcPr>
          <w:p w14:paraId="572633C5" w14:textId="2E116289" w:rsidR="00D847B3" w:rsidRPr="00E35784" w:rsidRDefault="005A261E" w:rsidP="00D847B3">
            <w:pPr>
              <w:spacing w:after="0"/>
              <w:jc w:val="both"/>
              <w:rPr>
                <w:rFonts w:eastAsia="宋体"/>
                <w:sz w:val="22"/>
                <w:lang w:val="en-US" w:eastAsia="zh-CN"/>
              </w:rPr>
            </w:pPr>
            <w:r>
              <w:rPr>
                <w:rFonts w:eastAsia="宋体"/>
                <w:sz w:val="22"/>
                <w:lang w:val="en-US" w:eastAsia="zh-CN"/>
              </w:rPr>
              <w:t>ZTE,Sanechips</w:t>
            </w:r>
          </w:p>
        </w:tc>
        <w:tc>
          <w:tcPr>
            <w:tcW w:w="7982" w:type="dxa"/>
          </w:tcPr>
          <w:p w14:paraId="6F9CF8E9" w14:textId="6B37612E" w:rsidR="00D847B3" w:rsidRPr="00131EE6" w:rsidRDefault="00C67138" w:rsidP="00D847B3">
            <w:pPr>
              <w:spacing w:after="0"/>
              <w:jc w:val="both"/>
              <w:rPr>
                <w:sz w:val="22"/>
                <w:lang w:val="en-US"/>
              </w:rPr>
            </w:pPr>
            <w:r>
              <w:rPr>
                <w:sz w:val="22"/>
                <w:lang w:val="en-US"/>
              </w:rPr>
              <w:t>The legacy capability signaling can be used together to indicate combination of feature support.</w:t>
            </w:r>
          </w:p>
        </w:tc>
      </w:tr>
      <w:tr w:rsidR="00D847B3" w14:paraId="5B7BB06C" w14:textId="77777777" w:rsidTr="00C92CA9">
        <w:trPr>
          <w:trHeight w:val="70"/>
        </w:trPr>
        <w:tc>
          <w:tcPr>
            <w:tcW w:w="1980" w:type="dxa"/>
          </w:tcPr>
          <w:p w14:paraId="256033E4" w14:textId="4EB99009" w:rsidR="00D847B3" w:rsidRPr="00131EE6" w:rsidRDefault="008C69FC" w:rsidP="00D847B3">
            <w:pPr>
              <w:spacing w:after="0"/>
              <w:jc w:val="both"/>
              <w:rPr>
                <w:rFonts w:eastAsiaTheme="minorEastAsia" w:hint="eastAsia"/>
                <w:sz w:val="22"/>
              </w:rPr>
            </w:pPr>
            <w:r>
              <w:rPr>
                <w:rFonts w:eastAsiaTheme="minorEastAsia" w:hint="eastAsia"/>
                <w:sz w:val="22"/>
              </w:rPr>
              <w:t>Huawei,</w:t>
            </w:r>
            <w:r>
              <w:rPr>
                <w:rFonts w:eastAsiaTheme="minorEastAsia"/>
                <w:sz w:val="22"/>
              </w:rPr>
              <w:t xml:space="preserve"> HiSilicon</w:t>
            </w:r>
          </w:p>
        </w:tc>
        <w:tc>
          <w:tcPr>
            <w:tcW w:w="7982" w:type="dxa"/>
          </w:tcPr>
          <w:p w14:paraId="76B366CD" w14:textId="7A0CC519" w:rsidR="00D847B3" w:rsidRPr="00131EE6" w:rsidRDefault="008C69FC" w:rsidP="00D847B3">
            <w:pPr>
              <w:spacing w:after="0"/>
              <w:rPr>
                <w:rFonts w:eastAsia="MS PGothic"/>
                <w:szCs w:val="24"/>
                <w:lang w:val="en-US"/>
              </w:rPr>
            </w:pPr>
            <w:r>
              <w:rPr>
                <w:rFonts w:eastAsia="MS PGothic"/>
                <w:szCs w:val="24"/>
                <w:lang w:val="en-US"/>
              </w:rPr>
              <w:t>W</w:t>
            </w:r>
            <w:r>
              <w:rPr>
                <w:rFonts w:eastAsia="MS PGothic" w:hint="eastAsia"/>
                <w:szCs w:val="24"/>
                <w:lang w:val="en-US"/>
              </w:rPr>
              <w:t xml:space="preserve">e </w:t>
            </w:r>
            <w:r>
              <w:rPr>
                <w:rFonts w:eastAsia="MS PGothic"/>
                <w:szCs w:val="24"/>
                <w:lang w:val="en-US"/>
              </w:rPr>
              <w:t>support to reuse legacy capability signaling.</w:t>
            </w:r>
          </w:p>
        </w:tc>
      </w:tr>
    </w:tbl>
    <w:p w14:paraId="7A7F27BC" w14:textId="431E678E"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C92CA9">
        <w:tc>
          <w:tcPr>
            <w:tcW w:w="1838" w:type="dxa"/>
            <w:shd w:val="clear" w:color="auto" w:fill="auto"/>
          </w:tcPr>
          <w:p w14:paraId="20A9BD3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C92CA9">
        <w:tc>
          <w:tcPr>
            <w:tcW w:w="1838" w:type="dxa"/>
            <w:shd w:val="clear" w:color="auto" w:fill="auto"/>
          </w:tcPr>
          <w:p w14:paraId="7A919A4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C92CA9">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C92CA9">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C92CA9">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C92CA9">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3E1114FD" w14:textId="77777777" w:rsidTr="00C92CA9">
        <w:tc>
          <w:tcPr>
            <w:tcW w:w="846" w:type="dxa"/>
          </w:tcPr>
          <w:p w14:paraId="7E724E53" w14:textId="625C8D39" w:rsidR="003311F4" w:rsidRDefault="003311F4" w:rsidP="00C92CA9">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C92CA9">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C92CA9">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C92CA9">
        <w:tc>
          <w:tcPr>
            <w:tcW w:w="846" w:type="dxa"/>
          </w:tcPr>
          <w:p w14:paraId="305F1204"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C92CA9">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C92CA9">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9"/>
        <w:tblW w:w="0" w:type="auto"/>
        <w:tblLook w:val="04A0" w:firstRow="1" w:lastRow="0" w:firstColumn="1" w:lastColumn="0" w:noHBand="0" w:noVBand="1"/>
      </w:tblPr>
      <w:tblGrid>
        <w:gridCol w:w="846"/>
        <w:gridCol w:w="2977"/>
        <w:gridCol w:w="18560"/>
      </w:tblGrid>
      <w:tr w:rsidR="003311F4" w14:paraId="4EFF98F1" w14:textId="77777777" w:rsidTr="00C92CA9">
        <w:tc>
          <w:tcPr>
            <w:tcW w:w="846" w:type="dxa"/>
          </w:tcPr>
          <w:p w14:paraId="00419F29" w14:textId="77777777" w:rsidR="003311F4" w:rsidRDefault="003311F4" w:rsidP="00C92CA9">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5A7D9A6A"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FGs s</w:t>
      </w:r>
      <w:r w:rsidRPr="00832B47">
        <w:rPr>
          <w:b/>
          <w:bCs/>
          <w:sz w:val="22"/>
          <w:lang w:val="en-US"/>
        </w:rPr>
        <w:t>upported by:</w:t>
      </w:r>
      <w:r w:rsidR="00393003">
        <w:rPr>
          <w:b/>
          <w:bCs/>
          <w:sz w:val="22"/>
          <w:lang w:val="en-US"/>
        </w:rPr>
        <w:t xml:space="preserve"> Ericsson</w:t>
      </w:r>
    </w:p>
    <w:p w14:paraId="0979419E" w14:textId="7EF46EEB"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combinations) </w:t>
      </w:r>
      <w:r w:rsidRPr="00832B47">
        <w:rPr>
          <w:b/>
          <w:bCs/>
          <w:sz w:val="22"/>
          <w:lang w:val="en-US"/>
        </w:rPr>
        <w:t>by:</w:t>
      </w:r>
      <w:r w:rsidR="005613EF">
        <w:rPr>
          <w:b/>
          <w:bCs/>
          <w:sz w:val="22"/>
          <w:lang w:val="en-US"/>
        </w:rPr>
        <w:t xml:space="preserve"> </w:t>
      </w:r>
      <w:r w:rsidR="005613EF">
        <w:rPr>
          <w:b/>
          <w:bCs/>
          <w:sz w:val="22"/>
          <w:lang w:val="en-US"/>
        </w:rPr>
        <w:t>Huawei, HiSilicon</w:t>
      </w:r>
    </w:p>
    <w:p w14:paraId="0BD70811" w14:textId="77777777" w:rsidR="003311F4" w:rsidRPr="004F76D2"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07E1CC8E" w14:textId="77777777" w:rsidTr="00C92CA9">
        <w:tc>
          <w:tcPr>
            <w:tcW w:w="1980" w:type="dxa"/>
            <w:shd w:val="clear" w:color="auto" w:fill="F2F2F2" w:themeFill="background1" w:themeFillShade="F2"/>
          </w:tcPr>
          <w:p w14:paraId="535D3A75"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C92CA9">
        <w:tc>
          <w:tcPr>
            <w:tcW w:w="1980" w:type="dxa"/>
          </w:tcPr>
          <w:p w14:paraId="7C711CC1" w14:textId="17D0C2B2" w:rsidR="00393003" w:rsidRDefault="00393003" w:rsidP="00393003">
            <w:pPr>
              <w:spacing w:after="0"/>
              <w:jc w:val="both"/>
              <w:rPr>
                <w:sz w:val="22"/>
                <w:lang w:val="en-US"/>
              </w:rPr>
            </w:pPr>
            <w:r>
              <w:rPr>
                <w:sz w:val="22"/>
                <w:lang w:val="en-US"/>
              </w:rPr>
              <w:t>Ericsson</w:t>
            </w:r>
          </w:p>
        </w:tc>
        <w:tc>
          <w:tcPr>
            <w:tcW w:w="7982" w:type="dxa"/>
          </w:tcPr>
          <w:p w14:paraId="1A6908A9" w14:textId="3EC9D45F" w:rsidR="00393003" w:rsidRPr="00900640" w:rsidRDefault="00393003" w:rsidP="00393003">
            <w:pPr>
              <w:spacing w:after="0"/>
              <w:rPr>
                <w:rFonts w:ascii="MS PGothic" w:eastAsia="MS PGothic" w:hAnsi="MS PGothic" w:cs="MS PGothic"/>
                <w:color w:val="000000"/>
                <w:szCs w:val="24"/>
                <w:lang w:val="en-US"/>
              </w:rPr>
            </w:pPr>
            <w:r>
              <w:rPr>
                <w:sz w:val="22"/>
                <w:lang w:val="en-US"/>
              </w:rPr>
              <w:t>Introduce separate FGs for the combinations with 1, 2, 3 and 6 (but not 4 and 5) for IODT reasons.</w:t>
            </w:r>
          </w:p>
        </w:tc>
      </w:tr>
      <w:tr w:rsidR="00393003" w14:paraId="60D28C1C" w14:textId="77777777" w:rsidTr="00C92CA9">
        <w:tc>
          <w:tcPr>
            <w:tcW w:w="1980" w:type="dxa"/>
          </w:tcPr>
          <w:p w14:paraId="5B44BE10" w14:textId="1866F5DD" w:rsidR="00393003" w:rsidRDefault="007B7CB7" w:rsidP="00393003">
            <w:pPr>
              <w:spacing w:after="0"/>
              <w:jc w:val="both"/>
              <w:rPr>
                <w:sz w:val="22"/>
                <w:lang w:val="en-US"/>
              </w:rPr>
            </w:pPr>
            <w:r>
              <w:rPr>
                <w:sz w:val="22"/>
                <w:lang w:val="en-US"/>
              </w:rPr>
              <w:t>Qualcomm</w:t>
            </w:r>
          </w:p>
        </w:tc>
        <w:tc>
          <w:tcPr>
            <w:tcW w:w="7982" w:type="dxa"/>
          </w:tcPr>
          <w:p w14:paraId="773C5695" w14:textId="508283F4" w:rsidR="00393003" w:rsidRPr="00563B84" w:rsidRDefault="006D2605" w:rsidP="00393003">
            <w:pPr>
              <w:tabs>
                <w:tab w:val="num" w:pos="1800"/>
              </w:tabs>
              <w:spacing w:after="0"/>
              <w:rPr>
                <w:rFonts w:ascii="Times" w:eastAsia="Batang" w:hAnsi="Times"/>
                <w:iCs/>
                <w:lang w:eastAsia="x-none"/>
              </w:rPr>
            </w:pPr>
            <w:r>
              <w:rPr>
                <w:rFonts w:ascii="Times" w:eastAsia="Batang" w:hAnsi="Times"/>
                <w:iCs/>
                <w:lang w:eastAsia="x-none"/>
              </w:rPr>
              <w:t>We have no strong view on what subset of the features may be needed, but the list from Ericsson seems reasonable.</w:t>
            </w:r>
          </w:p>
        </w:tc>
      </w:tr>
      <w:tr w:rsidR="00393003" w14:paraId="42ED7E6E" w14:textId="77777777" w:rsidTr="00C92CA9">
        <w:tc>
          <w:tcPr>
            <w:tcW w:w="1980" w:type="dxa"/>
          </w:tcPr>
          <w:p w14:paraId="0856034A" w14:textId="13A7B4D6" w:rsidR="00393003" w:rsidRPr="00E35784" w:rsidRDefault="00973968" w:rsidP="00393003">
            <w:pPr>
              <w:spacing w:after="0"/>
              <w:jc w:val="both"/>
              <w:rPr>
                <w:rFonts w:eastAsia="宋体"/>
                <w:sz w:val="22"/>
                <w:lang w:val="en-US" w:eastAsia="zh-CN"/>
              </w:rPr>
            </w:pPr>
            <w:r>
              <w:rPr>
                <w:rFonts w:eastAsia="宋体"/>
                <w:sz w:val="22"/>
                <w:lang w:val="en-US" w:eastAsia="zh-CN"/>
              </w:rPr>
              <w:t>ZTE,Sanechips</w:t>
            </w:r>
          </w:p>
        </w:tc>
        <w:tc>
          <w:tcPr>
            <w:tcW w:w="7982" w:type="dxa"/>
          </w:tcPr>
          <w:p w14:paraId="66C8DDAF" w14:textId="38DB3346" w:rsidR="00393003" w:rsidRPr="00131EE6" w:rsidRDefault="00973968" w:rsidP="00973968">
            <w:pPr>
              <w:spacing w:after="0"/>
              <w:jc w:val="both"/>
              <w:rPr>
                <w:sz w:val="22"/>
                <w:lang w:val="en-US"/>
              </w:rPr>
            </w:pPr>
            <w:r>
              <w:rPr>
                <w:sz w:val="22"/>
                <w:lang w:val="en-US"/>
              </w:rPr>
              <w:t>The legacy capability signaling can be used together to indicate combination of feature support. RAN1 recommend</w:t>
            </w:r>
            <w:r w:rsidR="00967C40">
              <w:rPr>
                <w:sz w:val="22"/>
                <w:lang w:val="en-US"/>
              </w:rPr>
              <w:t>s</w:t>
            </w:r>
            <w:r>
              <w:rPr>
                <w:sz w:val="22"/>
                <w:lang w:val="en-US"/>
              </w:rPr>
              <w:t xml:space="preserve"> combinations with 1,2,3,6 are feasible.</w:t>
            </w:r>
          </w:p>
        </w:tc>
      </w:tr>
      <w:tr w:rsidR="00393003" w14:paraId="11B715BB" w14:textId="77777777" w:rsidTr="00C92CA9">
        <w:trPr>
          <w:trHeight w:val="70"/>
        </w:trPr>
        <w:tc>
          <w:tcPr>
            <w:tcW w:w="1980" w:type="dxa"/>
          </w:tcPr>
          <w:p w14:paraId="2C182578" w14:textId="3E888786" w:rsidR="00393003" w:rsidRPr="00131EE6" w:rsidRDefault="008C69FC" w:rsidP="00393003">
            <w:pPr>
              <w:spacing w:after="0"/>
              <w:jc w:val="both"/>
              <w:rPr>
                <w:rFonts w:eastAsiaTheme="minorEastAsia" w:hint="eastAsia"/>
                <w:sz w:val="22"/>
              </w:rPr>
            </w:pPr>
            <w:r>
              <w:rPr>
                <w:rFonts w:eastAsiaTheme="minorEastAsia" w:hint="eastAsia"/>
                <w:sz w:val="22"/>
              </w:rPr>
              <w:t>Huawei, HiSilicon</w:t>
            </w:r>
          </w:p>
        </w:tc>
        <w:tc>
          <w:tcPr>
            <w:tcW w:w="7982" w:type="dxa"/>
          </w:tcPr>
          <w:p w14:paraId="35622876" w14:textId="00E1C677" w:rsidR="00393003" w:rsidRPr="00131EE6" w:rsidRDefault="008C69FC" w:rsidP="00393003">
            <w:pPr>
              <w:spacing w:after="0"/>
              <w:rPr>
                <w:rFonts w:eastAsia="MS PGothic"/>
                <w:szCs w:val="24"/>
                <w:lang w:val="en-US"/>
              </w:rPr>
            </w:pPr>
            <w:r>
              <w:rPr>
                <w:rFonts w:eastAsia="MS PGothic"/>
                <w:szCs w:val="24"/>
                <w:lang w:val="en-US"/>
              </w:rPr>
              <w:t>W</w:t>
            </w:r>
            <w:r>
              <w:rPr>
                <w:rFonts w:eastAsia="MS PGothic" w:hint="eastAsia"/>
                <w:szCs w:val="24"/>
                <w:lang w:val="en-US"/>
              </w:rPr>
              <w:t xml:space="preserve">e </w:t>
            </w:r>
            <w:r>
              <w:rPr>
                <w:rFonts w:eastAsia="MS PGothic"/>
                <w:szCs w:val="24"/>
                <w:lang w:val="en-US"/>
              </w:rPr>
              <w:t>support to resue the legacy capability signaling.</w:t>
            </w:r>
          </w:p>
        </w:tc>
      </w:tr>
      <w:tr w:rsidR="008C69FC" w14:paraId="238849EB" w14:textId="77777777" w:rsidTr="00C92CA9">
        <w:trPr>
          <w:trHeight w:val="70"/>
        </w:trPr>
        <w:tc>
          <w:tcPr>
            <w:tcW w:w="1980" w:type="dxa"/>
          </w:tcPr>
          <w:p w14:paraId="139FBB57" w14:textId="77777777" w:rsidR="008C69FC" w:rsidRPr="00131EE6" w:rsidRDefault="008C69FC" w:rsidP="00393003">
            <w:pPr>
              <w:jc w:val="both"/>
              <w:rPr>
                <w:rFonts w:eastAsiaTheme="minorEastAsia"/>
                <w:sz w:val="22"/>
              </w:rPr>
            </w:pPr>
          </w:p>
        </w:tc>
        <w:tc>
          <w:tcPr>
            <w:tcW w:w="7982" w:type="dxa"/>
          </w:tcPr>
          <w:p w14:paraId="71E2C40E" w14:textId="77777777" w:rsidR="008C69FC" w:rsidRPr="00131EE6" w:rsidRDefault="008C69FC" w:rsidP="00393003">
            <w:pPr>
              <w:rPr>
                <w:rFonts w:eastAsia="MS PGothic"/>
                <w:szCs w:val="24"/>
                <w:lang w:val="en-US"/>
              </w:rPr>
            </w:pP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C92CA9">
        <w:tc>
          <w:tcPr>
            <w:tcW w:w="1838" w:type="dxa"/>
            <w:shd w:val="clear" w:color="auto" w:fill="auto"/>
          </w:tcPr>
          <w:p w14:paraId="12362E1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C92CA9">
        <w:tc>
          <w:tcPr>
            <w:tcW w:w="1838" w:type="dxa"/>
            <w:shd w:val="clear" w:color="auto" w:fill="auto"/>
          </w:tcPr>
          <w:p w14:paraId="7DDBBEBE"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C92CA9">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C92CA9">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0B580C8C" w14:textId="77777777" w:rsidTr="00C92CA9">
        <w:tc>
          <w:tcPr>
            <w:tcW w:w="846" w:type="dxa"/>
          </w:tcPr>
          <w:p w14:paraId="2021360F" w14:textId="77777777" w:rsidR="003311F4" w:rsidRDefault="003311F4" w:rsidP="00C92CA9">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33614468" w14:textId="5E536E37" w:rsidR="003311F4" w:rsidRPr="00F77042" w:rsidRDefault="003311F4" w:rsidP="00C92CA9">
            <w:pPr>
              <w:spacing w:afterLines="50" w:after="120"/>
              <w:jc w:val="both"/>
              <w:rPr>
                <w:sz w:val="22"/>
              </w:rPr>
            </w:pPr>
            <w:r>
              <w:rPr>
                <w:b/>
                <w:i/>
                <w:lang w:eastAsia="zh-CN"/>
              </w:rPr>
              <w:t xml:space="preserve">Proposal 3:  Add </w:t>
            </w:r>
            <w:r w:rsidRPr="000B66F7">
              <w:rPr>
                <w:b/>
                <w:i/>
                <w:lang w:eastAsia="zh-CN"/>
              </w:rPr>
              <w:t xml:space="preserve">separate feature group for </w:t>
            </w:r>
            <w:r w:rsidR="005613EF">
              <w:rPr>
                <w:b/>
                <w:i/>
                <w:lang w:eastAsia="zh-CN"/>
              </w:rPr>
              <w:t>‘</w:t>
            </w:r>
            <w:r w:rsidRPr="000B66F7">
              <w:rPr>
                <w:b/>
                <w:i/>
                <w:lang w:eastAsia="zh-CN"/>
              </w:rPr>
              <w:t xml:space="preserve"> Multi-TB unicast HARQ multiplexing, or at least to clarify that if this is included as a component in feature group 1-11 </w:t>
            </w:r>
            <w:r w:rsidR="005613EF">
              <w:rPr>
                <w:b/>
                <w:i/>
                <w:lang w:eastAsia="zh-CN"/>
              </w:rPr>
              <w:t>‘</w:t>
            </w:r>
            <w:r w:rsidRPr="000B66F7">
              <w:rPr>
                <w:b/>
                <w:i/>
                <w:lang w:eastAsia="zh-CN"/>
              </w:rPr>
              <w:t xml:space="preserve"> Multi-TB unicast for DL in C</w:t>
            </w:r>
            <w:r w:rsidR="005613EF" w:rsidRPr="000B66F7">
              <w:rPr>
                <w:b/>
                <w:i/>
                <w:lang w:eastAsia="zh-CN"/>
              </w:rPr>
              <w:t>e</w:t>
            </w:r>
            <w:r w:rsidRPr="000B66F7">
              <w:rPr>
                <w:b/>
                <w:i/>
                <w:lang w:eastAsia="zh-CN"/>
              </w:rPr>
              <w:t>modeB</w:t>
            </w:r>
            <w:r w:rsidR="005613EF">
              <w:rPr>
                <w:b/>
                <w:i/>
                <w:lang w:eastAsia="zh-CN"/>
              </w:rPr>
              <w:t>’</w:t>
            </w:r>
            <w:r w:rsidRPr="000B66F7">
              <w:rPr>
                <w:b/>
                <w:i/>
                <w:lang w:eastAsia="zh-CN"/>
              </w:rPr>
              <w:t>.</w:t>
            </w:r>
          </w:p>
          <w:p w14:paraId="358A07BF" w14:textId="78BB9DAD" w:rsidR="003311F4" w:rsidRPr="00BF7F75" w:rsidRDefault="003311F4" w:rsidP="00C92CA9">
            <w:pPr>
              <w:rPr>
                <w:rFonts w:eastAsia="宋体"/>
                <w:b/>
                <w:i/>
                <w:lang w:eastAsia="zh-CN"/>
              </w:rPr>
            </w:pPr>
            <w:r>
              <w:rPr>
                <w:b/>
                <w:i/>
                <w:lang w:eastAsia="zh-CN"/>
              </w:rPr>
              <w:t>Proposal 4:</w:t>
            </w:r>
            <w:r w:rsidRPr="000B66F7">
              <w:t xml:space="preserve"> </w:t>
            </w:r>
            <w:r>
              <w:rPr>
                <w:b/>
                <w:i/>
                <w:lang w:eastAsia="zh-CN"/>
              </w:rPr>
              <w:t xml:space="preserve">Add the following note for 1-15 </w:t>
            </w:r>
            <w:r w:rsidR="005613EF">
              <w:rPr>
                <w:b/>
                <w:i/>
                <w:lang w:eastAsia="zh-CN"/>
              </w:rPr>
              <w:t>“</w:t>
            </w:r>
            <w:r w:rsidRPr="000B66F7">
              <w:rPr>
                <w:b/>
                <w:i/>
                <w:lang w:eastAsia="zh-CN"/>
              </w:rPr>
              <w:t>FFS bundling support for TDD</w:t>
            </w:r>
            <w:r w:rsidR="005613EF">
              <w:rPr>
                <w:b/>
                <w:i/>
                <w:lang w:eastAsia="zh-CN"/>
              </w:rPr>
              <w:t>”</w:t>
            </w:r>
            <w:r w:rsidRPr="000B66F7">
              <w:rPr>
                <w:b/>
                <w:i/>
                <w:lang w:eastAsia="zh-CN"/>
              </w:rPr>
              <w:t>.</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77777777"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p>
    <w:p w14:paraId="51D8284E" w14:textId="11608C16"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adding multi-TB unicast HARQ multiplexing as component in FG1-11 or not supporting the feature) </w:t>
      </w:r>
      <w:r w:rsidRPr="00832B47">
        <w:rPr>
          <w:b/>
          <w:bCs/>
          <w:sz w:val="22"/>
          <w:lang w:val="en-US"/>
        </w:rPr>
        <w:t>by:</w:t>
      </w:r>
      <w:r w:rsidR="00273A3A">
        <w:rPr>
          <w:b/>
          <w:bCs/>
          <w:sz w:val="22"/>
          <w:lang w:val="en-US"/>
        </w:rPr>
        <w:t xml:space="preserve"> Huawei, HiSilicon</w:t>
      </w:r>
    </w:p>
    <w:p w14:paraId="6C8F23DB" w14:textId="77777777" w:rsidR="003311F4" w:rsidRPr="003311F4"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5CA26E12" w14:textId="77777777" w:rsidTr="00C92CA9">
        <w:tc>
          <w:tcPr>
            <w:tcW w:w="1980" w:type="dxa"/>
            <w:shd w:val="clear" w:color="auto" w:fill="F2F2F2" w:themeFill="background1" w:themeFillShade="F2"/>
          </w:tcPr>
          <w:p w14:paraId="4A5F7B80"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C92CA9">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C92CA9">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563B84" w:rsidRDefault="007B7CB7" w:rsidP="0027384D">
            <w:pPr>
              <w:tabs>
                <w:tab w:val="num" w:pos="1800"/>
              </w:tabs>
              <w:spacing w:after="0"/>
              <w:rPr>
                <w:rFonts w:ascii="Times" w:eastAsia="Batang" w:hAnsi="Times"/>
                <w:iCs/>
                <w:lang w:eastAsia="x-none"/>
              </w:rPr>
            </w:pPr>
            <w:r>
              <w:rPr>
                <w:rFonts w:ascii="Times" w:eastAsia="Batang" w:hAnsi="Times"/>
                <w:iCs/>
                <w:lang w:eastAsia="x-none"/>
              </w:rPr>
              <w:t>We are a bit confused by this proposal. What is the meaning of HARQ multiplexing?</w:t>
            </w:r>
          </w:p>
        </w:tc>
      </w:tr>
      <w:tr w:rsidR="0027384D" w14:paraId="0FADFCC8" w14:textId="77777777" w:rsidTr="00C92CA9">
        <w:tc>
          <w:tcPr>
            <w:tcW w:w="1980" w:type="dxa"/>
          </w:tcPr>
          <w:p w14:paraId="7EAC5F47" w14:textId="23D13E0D" w:rsidR="0027384D" w:rsidRPr="00E35784" w:rsidRDefault="00973968" w:rsidP="0027384D">
            <w:pPr>
              <w:spacing w:after="0"/>
              <w:jc w:val="both"/>
              <w:rPr>
                <w:rFonts w:eastAsia="宋体"/>
                <w:sz w:val="22"/>
                <w:lang w:val="en-US" w:eastAsia="zh-CN"/>
              </w:rPr>
            </w:pPr>
            <w:r>
              <w:rPr>
                <w:rFonts w:eastAsia="宋体"/>
                <w:sz w:val="22"/>
                <w:lang w:val="en-US" w:eastAsia="zh-CN"/>
              </w:rPr>
              <w:t>ZTE,Sanechips</w:t>
            </w:r>
          </w:p>
        </w:tc>
        <w:tc>
          <w:tcPr>
            <w:tcW w:w="7982" w:type="dxa"/>
          </w:tcPr>
          <w:p w14:paraId="1CF201F2" w14:textId="4C4AD9B3" w:rsidR="0027384D" w:rsidRDefault="00766B46" w:rsidP="0027384D">
            <w:pPr>
              <w:spacing w:after="0"/>
              <w:jc w:val="both"/>
              <w:rPr>
                <w:sz w:val="22"/>
                <w:lang w:val="en-US"/>
              </w:rPr>
            </w:pPr>
            <w:r>
              <w:rPr>
                <w:sz w:val="22"/>
                <w:lang w:val="en-US"/>
              </w:rPr>
              <w:t xml:space="preserve">Multi-TB unicast HARQ multiplexing is agreed in </w:t>
            </w:r>
            <w:r w:rsidR="00967C40">
              <w:rPr>
                <w:sz w:val="22"/>
                <w:lang w:val="en-US"/>
              </w:rPr>
              <w:t xml:space="preserve">previous </w:t>
            </w:r>
            <w:r>
              <w:rPr>
                <w:sz w:val="22"/>
                <w:lang w:val="en-US"/>
              </w:rPr>
              <w:t>RAN1 meeting</w:t>
            </w:r>
          </w:p>
          <w:p w14:paraId="43FEC9ED" w14:textId="77777777" w:rsidR="00766B46" w:rsidRDefault="00766B46" w:rsidP="0027384D">
            <w:pPr>
              <w:spacing w:after="0"/>
              <w:jc w:val="both"/>
              <w:rPr>
                <w:sz w:val="22"/>
                <w:lang w:val="en-US"/>
              </w:rPr>
            </w:pPr>
          </w:p>
          <w:p w14:paraId="4B026A8D" w14:textId="77777777" w:rsidR="00766B46" w:rsidRPr="00814E3A" w:rsidRDefault="00766B46" w:rsidP="00766B46">
            <w:pPr>
              <w:rPr>
                <w:b/>
                <w:highlight w:val="green"/>
              </w:rPr>
            </w:pPr>
            <w:r w:rsidRPr="00814E3A">
              <w:rPr>
                <w:b/>
                <w:highlight w:val="green"/>
              </w:rPr>
              <w:t>Agreement</w:t>
            </w:r>
            <w:r w:rsidRPr="00A75E36">
              <w:rPr>
                <w:rFonts w:cs="Times"/>
                <w:bCs/>
                <w:color w:val="FF0000"/>
              </w:rPr>
              <w:t xml:space="preserve"> </w:t>
            </w:r>
            <w:r>
              <w:rPr>
                <w:rFonts w:cs="Times"/>
                <w:bCs/>
                <w:color w:val="FF0000"/>
              </w:rPr>
              <w:t xml:space="preserve"> </w:t>
            </w:r>
          </w:p>
          <w:p w14:paraId="36BE7798" w14:textId="77777777" w:rsidR="00766B46" w:rsidRPr="00814E3A" w:rsidRDefault="00766B46" w:rsidP="00766B46">
            <w:pPr>
              <w:tabs>
                <w:tab w:val="left" w:pos="0"/>
              </w:tabs>
              <w:rPr>
                <w:rFonts w:eastAsia="Times New Roman"/>
                <w:bCs/>
              </w:rPr>
            </w:pPr>
            <w:r w:rsidRPr="00814E3A">
              <w:rPr>
                <w:rFonts w:eastAsia="Times New Roman"/>
                <w:bCs/>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p w14:paraId="67EA087C" w14:textId="560DF9D0" w:rsidR="00766B46" w:rsidRPr="00766B46" w:rsidRDefault="00766B46" w:rsidP="0027384D">
            <w:pPr>
              <w:spacing w:after="0"/>
              <w:jc w:val="both"/>
              <w:rPr>
                <w:rFonts w:eastAsia="Times New Roman"/>
                <w:bCs/>
              </w:rPr>
            </w:pPr>
            <w:r>
              <w:rPr>
                <w:sz w:val="22"/>
                <w:lang w:val="en-US"/>
              </w:rPr>
              <w:t xml:space="preserve"> </w:t>
            </w:r>
          </w:p>
          <w:p w14:paraId="35D035D5" w14:textId="613A844A" w:rsidR="00766B46" w:rsidRPr="00131EE6" w:rsidRDefault="00766B46" w:rsidP="0027384D">
            <w:pPr>
              <w:spacing w:after="0"/>
              <w:jc w:val="both"/>
              <w:rPr>
                <w:sz w:val="22"/>
                <w:lang w:val="en-US"/>
              </w:rPr>
            </w:pPr>
          </w:p>
        </w:tc>
      </w:tr>
      <w:tr w:rsidR="0027384D" w14:paraId="3A07A125" w14:textId="77777777" w:rsidTr="00C92CA9">
        <w:trPr>
          <w:trHeight w:val="70"/>
        </w:trPr>
        <w:tc>
          <w:tcPr>
            <w:tcW w:w="1980" w:type="dxa"/>
          </w:tcPr>
          <w:p w14:paraId="20C73450" w14:textId="452C8AA1" w:rsidR="0027384D" w:rsidRPr="00131EE6" w:rsidRDefault="00C86FE9" w:rsidP="0027384D">
            <w:pPr>
              <w:spacing w:after="0"/>
              <w:jc w:val="both"/>
              <w:rPr>
                <w:rFonts w:eastAsiaTheme="minorEastAsia"/>
                <w:sz w:val="22"/>
              </w:rPr>
            </w:pPr>
            <w:r>
              <w:rPr>
                <w:rFonts w:eastAsiaTheme="minorEastAsia" w:hint="eastAsia"/>
                <w:sz w:val="22"/>
              </w:rPr>
              <w:t>M</w:t>
            </w:r>
            <w:r>
              <w:rPr>
                <w:rFonts w:eastAsiaTheme="minorEastAsia"/>
                <w:sz w:val="22"/>
              </w:rPr>
              <w:t>oderator</w:t>
            </w:r>
          </w:p>
        </w:tc>
        <w:tc>
          <w:tcPr>
            <w:tcW w:w="7982" w:type="dxa"/>
          </w:tcPr>
          <w:p w14:paraId="1549385A" w14:textId="77777777" w:rsidR="0027384D" w:rsidRDefault="00C86FE9" w:rsidP="0027384D">
            <w:pPr>
              <w:pBdr>
                <w:bottom w:val="single" w:sz="6" w:space="1" w:color="auto"/>
              </w:pBdr>
              <w:spacing w:after="0"/>
              <w:rPr>
                <w:rFonts w:eastAsia="MS PGothic"/>
                <w:szCs w:val="24"/>
                <w:lang w:val="en-US"/>
              </w:rPr>
            </w:pPr>
            <w:r>
              <w:rPr>
                <w:rFonts w:eastAsia="MS PGothic" w:hint="eastAsia"/>
                <w:szCs w:val="24"/>
                <w:lang w:val="en-US"/>
              </w:rPr>
              <w:t>T</w:t>
            </w:r>
            <w:r>
              <w:rPr>
                <w:rFonts w:eastAsia="MS PGothic"/>
                <w:szCs w:val="24"/>
                <w:lang w:val="en-US"/>
              </w:rPr>
              <w:t>here is following suggestion from Qualcomm.</w:t>
            </w:r>
          </w:p>
          <w:p w14:paraId="152EA89F" w14:textId="3D01A1F9" w:rsidR="00C86FE9" w:rsidRPr="00131EE6" w:rsidRDefault="00C86FE9" w:rsidP="0027384D">
            <w:pPr>
              <w:spacing w:after="0"/>
              <w:rPr>
                <w:rFonts w:eastAsia="MS PGothic"/>
                <w:szCs w:val="24"/>
                <w:lang w:val="en-US"/>
              </w:rPr>
            </w:pPr>
            <w: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r w:rsidR="005613EF" w14:paraId="4DAA86B5" w14:textId="77777777" w:rsidTr="00C92CA9">
        <w:trPr>
          <w:trHeight w:val="70"/>
        </w:trPr>
        <w:tc>
          <w:tcPr>
            <w:tcW w:w="1980" w:type="dxa"/>
          </w:tcPr>
          <w:p w14:paraId="3614DB20" w14:textId="6D53EB82" w:rsidR="005613EF" w:rsidRDefault="005613EF" w:rsidP="0027384D">
            <w:pPr>
              <w:jc w:val="both"/>
              <w:rPr>
                <w:rFonts w:eastAsiaTheme="minorEastAsia" w:hint="eastAsia"/>
                <w:sz w:val="22"/>
              </w:rPr>
            </w:pPr>
            <w:r>
              <w:rPr>
                <w:rFonts w:eastAsiaTheme="minorEastAsia" w:hint="eastAsia"/>
                <w:sz w:val="22"/>
              </w:rPr>
              <w:t>Huawei,</w:t>
            </w:r>
            <w:r>
              <w:rPr>
                <w:rFonts w:eastAsiaTheme="minorEastAsia"/>
                <w:sz w:val="22"/>
              </w:rPr>
              <w:t xml:space="preserve"> HiSilicon</w:t>
            </w:r>
          </w:p>
        </w:tc>
        <w:tc>
          <w:tcPr>
            <w:tcW w:w="7982" w:type="dxa"/>
          </w:tcPr>
          <w:p w14:paraId="5927245A" w14:textId="74F27FCA" w:rsidR="005613EF" w:rsidRDefault="005613EF" w:rsidP="005613EF">
            <w:pPr>
              <w:rPr>
                <w:rFonts w:eastAsia="MS PGothic" w:hint="eastAsia"/>
                <w:szCs w:val="24"/>
                <w:lang w:val="en-US"/>
              </w:rPr>
            </w:pPr>
            <w:r>
              <w:rPr>
                <w:rFonts w:eastAsia="MS PGothic"/>
                <w:szCs w:val="24"/>
                <w:lang w:val="en-US"/>
              </w:rPr>
              <w:t>We don’t think there is significant difference between the process by UE for bundling/multiplexing. Therefore we don’t think we need a separate FG. It can be a component.</w:t>
            </w:r>
          </w:p>
        </w:tc>
      </w:tr>
    </w:tbl>
    <w:p w14:paraId="51BDE9EC" w14:textId="77777777"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C92CA9">
        <w:tc>
          <w:tcPr>
            <w:tcW w:w="1838" w:type="dxa"/>
            <w:shd w:val="clear" w:color="auto" w:fill="auto"/>
          </w:tcPr>
          <w:p w14:paraId="4890E13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C92CA9">
        <w:tc>
          <w:tcPr>
            <w:tcW w:w="1838" w:type="dxa"/>
            <w:shd w:val="clear" w:color="auto" w:fill="auto"/>
          </w:tcPr>
          <w:p w14:paraId="04E111A2"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C92CA9">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C92CA9">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33AD8216" w14:textId="77777777" w:rsidTr="00C92CA9">
        <w:tc>
          <w:tcPr>
            <w:tcW w:w="846" w:type="dxa"/>
          </w:tcPr>
          <w:p w14:paraId="46899550"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C92CA9">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C92CA9">
        <w:tc>
          <w:tcPr>
            <w:tcW w:w="846" w:type="dxa"/>
          </w:tcPr>
          <w:p w14:paraId="226458DD" w14:textId="77777777" w:rsidR="003311F4" w:rsidRDefault="003311F4" w:rsidP="00C92CA9">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C92CA9">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C92CA9">
            <w:pPr>
              <w:spacing w:afterLines="50" w:after="120"/>
              <w:jc w:val="both"/>
              <w:rPr>
                <w:color w:val="FF0000"/>
                <w:sz w:val="22"/>
              </w:rPr>
            </w:pPr>
            <w:r w:rsidRPr="00105252">
              <w:rPr>
                <w:rFonts w:eastAsia="MS Mincho"/>
                <w:sz w:val="22"/>
              </w:rPr>
              <w:t>We propose to separate this.</w:t>
            </w:r>
          </w:p>
        </w:tc>
      </w:tr>
      <w:tr w:rsidR="003311F4" w14:paraId="688CF307" w14:textId="77777777" w:rsidTr="00C92CA9">
        <w:tc>
          <w:tcPr>
            <w:tcW w:w="846" w:type="dxa"/>
          </w:tcPr>
          <w:p w14:paraId="0B870147"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C92CA9">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C92CA9">
            <w:pPr>
              <w:spacing w:afterLines="50" w:after="120"/>
              <w:jc w:val="both"/>
              <w:rPr>
                <w:rFonts w:ascii="Arial" w:eastAsia="宋体"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5333BD3D"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r w:rsidR="002E159B">
        <w:rPr>
          <w:b/>
          <w:bCs/>
          <w:sz w:val="22"/>
          <w:lang w:val="en-US"/>
        </w:rPr>
        <w:t xml:space="preserve"> Ericsson</w:t>
      </w:r>
      <w:r w:rsidR="007B7CB7">
        <w:rPr>
          <w:b/>
          <w:bCs/>
          <w:sz w:val="22"/>
          <w:lang w:val="en-US"/>
        </w:rPr>
        <w:t>, Qualcomm</w:t>
      </w:r>
    </w:p>
    <w:p w14:paraId="345CEAAB" w14:textId="1D6813A5"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1439A">
        <w:rPr>
          <w:b/>
          <w:bCs/>
          <w:sz w:val="22"/>
          <w:lang w:val="en-US"/>
        </w:rPr>
        <w:t>not introducing the separate capability</w:t>
      </w:r>
      <w:r>
        <w:rPr>
          <w:b/>
          <w:bCs/>
          <w:sz w:val="22"/>
          <w:lang w:val="en-US"/>
        </w:rPr>
        <w:t xml:space="preserve">) </w:t>
      </w:r>
      <w:r w:rsidRPr="00832B47">
        <w:rPr>
          <w:b/>
          <w:bCs/>
          <w:sz w:val="22"/>
          <w:lang w:val="en-US"/>
        </w:rPr>
        <w:t>by:</w:t>
      </w:r>
      <w:r w:rsidR="002B3E9C">
        <w:rPr>
          <w:b/>
          <w:bCs/>
          <w:sz w:val="22"/>
          <w:lang w:val="en-US"/>
        </w:rPr>
        <w:t xml:space="preserve"> Huawei, HiSilicon</w:t>
      </w:r>
    </w:p>
    <w:p w14:paraId="6BA3845A" w14:textId="77777777" w:rsidR="003311F4" w:rsidRPr="004F76D2"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4E61ADEE" w14:textId="77777777" w:rsidTr="00C92CA9">
        <w:tc>
          <w:tcPr>
            <w:tcW w:w="1980" w:type="dxa"/>
            <w:shd w:val="clear" w:color="auto" w:fill="F2F2F2" w:themeFill="background1" w:themeFillShade="F2"/>
          </w:tcPr>
          <w:p w14:paraId="7B194F8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C92CA9">
        <w:tc>
          <w:tcPr>
            <w:tcW w:w="1980" w:type="dxa"/>
          </w:tcPr>
          <w:p w14:paraId="145A6984" w14:textId="329BBB97" w:rsidR="002E159B" w:rsidRDefault="002E159B" w:rsidP="002E159B">
            <w:pPr>
              <w:spacing w:after="0"/>
              <w:jc w:val="both"/>
              <w:rPr>
                <w:sz w:val="22"/>
                <w:lang w:val="en-US"/>
              </w:rPr>
            </w:pPr>
            <w:r>
              <w:rPr>
                <w:sz w:val="22"/>
                <w:lang w:val="en-US"/>
              </w:rPr>
              <w:t>Ericsson</w:t>
            </w:r>
          </w:p>
        </w:tc>
        <w:tc>
          <w:tcPr>
            <w:tcW w:w="7982" w:type="dxa"/>
          </w:tcPr>
          <w:p w14:paraId="6B8EAF90" w14:textId="1B784DC0" w:rsidR="002E159B" w:rsidRPr="00900640" w:rsidRDefault="002E159B" w:rsidP="002E159B">
            <w:pPr>
              <w:spacing w:after="0"/>
              <w:rPr>
                <w:rFonts w:ascii="MS PGothic" w:eastAsia="MS PGothic" w:hAnsi="MS PGothic" w:cs="MS PGothic"/>
                <w:color w:val="000000"/>
                <w:szCs w:val="24"/>
                <w:lang w:val="en-US"/>
              </w:rPr>
            </w:pPr>
            <w:r>
              <w:rPr>
                <w:sz w:val="22"/>
                <w:lang w:val="en-US"/>
              </w:rPr>
              <w:t>Introduce a separate FG for IODT reasons.</w:t>
            </w:r>
          </w:p>
        </w:tc>
      </w:tr>
      <w:tr w:rsidR="002E159B" w14:paraId="21FB7B31" w14:textId="77777777" w:rsidTr="00C92CA9">
        <w:tc>
          <w:tcPr>
            <w:tcW w:w="1980" w:type="dxa"/>
          </w:tcPr>
          <w:p w14:paraId="70E34727" w14:textId="6C0D7551" w:rsidR="002E159B" w:rsidRDefault="007B7CB7" w:rsidP="002E159B">
            <w:pPr>
              <w:spacing w:after="0"/>
              <w:jc w:val="both"/>
              <w:rPr>
                <w:sz w:val="22"/>
                <w:lang w:val="en-US"/>
              </w:rPr>
            </w:pPr>
            <w:r>
              <w:rPr>
                <w:sz w:val="22"/>
                <w:lang w:val="en-US"/>
              </w:rPr>
              <w:t>Qualcomm</w:t>
            </w:r>
          </w:p>
        </w:tc>
        <w:tc>
          <w:tcPr>
            <w:tcW w:w="7982" w:type="dxa"/>
          </w:tcPr>
          <w:p w14:paraId="5A2D96B5" w14:textId="09F844EF" w:rsidR="002E159B" w:rsidRPr="00563B84" w:rsidRDefault="004559A7" w:rsidP="002E159B">
            <w:pPr>
              <w:tabs>
                <w:tab w:val="num" w:pos="1800"/>
              </w:tabs>
              <w:spacing w:after="0"/>
              <w:rPr>
                <w:rFonts w:ascii="Times" w:eastAsia="Batang" w:hAnsi="Times"/>
                <w:iCs/>
                <w:lang w:eastAsia="x-none"/>
              </w:rPr>
            </w:pPr>
            <w:r>
              <w:rPr>
                <w:rFonts w:ascii="Times" w:eastAsia="Batang" w:hAnsi="Times"/>
                <w:iCs/>
                <w:lang w:eastAsia="x-none"/>
              </w:rPr>
              <w:t>Introduce a separate FG</w:t>
            </w:r>
          </w:p>
        </w:tc>
      </w:tr>
      <w:tr w:rsidR="002E159B" w14:paraId="461C5B4D" w14:textId="77777777" w:rsidTr="00C92CA9">
        <w:tc>
          <w:tcPr>
            <w:tcW w:w="1980" w:type="dxa"/>
          </w:tcPr>
          <w:p w14:paraId="47B1CDAF" w14:textId="2D463711" w:rsidR="002E159B" w:rsidRPr="00E35784" w:rsidRDefault="00973968" w:rsidP="002E159B">
            <w:pPr>
              <w:spacing w:after="0"/>
              <w:jc w:val="both"/>
              <w:rPr>
                <w:rFonts w:eastAsia="宋体"/>
                <w:sz w:val="22"/>
                <w:lang w:val="en-US" w:eastAsia="zh-CN"/>
              </w:rPr>
            </w:pPr>
            <w:r>
              <w:rPr>
                <w:rFonts w:eastAsia="宋体"/>
                <w:sz w:val="22"/>
                <w:lang w:val="en-US" w:eastAsia="zh-CN"/>
              </w:rPr>
              <w:t>ZTE,Sanechips</w:t>
            </w:r>
          </w:p>
        </w:tc>
        <w:tc>
          <w:tcPr>
            <w:tcW w:w="7982" w:type="dxa"/>
          </w:tcPr>
          <w:p w14:paraId="0B2C85F9" w14:textId="739C11A5" w:rsidR="002E159B" w:rsidRPr="00131EE6" w:rsidRDefault="00973968" w:rsidP="002E159B">
            <w:pPr>
              <w:spacing w:after="0"/>
              <w:jc w:val="both"/>
              <w:rPr>
                <w:sz w:val="22"/>
                <w:lang w:val="en-US"/>
              </w:rPr>
            </w:pPr>
            <w:r>
              <w:rPr>
                <w:sz w:val="22"/>
                <w:lang w:val="en-US"/>
              </w:rPr>
              <w:t xml:space="preserve">No </w:t>
            </w:r>
            <w:r w:rsidR="00D14807">
              <w:rPr>
                <w:sz w:val="22"/>
                <w:lang w:val="en-US"/>
              </w:rPr>
              <w:t>need to introduce separate FG</w:t>
            </w:r>
          </w:p>
        </w:tc>
      </w:tr>
      <w:tr w:rsidR="002E159B" w14:paraId="24693D81" w14:textId="77777777" w:rsidTr="00C92CA9">
        <w:trPr>
          <w:trHeight w:val="70"/>
        </w:trPr>
        <w:tc>
          <w:tcPr>
            <w:tcW w:w="1980" w:type="dxa"/>
          </w:tcPr>
          <w:p w14:paraId="48E77B81" w14:textId="3266661C" w:rsidR="002E159B" w:rsidRPr="00131EE6" w:rsidRDefault="002B3E9C" w:rsidP="002E159B">
            <w:pPr>
              <w:spacing w:after="0"/>
              <w:jc w:val="both"/>
              <w:rPr>
                <w:rFonts w:eastAsiaTheme="minorEastAsia"/>
                <w:sz w:val="22"/>
              </w:rPr>
            </w:pPr>
            <w:r>
              <w:rPr>
                <w:rFonts w:eastAsiaTheme="minorEastAsia" w:hint="eastAsia"/>
                <w:sz w:val="22"/>
              </w:rPr>
              <w:t>Huawei, HiSilicon</w:t>
            </w:r>
          </w:p>
        </w:tc>
        <w:tc>
          <w:tcPr>
            <w:tcW w:w="7982" w:type="dxa"/>
          </w:tcPr>
          <w:p w14:paraId="7379D83B" w14:textId="73CCD22F" w:rsidR="002E159B" w:rsidRPr="00131EE6" w:rsidRDefault="002B3E9C" w:rsidP="002E159B">
            <w:pPr>
              <w:spacing w:after="0"/>
              <w:rPr>
                <w:rFonts w:eastAsia="MS PGothic" w:hint="eastAsia"/>
                <w:szCs w:val="24"/>
                <w:lang w:val="en-US"/>
              </w:rPr>
            </w:pPr>
            <w:r>
              <w:rPr>
                <w:rFonts w:eastAsia="MS PGothic"/>
                <w:szCs w:val="24"/>
                <w:lang w:val="en-US"/>
              </w:rPr>
              <w:t>W</w:t>
            </w:r>
            <w:r>
              <w:rPr>
                <w:rFonts w:eastAsia="MS PGothic" w:hint="eastAsia"/>
                <w:szCs w:val="24"/>
                <w:lang w:val="en-US"/>
              </w:rPr>
              <w:t xml:space="preserve">e </w:t>
            </w:r>
            <w:r>
              <w:rPr>
                <w:rFonts w:eastAsia="MS PGothic"/>
                <w:szCs w:val="24"/>
                <w:lang w:val="en-US"/>
              </w:rPr>
              <w:t>support to not introduce a separate capability.</w:t>
            </w:r>
          </w:p>
        </w:tc>
      </w:tr>
      <w:tr w:rsidR="002B3E9C" w14:paraId="1A5E6571" w14:textId="77777777" w:rsidTr="00C92CA9">
        <w:trPr>
          <w:trHeight w:val="70"/>
        </w:trPr>
        <w:tc>
          <w:tcPr>
            <w:tcW w:w="1980" w:type="dxa"/>
          </w:tcPr>
          <w:p w14:paraId="33C03FBB" w14:textId="77777777" w:rsidR="002B3E9C" w:rsidRPr="00131EE6" w:rsidRDefault="002B3E9C" w:rsidP="002E159B">
            <w:pPr>
              <w:jc w:val="both"/>
              <w:rPr>
                <w:rFonts w:eastAsiaTheme="minorEastAsia"/>
                <w:sz w:val="22"/>
              </w:rPr>
            </w:pPr>
          </w:p>
        </w:tc>
        <w:tc>
          <w:tcPr>
            <w:tcW w:w="7982" w:type="dxa"/>
          </w:tcPr>
          <w:p w14:paraId="7159BAC1" w14:textId="77777777" w:rsidR="002B3E9C" w:rsidRPr="00131EE6" w:rsidRDefault="002B3E9C" w:rsidP="002E159B">
            <w:pPr>
              <w:rPr>
                <w:rFonts w:eastAsia="MS PGothic"/>
                <w:szCs w:val="24"/>
                <w:lang w:val="en-US"/>
              </w:rPr>
            </w:pP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50E62CB7" w14:textId="4D3863F2"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w:t>
      </w:r>
      <w:r w:rsidR="00616582" w:rsidRPr="00B3575C">
        <w:rPr>
          <w:rFonts w:eastAsia="MS Mincho"/>
          <w:sz w:val="22"/>
          <w:szCs w:val="22"/>
          <w:lang w:val="en-US"/>
        </w:rPr>
        <w:t>e</w:t>
      </w:r>
      <w:r w:rsidRPr="00B3575C">
        <w:rPr>
          <w:rFonts w:eastAsia="MS Mincho"/>
          <w:sz w:val="22"/>
          <w:szCs w:val="22"/>
          <w:lang w:val="en-US"/>
        </w:rPr>
        <w:t>modeB</w:t>
      </w:r>
    </w:p>
    <w:p w14:paraId="294E447E" w14:textId="652207FE"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w:t>
      </w:r>
      <w:r w:rsidR="00616582" w:rsidRPr="00B3575C">
        <w:rPr>
          <w:rFonts w:eastAsia="MS Mincho"/>
          <w:sz w:val="22"/>
          <w:szCs w:val="22"/>
          <w:lang w:val="en-US"/>
        </w:rPr>
        <w:t>e</w:t>
      </w:r>
      <w:r w:rsidRPr="00B3575C">
        <w:rPr>
          <w:rFonts w:eastAsia="MS Mincho"/>
          <w:sz w:val="22"/>
          <w:szCs w:val="22"/>
          <w:lang w:val="en-US"/>
        </w:rPr>
        <w:t>modeA</w:t>
      </w:r>
    </w:p>
    <w:p w14:paraId="3AA671B6" w14:textId="4C0361A3"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w:t>
      </w:r>
      <w:r w:rsidR="00616582" w:rsidRPr="00B3575C">
        <w:rPr>
          <w:rFonts w:eastAsia="MS Mincho"/>
          <w:sz w:val="22"/>
          <w:szCs w:val="22"/>
          <w:lang w:val="en-US"/>
        </w:rPr>
        <w:t>e</w:t>
      </w:r>
      <w:r w:rsidRPr="00B3575C">
        <w:rPr>
          <w:rFonts w:eastAsia="MS Mincho"/>
          <w:sz w:val="22"/>
          <w:szCs w:val="22"/>
          <w:lang w:val="en-US"/>
        </w:rPr>
        <w:t>modeB</w:t>
      </w:r>
    </w:p>
    <w:p w14:paraId="1E65281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0CA15C2D"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w:t>
      </w:r>
      <w:r w:rsidR="00616582" w:rsidRPr="00B3575C">
        <w:rPr>
          <w:rFonts w:eastAsia="MS Mincho"/>
          <w:sz w:val="22"/>
          <w:szCs w:val="22"/>
          <w:lang w:val="en-US"/>
        </w:rPr>
        <w:t>e</w:t>
      </w:r>
      <w:r w:rsidRPr="00B3575C">
        <w:rPr>
          <w:rFonts w:eastAsia="MS Mincho"/>
          <w:sz w:val="22"/>
          <w:szCs w:val="22"/>
          <w:lang w:val="en-US"/>
        </w:rPr>
        <w:t>modeA</w:t>
      </w:r>
    </w:p>
    <w:p w14:paraId="084DE6BD" w14:textId="02B403EF"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w:t>
      </w:r>
      <w:r w:rsidR="00616582" w:rsidRPr="00B3575C">
        <w:rPr>
          <w:rFonts w:eastAsia="MS Mincho"/>
          <w:sz w:val="22"/>
          <w:szCs w:val="22"/>
          <w:lang w:val="en-US"/>
        </w:rPr>
        <w:t>e</w:t>
      </w:r>
      <w:r w:rsidRPr="00B3575C">
        <w:rPr>
          <w:rFonts w:eastAsia="MS Mincho"/>
          <w:sz w:val="22"/>
          <w:szCs w:val="22"/>
          <w:lang w:val="en-US"/>
        </w:rPr>
        <w:t>modeB</w:t>
      </w:r>
    </w:p>
    <w:p w14:paraId="2F9982E7" w14:textId="70B2B818"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w:t>
      </w:r>
      <w:r w:rsidR="00616582" w:rsidRPr="00B3575C">
        <w:rPr>
          <w:rFonts w:eastAsia="MS Mincho"/>
          <w:sz w:val="22"/>
          <w:szCs w:val="22"/>
          <w:lang w:val="en-US"/>
        </w:rPr>
        <w:t>e</w:t>
      </w:r>
      <w:r w:rsidRPr="00B3575C">
        <w:rPr>
          <w:rFonts w:eastAsia="MS Mincho"/>
          <w:sz w:val="22"/>
          <w:szCs w:val="22"/>
          <w:lang w:val="en-US"/>
        </w:rPr>
        <w:t>modeA</w:t>
      </w:r>
    </w:p>
    <w:p w14:paraId="2F3FB222" w14:textId="1B904F51"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w:t>
      </w:r>
      <w:r w:rsidR="00616582" w:rsidRPr="00B3575C">
        <w:rPr>
          <w:rFonts w:eastAsia="MS Mincho"/>
          <w:sz w:val="22"/>
          <w:szCs w:val="22"/>
          <w:lang w:val="en-US"/>
        </w:rPr>
        <w:t>e</w:t>
      </w:r>
      <w:r w:rsidRPr="00B3575C">
        <w:rPr>
          <w:rFonts w:eastAsia="MS Mincho"/>
          <w:sz w:val="22"/>
          <w:szCs w:val="22"/>
          <w:lang w:val="en-US"/>
        </w:rPr>
        <w:t>modeB</w:t>
      </w:r>
    </w:p>
    <w:p w14:paraId="39A19081"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43C24745"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Multi-TB SC-MTCH in C</w:t>
      </w:r>
      <w:r w:rsidR="00616582" w:rsidRPr="00B3575C">
        <w:rPr>
          <w:rFonts w:eastAsia="MS Mincho"/>
          <w:sz w:val="22"/>
          <w:szCs w:val="22"/>
          <w:lang w:val="en-US"/>
        </w:rPr>
        <w:t>e</w:t>
      </w:r>
      <w:r w:rsidRPr="00B3575C">
        <w:rPr>
          <w:rFonts w:eastAsia="MS Mincho"/>
          <w:sz w:val="22"/>
          <w:szCs w:val="22"/>
          <w:lang w:val="en-US"/>
        </w:rPr>
        <w:t>modeA</w:t>
      </w:r>
    </w:p>
    <w:p w14:paraId="6BE44EC7" w14:textId="7E40A9FE"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w:t>
      </w:r>
      <w:r w:rsidR="00616582" w:rsidRPr="00B3575C">
        <w:rPr>
          <w:rFonts w:eastAsia="MS Mincho"/>
          <w:sz w:val="22"/>
          <w:szCs w:val="22"/>
          <w:lang w:val="en-US"/>
        </w:rPr>
        <w:t>e</w:t>
      </w:r>
      <w:r w:rsidRPr="00B3575C">
        <w:rPr>
          <w:rFonts w:eastAsia="MS Mincho"/>
          <w:sz w:val="22"/>
          <w:szCs w:val="22"/>
          <w:lang w:val="en-US"/>
        </w:rPr>
        <w:t>modeB</w:t>
      </w:r>
    </w:p>
    <w:p w14:paraId="30AF1670" w14:textId="069B2F61"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1-23</w:t>
      </w:r>
      <w:r w:rsidRPr="00B3575C">
        <w:rPr>
          <w:rFonts w:eastAsia="MS Mincho"/>
          <w:sz w:val="22"/>
          <w:szCs w:val="22"/>
          <w:lang w:val="en-US"/>
        </w:rPr>
        <w:tab/>
        <w:t>Resource reservation for DL in C</w:t>
      </w:r>
      <w:r w:rsidR="00616582" w:rsidRPr="00B3575C">
        <w:rPr>
          <w:rFonts w:eastAsia="MS Mincho"/>
          <w:sz w:val="22"/>
          <w:szCs w:val="22"/>
          <w:lang w:val="en-US"/>
        </w:rPr>
        <w:t>e</w:t>
      </w:r>
      <w:r w:rsidRPr="00B3575C">
        <w:rPr>
          <w:rFonts w:eastAsia="MS Mincho"/>
          <w:sz w:val="22"/>
          <w:szCs w:val="22"/>
          <w:lang w:val="en-US"/>
        </w:rPr>
        <w:t>modeA</w:t>
      </w:r>
    </w:p>
    <w:p w14:paraId="47FCA120" w14:textId="4F102D3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w:t>
      </w:r>
      <w:r w:rsidR="00616582" w:rsidRPr="00B3575C">
        <w:rPr>
          <w:rFonts w:eastAsia="MS Mincho"/>
          <w:sz w:val="22"/>
          <w:szCs w:val="22"/>
          <w:lang w:val="en-US"/>
        </w:rPr>
        <w:t>e</w:t>
      </w:r>
      <w:r w:rsidRPr="00B3575C">
        <w:rPr>
          <w:rFonts w:eastAsia="MS Mincho"/>
          <w:sz w:val="22"/>
          <w:szCs w:val="22"/>
          <w:lang w:val="en-US"/>
        </w:rPr>
        <w:t>modeB</w:t>
      </w:r>
    </w:p>
    <w:p w14:paraId="41BE2BAE" w14:textId="2CE3C62D"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w:t>
      </w:r>
      <w:r w:rsidR="00616582" w:rsidRPr="00B3575C">
        <w:rPr>
          <w:rFonts w:eastAsia="MS Mincho"/>
          <w:sz w:val="22"/>
          <w:szCs w:val="22"/>
          <w:lang w:val="en-US"/>
        </w:rPr>
        <w:t>e</w:t>
      </w:r>
      <w:r w:rsidRPr="00B3575C">
        <w:rPr>
          <w:rFonts w:eastAsia="MS Mincho"/>
          <w:sz w:val="22"/>
          <w:szCs w:val="22"/>
          <w:lang w:val="en-US"/>
        </w:rPr>
        <w:t>modeA</w:t>
      </w:r>
    </w:p>
    <w:p w14:paraId="379E90FF" w14:textId="79346EB9"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w:t>
      </w:r>
      <w:r w:rsidR="00616582" w:rsidRPr="00B3575C">
        <w:rPr>
          <w:rFonts w:eastAsia="MS Mincho"/>
          <w:sz w:val="22"/>
          <w:szCs w:val="22"/>
          <w:lang w:val="en-US"/>
        </w:rPr>
        <w:t>e</w:t>
      </w:r>
      <w:r w:rsidRPr="00B3575C">
        <w:rPr>
          <w:rFonts w:eastAsia="MS Mincho"/>
          <w:sz w:val="22"/>
          <w:szCs w:val="22"/>
          <w:lang w:val="en-US"/>
        </w:rPr>
        <w:t>modeB</w:t>
      </w:r>
    </w:p>
    <w:p w14:paraId="592D57DC" w14:textId="735F9C1A"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w:t>
      </w:r>
      <w:r w:rsidR="00616582" w:rsidRPr="00B3575C">
        <w:rPr>
          <w:rFonts w:eastAsia="MS Mincho"/>
          <w:sz w:val="22"/>
          <w:szCs w:val="22"/>
          <w:lang w:val="en-US"/>
        </w:rPr>
        <w:t>e</w:t>
      </w:r>
      <w:r w:rsidRPr="00B3575C">
        <w:rPr>
          <w:rFonts w:eastAsia="MS Mincho"/>
          <w:sz w:val="22"/>
          <w:szCs w:val="22"/>
          <w:lang w:val="en-US"/>
        </w:rPr>
        <w:t>modeA</w:t>
      </w:r>
    </w:p>
    <w:p w14:paraId="3B9068DD" w14:textId="008A75D1"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w:t>
      </w:r>
      <w:r w:rsidR="00616582" w:rsidRPr="00B3575C">
        <w:rPr>
          <w:rFonts w:eastAsia="MS Mincho"/>
          <w:sz w:val="22"/>
          <w:szCs w:val="22"/>
          <w:lang w:val="en-US"/>
        </w:rPr>
        <w:t>e</w:t>
      </w:r>
      <w:r w:rsidRPr="00B3575C">
        <w:rPr>
          <w:rFonts w:eastAsia="MS Mincho"/>
          <w:sz w:val="22"/>
          <w:szCs w:val="22"/>
          <w:lang w:val="en-US"/>
        </w:rPr>
        <w:t>modeB</w:t>
      </w:r>
    </w:p>
    <w:p w14:paraId="2E13CD3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35F0A0B"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w:t>
      </w:r>
      <w:r w:rsidR="00616582" w:rsidRPr="00B3575C">
        <w:rPr>
          <w:rFonts w:eastAsia="MS Mincho"/>
          <w:sz w:val="22"/>
          <w:szCs w:val="22"/>
          <w:lang w:val="en-US"/>
        </w:rPr>
        <w:t>e</w:t>
      </w:r>
      <w:r w:rsidRPr="00B3575C">
        <w:rPr>
          <w:rFonts w:eastAsia="MS Mincho"/>
          <w:sz w:val="22"/>
          <w:szCs w:val="22"/>
          <w:lang w:val="en-US"/>
        </w:rPr>
        <w:t>modeA</w:t>
      </w:r>
    </w:p>
    <w:p w14:paraId="4633CFB6" w14:textId="529B57CF"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w:t>
      </w:r>
      <w:r w:rsidR="00616582" w:rsidRPr="00B3575C">
        <w:rPr>
          <w:rFonts w:eastAsia="MS Mincho"/>
          <w:sz w:val="22"/>
          <w:szCs w:val="22"/>
          <w:lang w:val="en-US"/>
        </w:rPr>
        <w:t>e</w:t>
      </w:r>
      <w:r w:rsidRPr="00B3575C">
        <w:rPr>
          <w:rFonts w:eastAsia="MS Mincho"/>
          <w:sz w:val="22"/>
          <w:szCs w:val="22"/>
          <w:lang w:val="en-US"/>
        </w:rPr>
        <w:t>modeB</w:t>
      </w:r>
    </w:p>
    <w:p w14:paraId="4CB44279"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022909F"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w:t>
      </w:r>
      <w:r w:rsidR="00616582" w:rsidRPr="00B3575C">
        <w:rPr>
          <w:rFonts w:eastAsia="MS Mincho"/>
          <w:sz w:val="22"/>
          <w:szCs w:val="22"/>
          <w:lang w:val="en-US"/>
        </w:rPr>
        <w:t>e</w:t>
      </w:r>
      <w:r w:rsidRPr="00B3575C">
        <w:rPr>
          <w:rFonts w:eastAsia="MS Mincho"/>
          <w:sz w:val="22"/>
          <w:szCs w:val="22"/>
          <w:lang w:val="en-US"/>
        </w:rPr>
        <w:t>modeA</w:t>
      </w:r>
    </w:p>
    <w:p w14:paraId="6BD38689" w14:textId="6EA5290F"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w:t>
      </w:r>
      <w:r w:rsidR="00616582" w:rsidRPr="00B3575C">
        <w:rPr>
          <w:rFonts w:eastAsia="MS Mincho"/>
          <w:sz w:val="22"/>
          <w:szCs w:val="22"/>
          <w:lang w:val="en-US"/>
        </w:rPr>
        <w:t>e</w:t>
      </w:r>
      <w:r w:rsidRPr="00B3575C">
        <w:rPr>
          <w:rFonts w:eastAsia="MS Mincho"/>
          <w:sz w:val="22"/>
          <w:szCs w:val="22"/>
          <w:lang w:val="en-US"/>
        </w:rPr>
        <w:t>modeB</w:t>
      </w:r>
    </w:p>
    <w:p w14:paraId="2CDD2E68" w14:textId="15D710A1"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w:t>
      </w:r>
      <w:r w:rsidR="00616582" w:rsidRPr="00B3575C">
        <w:rPr>
          <w:rFonts w:eastAsia="MS Mincho"/>
          <w:sz w:val="22"/>
          <w:szCs w:val="22"/>
          <w:lang w:val="en-US"/>
        </w:rPr>
        <w:t>e</w:t>
      </w:r>
      <w:r w:rsidRPr="00B3575C">
        <w:rPr>
          <w:rFonts w:eastAsia="MS Mincho"/>
          <w:sz w:val="22"/>
          <w:szCs w:val="22"/>
          <w:lang w:val="en-US"/>
        </w:rPr>
        <w:t>modeA</w:t>
      </w:r>
    </w:p>
    <w:p w14:paraId="3C4A1057" w14:textId="4CFD1BFA"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w:t>
      </w:r>
      <w:r w:rsidR="00616582" w:rsidRPr="00B3575C">
        <w:rPr>
          <w:rFonts w:eastAsia="MS Mincho"/>
          <w:sz w:val="22"/>
          <w:szCs w:val="22"/>
          <w:lang w:val="en-US"/>
        </w:rPr>
        <w:t>e</w:t>
      </w:r>
      <w:r w:rsidRPr="00B3575C">
        <w:rPr>
          <w:rFonts w:eastAsia="MS Mincho"/>
          <w:sz w:val="22"/>
          <w:szCs w:val="22"/>
          <w:lang w:val="en-US"/>
        </w:rPr>
        <w:t>modeB</w:t>
      </w:r>
    </w:p>
    <w:p w14:paraId="0061BB2B" w14:textId="6AF6110B"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w:t>
      </w:r>
      <w:r w:rsidR="00616582" w:rsidRPr="00B3575C">
        <w:rPr>
          <w:rFonts w:eastAsia="MS Mincho"/>
          <w:sz w:val="22"/>
          <w:szCs w:val="22"/>
          <w:lang w:val="en-US"/>
        </w:rPr>
        <w:t>e</w:t>
      </w:r>
      <w:r w:rsidRPr="00B3575C">
        <w:rPr>
          <w:rFonts w:eastAsia="MS Mincho"/>
          <w:sz w:val="22"/>
          <w:szCs w:val="22"/>
          <w:lang w:val="en-US"/>
        </w:rPr>
        <w:t>modeA</w:t>
      </w:r>
    </w:p>
    <w:p w14:paraId="405600C4" w14:textId="7007A611"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w:t>
      </w:r>
      <w:r w:rsidR="00616582" w:rsidRPr="00B3575C">
        <w:rPr>
          <w:rFonts w:eastAsia="MS Mincho"/>
          <w:sz w:val="22"/>
          <w:szCs w:val="22"/>
          <w:lang w:val="en-US"/>
        </w:rPr>
        <w:t>e</w:t>
      </w:r>
      <w:r w:rsidRPr="00B3575C">
        <w:rPr>
          <w:rFonts w:eastAsia="MS Mincho"/>
          <w:sz w:val="22"/>
          <w:szCs w:val="22"/>
          <w:lang w:val="en-US"/>
        </w:rPr>
        <w:t>modeB</w:t>
      </w:r>
    </w:p>
    <w:p w14:paraId="3E68361F"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E5DCB" w14:paraId="0E9AB392" w14:textId="77777777" w:rsidTr="00C92CA9">
        <w:tc>
          <w:tcPr>
            <w:tcW w:w="1980" w:type="dxa"/>
            <w:shd w:val="clear" w:color="auto" w:fill="F2F2F2" w:themeFill="background1" w:themeFillShade="F2"/>
          </w:tcPr>
          <w:p w14:paraId="68064634"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C92CA9">
        <w:tc>
          <w:tcPr>
            <w:tcW w:w="1980" w:type="dxa"/>
          </w:tcPr>
          <w:p w14:paraId="5FE791C6" w14:textId="5F41FABB" w:rsidR="00670579" w:rsidRDefault="00670579" w:rsidP="00670579">
            <w:pPr>
              <w:spacing w:after="0"/>
              <w:jc w:val="both"/>
              <w:rPr>
                <w:sz w:val="22"/>
                <w:lang w:val="en-US"/>
              </w:rPr>
            </w:pPr>
            <w:r>
              <w:rPr>
                <w:sz w:val="22"/>
                <w:lang w:val="en-US"/>
              </w:rPr>
              <w:t>Ericsson</w:t>
            </w:r>
          </w:p>
        </w:tc>
        <w:tc>
          <w:tcPr>
            <w:tcW w:w="7982" w:type="dxa"/>
          </w:tcPr>
          <w:p w14:paraId="51D03970" w14:textId="013CC735" w:rsidR="00670579" w:rsidRPr="00900640" w:rsidRDefault="00670579" w:rsidP="00670579">
            <w:pPr>
              <w:spacing w:after="0"/>
              <w:rPr>
                <w:rFonts w:ascii="MS PGothic" w:eastAsia="MS PGothic" w:hAnsi="MS PGothic" w:cs="MS PGothic"/>
                <w:color w:val="000000"/>
                <w:szCs w:val="24"/>
                <w:lang w:val="en-US"/>
              </w:rPr>
            </w:pPr>
            <w:r>
              <w:rPr>
                <w:sz w:val="22"/>
                <w:lang w:val="en-US"/>
              </w:rPr>
              <w:t>Yes, we</w:t>
            </w:r>
            <w:r w:rsidRPr="00550AB9">
              <w:rPr>
                <w:sz w:val="22"/>
                <w:lang w:val="en-US"/>
              </w:rPr>
              <w:t xml:space="preserve"> are fine with the proposal, with the understanding that </w:t>
            </w:r>
            <w:r>
              <w:rPr>
                <w:sz w:val="22"/>
                <w:lang w:val="en-US"/>
              </w:rPr>
              <w:t>1</w:t>
            </w:r>
            <w:r w:rsidRPr="00550AB9">
              <w:rPr>
                <w:sz w:val="22"/>
                <w:lang w:val="en-US"/>
              </w:rPr>
              <w:t xml:space="preserve">-2, </w:t>
            </w:r>
            <w:r>
              <w:rPr>
                <w:sz w:val="22"/>
                <w:lang w:val="en-US"/>
              </w:rPr>
              <w:t>1</w:t>
            </w:r>
            <w:r w:rsidRPr="00550AB9">
              <w:rPr>
                <w:sz w:val="22"/>
                <w:lang w:val="en-US"/>
              </w:rPr>
              <w:t>-</w:t>
            </w:r>
            <w:r>
              <w:rPr>
                <w:sz w:val="22"/>
                <w:lang w:val="en-US"/>
              </w:rPr>
              <w:t>7</w:t>
            </w:r>
            <w:r w:rsidRPr="00550AB9">
              <w:rPr>
                <w:sz w:val="22"/>
                <w:lang w:val="en-US"/>
              </w:rPr>
              <w:t xml:space="preserve">, </w:t>
            </w:r>
            <w:r>
              <w:rPr>
                <w:sz w:val="22"/>
                <w:lang w:val="en-US"/>
              </w:rPr>
              <w:t>1</w:t>
            </w:r>
            <w:r w:rsidRPr="00550AB9">
              <w:rPr>
                <w:sz w:val="22"/>
                <w:lang w:val="en-US"/>
              </w:rPr>
              <w:t>-</w:t>
            </w:r>
            <w:r>
              <w:rPr>
                <w:sz w:val="22"/>
                <w:lang w:val="en-US"/>
              </w:rPr>
              <w:t>9, 1</w:t>
            </w:r>
            <w:r w:rsidRPr="00550AB9">
              <w:rPr>
                <w:sz w:val="22"/>
                <w:lang w:val="en-US"/>
              </w:rPr>
              <w:t>-</w:t>
            </w:r>
            <w:r>
              <w:rPr>
                <w:sz w:val="22"/>
                <w:lang w:val="en-US"/>
              </w:rPr>
              <w:t>20, 1-23, 1-24, 1-25 and 1-26</w:t>
            </w:r>
            <w:r w:rsidRPr="00550AB9">
              <w:rPr>
                <w:sz w:val="22"/>
                <w:lang w:val="en-US"/>
              </w:rPr>
              <w:t xml:space="preserve">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C92CA9">
        <w:tc>
          <w:tcPr>
            <w:tcW w:w="1980" w:type="dxa"/>
          </w:tcPr>
          <w:p w14:paraId="583DAAD1" w14:textId="6A1FCEB9" w:rsidR="00670579" w:rsidRDefault="004559A7" w:rsidP="00670579">
            <w:pPr>
              <w:spacing w:after="0"/>
              <w:jc w:val="both"/>
              <w:rPr>
                <w:sz w:val="22"/>
                <w:lang w:val="en-US"/>
              </w:rPr>
            </w:pPr>
            <w:r>
              <w:rPr>
                <w:sz w:val="22"/>
                <w:lang w:val="en-US"/>
              </w:rPr>
              <w:t>Qualcomm</w:t>
            </w:r>
          </w:p>
        </w:tc>
        <w:tc>
          <w:tcPr>
            <w:tcW w:w="7982" w:type="dxa"/>
          </w:tcPr>
          <w:p w14:paraId="50CF037E" w14:textId="3123DA0C" w:rsidR="00670579" w:rsidRPr="00563B84" w:rsidRDefault="004559A7" w:rsidP="00670579">
            <w:pPr>
              <w:spacing w:after="0"/>
              <w:rPr>
                <w:rFonts w:ascii="Times" w:eastAsia="Batang" w:hAnsi="Times"/>
                <w:iCs/>
                <w:lang w:eastAsia="x-none"/>
              </w:rPr>
            </w:pPr>
            <w:r>
              <w:rPr>
                <w:rFonts w:ascii="Times" w:eastAsia="Batang" w:hAnsi="Times"/>
                <w:iCs/>
                <w:lang w:eastAsia="x-none"/>
              </w:rPr>
              <w:t>We agree</w:t>
            </w:r>
          </w:p>
        </w:tc>
      </w:tr>
      <w:tr w:rsidR="00670579" w14:paraId="57A240B9" w14:textId="77777777" w:rsidTr="00C92CA9">
        <w:tc>
          <w:tcPr>
            <w:tcW w:w="1980" w:type="dxa"/>
          </w:tcPr>
          <w:p w14:paraId="32D6E40F" w14:textId="5E5E4ADF" w:rsidR="00670579" w:rsidRPr="00E35784" w:rsidRDefault="00D14807" w:rsidP="00670579">
            <w:pPr>
              <w:spacing w:after="0"/>
              <w:jc w:val="both"/>
              <w:rPr>
                <w:rFonts w:eastAsia="宋体"/>
                <w:sz w:val="22"/>
                <w:lang w:val="en-US" w:eastAsia="zh-CN"/>
              </w:rPr>
            </w:pPr>
            <w:r>
              <w:rPr>
                <w:rFonts w:eastAsia="宋体"/>
                <w:sz w:val="22"/>
                <w:lang w:val="en-US" w:eastAsia="zh-CN"/>
              </w:rPr>
              <w:t xml:space="preserve"> </w:t>
            </w:r>
            <w:r w:rsidR="0058263E">
              <w:rPr>
                <w:rFonts w:eastAsia="宋体"/>
                <w:sz w:val="22"/>
                <w:lang w:val="en-US" w:eastAsia="zh-CN"/>
              </w:rPr>
              <w:t>ZTE,Sanechips</w:t>
            </w:r>
          </w:p>
        </w:tc>
        <w:tc>
          <w:tcPr>
            <w:tcW w:w="7982" w:type="dxa"/>
          </w:tcPr>
          <w:p w14:paraId="78F7DB3A" w14:textId="5E35992F" w:rsidR="00670579" w:rsidRPr="00131EE6" w:rsidRDefault="0058263E" w:rsidP="0058263E">
            <w:pPr>
              <w:spacing w:after="0"/>
              <w:jc w:val="both"/>
              <w:rPr>
                <w:sz w:val="22"/>
                <w:lang w:val="en-US"/>
              </w:rPr>
            </w:pPr>
            <w:r>
              <w:rPr>
                <w:sz w:val="22"/>
                <w:lang w:val="en-US"/>
              </w:rPr>
              <w:t>FG 1-9 L1-ACK depends on the discussion result of another email thread.  So it is better to review it after all discussion are finished.</w:t>
            </w:r>
          </w:p>
        </w:tc>
      </w:tr>
      <w:tr w:rsidR="00670579" w:rsidRPr="00C86FE9" w14:paraId="12517814" w14:textId="77777777" w:rsidTr="00C92CA9">
        <w:trPr>
          <w:trHeight w:val="70"/>
        </w:trPr>
        <w:tc>
          <w:tcPr>
            <w:tcW w:w="1980" w:type="dxa"/>
          </w:tcPr>
          <w:p w14:paraId="0699CE68" w14:textId="7C6E617E" w:rsidR="00670579" w:rsidRPr="00131EE6" w:rsidRDefault="00C86FE9" w:rsidP="00670579">
            <w:pPr>
              <w:spacing w:after="0"/>
              <w:jc w:val="both"/>
              <w:rPr>
                <w:rFonts w:eastAsiaTheme="minorEastAsia"/>
                <w:sz w:val="22"/>
              </w:rPr>
            </w:pPr>
            <w:r>
              <w:rPr>
                <w:rFonts w:eastAsiaTheme="minorEastAsia" w:hint="eastAsia"/>
                <w:sz w:val="22"/>
              </w:rPr>
              <w:t>M</w:t>
            </w:r>
            <w:r>
              <w:rPr>
                <w:rFonts w:eastAsiaTheme="minorEastAsia"/>
                <w:sz w:val="22"/>
              </w:rPr>
              <w:t>oderator</w:t>
            </w:r>
          </w:p>
        </w:tc>
        <w:tc>
          <w:tcPr>
            <w:tcW w:w="7982" w:type="dxa"/>
          </w:tcPr>
          <w:p w14:paraId="55900D0C" w14:textId="07879AEB" w:rsidR="00670579" w:rsidRPr="00131EE6" w:rsidRDefault="00C86FE9" w:rsidP="00670579">
            <w:pPr>
              <w:spacing w:after="0"/>
              <w:rPr>
                <w:rFonts w:eastAsia="MS PGothic"/>
                <w:szCs w:val="24"/>
                <w:lang w:val="en-US"/>
              </w:rPr>
            </w:pPr>
            <w:r>
              <w:t>ZTE</w:t>
            </w:r>
            <w:r w:rsidR="00616582">
              <w:t>’</w:t>
            </w:r>
            <w:r>
              <w:t>s comment is about FG1-9, but the proposal does not include FG1-9 since it is under the discussion in other email discussion as mentioned by Ericsson. Also, Ericsson</w:t>
            </w:r>
            <w:r w:rsidR="00616582">
              <w:t>’</w:t>
            </w:r>
            <w:r>
              <w:t>s comment is aligned with my intention that this proposal is just about which FGs should present in the features list and detailed descriptions for the FG can be discussed even after confirming the FG is present. In that sense, I think there should be no problem on this proposal since there is no concern on confirming listed FGs in the proposal so far.</w:t>
            </w:r>
          </w:p>
        </w:tc>
      </w:tr>
      <w:tr w:rsidR="00616582" w:rsidRPr="00C86FE9" w14:paraId="1D768966" w14:textId="77777777" w:rsidTr="00C92CA9">
        <w:trPr>
          <w:trHeight w:val="70"/>
        </w:trPr>
        <w:tc>
          <w:tcPr>
            <w:tcW w:w="1980" w:type="dxa"/>
          </w:tcPr>
          <w:p w14:paraId="05067FD6" w14:textId="42588AD3" w:rsidR="00616582" w:rsidRDefault="00616582" w:rsidP="00670579">
            <w:pPr>
              <w:jc w:val="both"/>
              <w:rPr>
                <w:rFonts w:eastAsiaTheme="minorEastAsia" w:hint="eastAsia"/>
                <w:sz w:val="22"/>
              </w:rPr>
            </w:pPr>
            <w:r>
              <w:rPr>
                <w:rFonts w:eastAsiaTheme="minorEastAsia" w:hint="eastAsia"/>
                <w:sz w:val="22"/>
              </w:rPr>
              <w:t>Huawei,</w:t>
            </w:r>
            <w:r>
              <w:rPr>
                <w:rFonts w:eastAsiaTheme="minorEastAsia"/>
                <w:sz w:val="22"/>
              </w:rPr>
              <w:t xml:space="preserve"> HiSilicon</w:t>
            </w:r>
          </w:p>
        </w:tc>
        <w:tc>
          <w:tcPr>
            <w:tcW w:w="7982" w:type="dxa"/>
          </w:tcPr>
          <w:p w14:paraId="6562E19F" w14:textId="6F584AC7" w:rsidR="00616582" w:rsidRDefault="00616582" w:rsidP="00670579">
            <w:r>
              <w:t>The table seems Ok except FG 1-9 is also under discussion, so we suggest to put brackets for 1-9 also.</w:t>
            </w: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5E32AB9" w14:textId="0ABDB5B1" w:rsidR="00BE5DCB" w:rsidRPr="001D23FA" w:rsidRDefault="00BE5DCB" w:rsidP="00BE5DCB">
      <w:pPr>
        <w:pStyle w:val="2"/>
        <w:rPr>
          <w:sz w:val="22"/>
          <w:lang w:val="en-US"/>
        </w:rPr>
      </w:pPr>
      <w:r>
        <w:rPr>
          <w:sz w:val="22"/>
          <w:lang w:val="en-US"/>
        </w:rPr>
        <w:t>6.2</w:t>
      </w:r>
      <w:r>
        <w:rPr>
          <w:sz w:val="22"/>
          <w:lang w:val="en-US"/>
        </w:rPr>
        <w:tab/>
        <w:t>Discussion 6</w:t>
      </w:r>
    </w:p>
    <w:p w14:paraId="66EABC8B" w14:textId="2940C361"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56500952"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7826D0C" w14:textId="77777777" w:rsidR="00BE5DCB" w:rsidRDefault="00BE5DCB" w:rsidP="00BE5DCB">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E5DCB" w14:paraId="78C08AB4" w14:textId="77777777" w:rsidTr="00C92CA9">
        <w:tc>
          <w:tcPr>
            <w:tcW w:w="1980" w:type="dxa"/>
            <w:shd w:val="clear" w:color="auto" w:fill="F2F2F2" w:themeFill="background1" w:themeFillShade="F2"/>
          </w:tcPr>
          <w:p w14:paraId="419E5288"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1D0F7D5"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2048A2D8" w14:textId="77777777" w:rsidTr="00C92CA9">
        <w:tc>
          <w:tcPr>
            <w:tcW w:w="1980" w:type="dxa"/>
          </w:tcPr>
          <w:p w14:paraId="0D9623FD" w14:textId="2E001DA0" w:rsidR="00670579" w:rsidRDefault="00670579" w:rsidP="00670579">
            <w:pPr>
              <w:spacing w:after="0"/>
              <w:jc w:val="both"/>
              <w:rPr>
                <w:sz w:val="22"/>
                <w:lang w:val="en-US"/>
              </w:rPr>
            </w:pPr>
            <w:r>
              <w:rPr>
                <w:sz w:val="22"/>
                <w:lang w:val="en-US"/>
              </w:rPr>
              <w:t>Ericsson</w:t>
            </w:r>
          </w:p>
        </w:tc>
        <w:tc>
          <w:tcPr>
            <w:tcW w:w="7982" w:type="dxa"/>
          </w:tcPr>
          <w:p w14:paraId="53EF597B" w14:textId="557D577E" w:rsidR="00670579" w:rsidRPr="00900640" w:rsidRDefault="00670579" w:rsidP="00670579">
            <w:pPr>
              <w:spacing w:after="0"/>
              <w:rPr>
                <w:rFonts w:ascii="MS PGothic" w:eastAsia="MS PGothic" w:hAnsi="MS PGothic" w:cs="MS PGothic"/>
                <w:color w:val="000000"/>
                <w:szCs w:val="24"/>
                <w:lang w:val="en-US"/>
              </w:rPr>
            </w:pPr>
            <w:r>
              <w:rPr>
                <w:sz w:val="22"/>
                <w:lang w:val="en-US"/>
              </w:rPr>
              <w:t>Yes, remove FG 1-20, since the UL gaps needed for UL early termination can be arranged using the UL resource reservation feature, i.e. FG 1-20 is not needed.</w:t>
            </w:r>
          </w:p>
        </w:tc>
      </w:tr>
      <w:tr w:rsidR="00670579" w14:paraId="3A453D9D" w14:textId="77777777" w:rsidTr="00C92CA9">
        <w:tc>
          <w:tcPr>
            <w:tcW w:w="1980" w:type="dxa"/>
          </w:tcPr>
          <w:p w14:paraId="1D9C062C" w14:textId="129CBA93" w:rsidR="00670579" w:rsidRDefault="004559A7" w:rsidP="00670579">
            <w:pPr>
              <w:spacing w:after="0"/>
              <w:jc w:val="both"/>
              <w:rPr>
                <w:sz w:val="22"/>
                <w:lang w:val="en-US"/>
              </w:rPr>
            </w:pPr>
            <w:r>
              <w:rPr>
                <w:sz w:val="22"/>
                <w:lang w:val="en-US"/>
              </w:rPr>
              <w:t>Qualcomm</w:t>
            </w:r>
          </w:p>
        </w:tc>
        <w:tc>
          <w:tcPr>
            <w:tcW w:w="7982" w:type="dxa"/>
          </w:tcPr>
          <w:p w14:paraId="05A58753" w14:textId="3D9C14A7" w:rsidR="00670579" w:rsidRPr="00563B84" w:rsidRDefault="004559A7" w:rsidP="00670579">
            <w:pPr>
              <w:spacing w:after="0"/>
              <w:rPr>
                <w:rFonts w:ascii="Times" w:eastAsia="Batang" w:hAnsi="Times"/>
                <w:iCs/>
                <w:lang w:eastAsia="x-none"/>
              </w:rPr>
            </w:pPr>
            <w:r>
              <w:rPr>
                <w:rFonts w:ascii="Times" w:eastAsia="Batang" w:hAnsi="Times"/>
                <w:iCs/>
                <w:lang w:eastAsia="x-none"/>
              </w:rPr>
              <w:t>1-20 does not exist as an explicit feature, and thus should be removed.</w:t>
            </w:r>
          </w:p>
        </w:tc>
      </w:tr>
      <w:tr w:rsidR="00670579" w14:paraId="1446954D" w14:textId="77777777" w:rsidTr="00C92CA9">
        <w:tc>
          <w:tcPr>
            <w:tcW w:w="1980" w:type="dxa"/>
          </w:tcPr>
          <w:p w14:paraId="0D598E4C" w14:textId="1F7DE211" w:rsidR="00670579" w:rsidRPr="00E35784" w:rsidRDefault="00973968" w:rsidP="00670579">
            <w:pPr>
              <w:spacing w:after="0"/>
              <w:jc w:val="both"/>
              <w:rPr>
                <w:rFonts w:eastAsia="宋体"/>
                <w:sz w:val="22"/>
                <w:lang w:val="en-US" w:eastAsia="zh-CN"/>
              </w:rPr>
            </w:pPr>
            <w:r>
              <w:rPr>
                <w:rFonts w:eastAsia="宋体"/>
                <w:sz w:val="22"/>
                <w:lang w:val="en-US" w:eastAsia="zh-CN"/>
              </w:rPr>
              <w:t>ZTE,Sanechips</w:t>
            </w:r>
          </w:p>
        </w:tc>
        <w:tc>
          <w:tcPr>
            <w:tcW w:w="7982" w:type="dxa"/>
          </w:tcPr>
          <w:p w14:paraId="3FB4C06B" w14:textId="36AEA989" w:rsidR="00670579" w:rsidRPr="00131EE6" w:rsidRDefault="00D14807" w:rsidP="0074443C">
            <w:pPr>
              <w:spacing w:after="0"/>
              <w:jc w:val="both"/>
              <w:rPr>
                <w:sz w:val="22"/>
                <w:lang w:val="en-US"/>
              </w:rPr>
            </w:pPr>
            <w:r>
              <w:rPr>
                <w:sz w:val="22"/>
                <w:lang w:val="en-US"/>
              </w:rPr>
              <w:t>Oppose remove FG1-20. Need new agreement to revert previous agreement.</w:t>
            </w:r>
            <w:r w:rsidR="0074443C">
              <w:rPr>
                <w:sz w:val="22"/>
                <w:lang w:val="en-US"/>
              </w:rPr>
              <w:t xml:space="preserve"> We should avoid arbitrarily interpreting previous ran1 meeting conclusion ,otherwise we need to rewrite all the specification.</w:t>
            </w:r>
          </w:p>
        </w:tc>
      </w:tr>
      <w:tr w:rsidR="00670579" w14:paraId="40528503" w14:textId="77777777" w:rsidTr="00C92CA9">
        <w:trPr>
          <w:trHeight w:val="70"/>
        </w:trPr>
        <w:tc>
          <w:tcPr>
            <w:tcW w:w="1980" w:type="dxa"/>
          </w:tcPr>
          <w:p w14:paraId="72DA68F0" w14:textId="259E2BE7" w:rsidR="00670579" w:rsidRPr="00131EE6" w:rsidRDefault="00063442" w:rsidP="00670579">
            <w:pPr>
              <w:spacing w:after="0"/>
              <w:jc w:val="both"/>
              <w:rPr>
                <w:rFonts w:eastAsiaTheme="minorEastAsia" w:hint="eastAsia"/>
                <w:sz w:val="22"/>
              </w:rPr>
            </w:pPr>
            <w:r>
              <w:rPr>
                <w:rFonts w:eastAsiaTheme="minorEastAsia" w:hint="eastAsia"/>
                <w:sz w:val="22"/>
              </w:rPr>
              <w:t>Huawei, HiSilicon</w:t>
            </w:r>
          </w:p>
        </w:tc>
        <w:tc>
          <w:tcPr>
            <w:tcW w:w="7982" w:type="dxa"/>
          </w:tcPr>
          <w:p w14:paraId="3FF8A158" w14:textId="79669943" w:rsidR="00670579" w:rsidRPr="00131EE6" w:rsidRDefault="00063442" w:rsidP="00670579">
            <w:pPr>
              <w:spacing w:after="0"/>
              <w:rPr>
                <w:rFonts w:eastAsia="MS PGothic"/>
                <w:szCs w:val="24"/>
                <w:lang w:val="en-US"/>
              </w:rPr>
            </w:pPr>
            <w:r>
              <w:rPr>
                <w:rFonts w:eastAsia="MS PGothic"/>
                <w:szCs w:val="24"/>
                <w:lang w:val="en-US"/>
              </w:rPr>
              <w:t>I</w:t>
            </w:r>
            <w:r>
              <w:rPr>
                <w:rFonts w:eastAsia="MS PGothic" w:hint="eastAsia"/>
                <w:szCs w:val="24"/>
                <w:lang w:val="en-US"/>
              </w:rPr>
              <w:t xml:space="preserve">t </w:t>
            </w:r>
            <w:r>
              <w:rPr>
                <w:rFonts w:eastAsia="MS PGothic"/>
                <w:szCs w:val="24"/>
                <w:lang w:val="en-US"/>
              </w:rPr>
              <w:t>can be removed according to the conclusion.</w:t>
            </w:r>
          </w:p>
        </w:tc>
      </w:tr>
      <w:tr w:rsidR="00063442" w14:paraId="02CA4AA4" w14:textId="77777777" w:rsidTr="00C92CA9">
        <w:trPr>
          <w:trHeight w:val="70"/>
        </w:trPr>
        <w:tc>
          <w:tcPr>
            <w:tcW w:w="1980" w:type="dxa"/>
          </w:tcPr>
          <w:p w14:paraId="08F21B4F" w14:textId="77777777" w:rsidR="00063442" w:rsidRPr="00131EE6" w:rsidRDefault="00063442" w:rsidP="00670579">
            <w:pPr>
              <w:jc w:val="both"/>
              <w:rPr>
                <w:rFonts w:eastAsiaTheme="minorEastAsia"/>
                <w:sz w:val="22"/>
              </w:rPr>
            </w:pPr>
          </w:p>
        </w:tc>
        <w:tc>
          <w:tcPr>
            <w:tcW w:w="7982" w:type="dxa"/>
          </w:tcPr>
          <w:p w14:paraId="4B0E6876" w14:textId="77777777" w:rsidR="00063442" w:rsidRPr="00131EE6" w:rsidRDefault="00063442" w:rsidP="00670579">
            <w:pPr>
              <w:rPr>
                <w:rFonts w:eastAsia="MS PGothic"/>
                <w:szCs w:val="24"/>
                <w:lang w:val="en-US"/>
              </w:rPr>
            </w:pPr>
          </w:p>
        </w:tc>
      </w:tr>
    </w:tbl>
    <w:p w14:paraId="38C587FA" w14:textId="77777777" w:rsidR="00BE5DCB" w:rsidRPr="00F1439A" w:rsidRDefault="00BE5DCB" w:rsidP="00BE5DCB">
      <w:pPr>
        <w:rPr>
          <w:lang w:val="en-US"/>
        </w:rPr>
      </w:pPr>
    </w:p>
    <w:p w14:paraId="1DD956C9" w14:textId="21F3C7EB" w:rsidR="00BE5DCB" w:rsidRDefault="00BE5DCB" w:rsidP="00890250">
      <w:pPr>
        <w:rPr>
          <w:lang w:val="en-US"/>
        </w:rPr>
      </w:pPr>
    </w:p>
    <w:p w14:paraId="3871E027" w14:textId="2E121BA5" w:rsidR="00BE5DCB" w:rsidRPr="001D23FA" w:rsidRDefault="00BE5DCB" w:rsidP="00BE5DCB">
      <w:pPr>
        <w:pStyle w:val="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E5DCB" w14:paraId="4344AA4C" w14:textId="77777777" w:rsidTr="00C92CA9">
        <w:tc>
          <w:tcPr>
            <w:tcW w:w="1980" w:type="dxa"/>
            <w:shd w:val="clear" w:color="auto" w:fill="F2F2F2" w:themeFill="background1" w:themeFillShade="F2"/>
          </w:tcPr>
          <w:p w14:paraId="422406DB"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C92CA9">
        <w:tc>
          <w:tcPr>
            <w:tcW w:w="1980" w:type="dxa"/>
          </w:tcPr>
          <w:p w14:paraId="3C45EB5E" w14:textId="4B2798DC" w:rsidR="00670579" w:rsidRDefault="00670579" w:rsidP="00670579">
            <w:pPr>
              <w:spacing w:after="0"/>
              <w:jc w:val="both"/>
              <w:rPr>
                <w:sz w:val="22"/>
                <w:lang w:val="en-US"/>
              </w:rPr>
            </w:pPr>
            <w:r>
              <w:rPr>
                <w:sz w:val="22"/>
                <w:lang w:val="en-US"/>
              </w:rPr>
              <w:t>Ericsson</w:t>
            </w:r>
          </w:p>
        </w:tc>
        <w:tc>
          <w:tcPr>
            <w:tcW w:w="7982" w:type="dxa"/>
          </w:tcPr>
          <w:p w14:paraId="6163531B" w14:textId="283F77E1" w:rsidR="00670579" w:rsidRPr="00900640" w:rsidRDefault="00670579" w:rsidP="00670579">
            <w:pPr>
              <w:spacing w:after="0"/>
              <w:rPr>
                <w:rFonts w:ascii="MS PGothic" w:eastAsia="MS PGothic" w:hAnsi="MS PGothic" w:cs="MS PGothic"/>
                <w:color w:val="000000"/>
                <w:szCs w:val="24"/>
                <w:lang w:val="en-US"/>
              </w:rPr>
            </w:pPr>
            <w:r>
              <w:rPr>
                <w:sz w:val="22"/>
                <w:lang w:val="en-US"/>
              </w:rPr>
              <w:t>Yes, remove FG 1-4</w:t>
            </w:r>
            <w:r w:rsidR="007D6F9B">
              <w:rPr>
                <w:sz w:val="22"/>
                <w:lang w:val="en-US"/>
              </w:rPr>
              <w:t>2</w:t>
            </w:r>
            <w:r>
              <w:rPr>
                <w:sz w:val="22"/>
                <w:lang w:val="en-US"/>
              </w:rPr>
              <w:t xml:space="preserve"> to avoid duplicate/contradicting/confusing information to RAN2 since this feature will anyway be adequately covered in the RAN4 UE feature list.</w:t>
            </w:r>
          </w:p>
        </w:tc>
      </w:tr>
      <w:tr w:rsidR="00670579" w14:paraId="19DDDB8C" w14:textId="77777777" w:rsidTr="00C92CA9">
        <w:tc>
          <w:tcPr>
            <w:tcW w:w="1980" w:type="dxa"/>
          </w:tcPr>
          <w:p w14:paraId="2F021A82" w14:textId="322D769A" w:rsidR="00670579" w:rsidRDefault="004559A7" w:rsidP="00670579">
            <w:pPr>
              <w:spacing w:after="0"/>
              <w:jc w:val="both"/>
              <w:rPr>
                <w:sz w:val="22"/>
                <w:lang w:val="en-US"/>
              </w:rPr>
            </w:pPr>
            <w:r>
              <w:rPr>
                <w:sz w:val="22"/>
                <w:lang w:val="en-US"/>
              </w:rPr>
              <w:t>Qualcomm</w:t>
            </w:r>
          </w:p>
        </w:tc>
        <w:tc>
          <w:tcPr>
            <w:tcW w:w="7982" w:type="dxa"/>
          </w:tcPr>
          <w:p w14:paraId="7EBFA9B1" w14:textId="77ADDB52" w:rsidR="00670579" w:rsidRPr="00563B84" w:rsidRDefault="004559A7" w:rsidP="00670579">
            <w:pPr>
              <w:spacing w:after="0"/>
              <w:rPr>
                <w:rFonts w:ascii="Times" w:eastAsia="Batang" w:hAnsi="Times"/>
                <w:iCs/>
                <w:lang w:eastAsia="x-none"/>
              </w:rPr>
            </w:pPr>
            <w:r>
              <w:rPr>
                <w:rFonts w:ascii="Times" w:eastAsia="Batang" w:hAnsi="Times"/>
                <w:iCs/>
                <w:lang w:eastAsia="x-none"/>
              </w:rPr>
              <w:t>No strong view, either way current FG1-42 has a lot of FFS to be filled by RAN4</w:t>
            </w:r>
          </w:p>
        </w:tc>
      </w:tr>
      <w:tr w:rsidR="00670579" w14:paraId="7CE0B5DC" w14:textId="77777777" w:rsidTr="00C92CA9">
        <w:tc>
          <w:tcPr>
            <w:tcW w:w="1980" w:type="dxa"/>
          </w:tcPr>
          <w:p w14:paraId="6F3C413B" w14:textId="3B565E26" w:rsidR="00670579" w:rsidRPr="00E35784" w:rsidRDefault="00973968" w:rsidP="00670579">
            <w:pPr>
              <w:spacing w:after="0"/>
              <w:jc w:val="both"/>
              <w:rPr>
                <w:rFonts w:eastAsia="宋体"/>
                <w:sz w:val="22"/>
                <w:lang w:val="en-US" w:eastAsia="zh-CN"/>
              </w:rPr>
            </w:pPr>
            <w:r>
              <w:rPr>
                <w:rFonts w:eastAsia="宋体"/>
                <w:sz w:val="22"/>
                <w:lang w:val="en-US" w:eastAsia="zh-CN"/>
              </w:rPr>
              <w:t>ZTE,Sanechips</w:t>
            </w:r>
          </w:p>
        </w:tc>
        <w:tc>
          <w:tcPr>
            <w:tcW w:w="7982" w:type="dxa"/>
          </w:tcPr>
          <w:p w14:paraId="759F5730" w14:textId="179388F0" w:rsidR="00670579" w:rsidRPr="00131EE6" w:rsidRDefault="00D14807" w:rsidP="00670579">
            <w:pPr>
              <w:spacing w:after="0"/>
              <w:jc w:val="both"/>
              <w:rPr>
                <w:sz w:val="22"/>
                <w:lang w:val="en-US"/>
              </w:rPr>
            </w:pPr>
            <w:r>
              <w:rPr>
                <w:sz w:val="22"/>
                <w:lang w:val="en-US"/>
              </w:rPr>
              <w:t xml:space="preserve">We suggest follow </w:t>
            </w:r>
            <w:r w:rsidR="0074443C">
              <w:rPr>
                <w:sz w:val="22"/>
                <w:lang w:val="en-US"/>
              </w:rPr>
              <w:t>legacy approach</w:t>
            </w:r>
            <w:r w:rsidR="0058263E">
              <w:rPr>
                <w:sz w:val="22"/>
                <w:lang w:val="en-US"/>
              </w:rPr>
              <w:t>. For R</w:t>
            </w:r>
            <w:r>
              <w:rPr>
                <w:sz w:val="22"/>
                <w:lang w:val="en-US"/>
              </w:rPr>
              <w:t>el-15 it is handled by RAN1.</w:t>
            </w:r>
          </w:p>
        </w:tc>
      </w:tr>
      <w:tr w:rsidR="006E3C4E" w14:paraId="38293DF4" w14:textId="77777777" w:rsidTr="00C92CA9">
        <w:tc>
          <w:tcPr>
            <w:tcW w:w="1980" w:type="dxa"/>
          </w:tcPr>
          <w:p w14:paraId="4BA3A9F8" w14:textId="213A82EC" w:rsidR="006E3C4E" w:rsidRDefault="006E3C4E" w:rsidP="00670579">
            <w:pPr>
              <w:jc w:val="both"/>
              <w:rPr>
                <w:rFonts w:eastAsia="宋体" w:hint="eastAsia"/>
                <w:sz w:val="22"/>
                <w:lang w:val="en-US" w:eastAsia="zh-CN"/>
              </w:rPr>
            </w:pPr>
            <w:r>
              <w:rPr>
                <w:rFonts w:eastAsia="宋体" w:hint="eastAsia"/>
                <w:sz w:val="22"/>
                <w:lang w:val="en-US" w:eastAsia="zh-CN"/>
              </w:rPr>
              <w:t>Huawei, HiSilicon</w:t>
            </w:r>
          </w:p>
        </w:tc>
        <w:tc>
          <w:tcPr>
            <w:tcW w:w="7982" w:type="dxa"/>
          </w:tcPr>
          <w:p w14:paraId="60BC7033" w14:textId="4E834691" w:rsidR="006E3C4E" w:rsidRDefault="006E3C4E" w:rsidP="00670579">
            <w:pPr>
              <w:jc w:val="both"/>
              <w:rPr>
                <w:rFonts w:hint="eastAsia"/>
                <w:sz w:val="22"/>
                <w:lang w:val="en-US"/>
              </w:rPr>
            </w:pPr>
            <w:r>
              <w:rPr>
                <w:sz w:val="22"/>
                <w:lang w:val="en-US"/>
              </w:rPr>
              <w:t>W</w:t>
            </w:r>
            <w:r>
              <w:rPr>
                <w:rFonts w:hint="eastAsia"/>
                <w:sz w:val="22"/>
                <w:lang w:val="en-US"/>
              </w:rPr>
              <w:t xml:space="preserve">e </w:t>
            </w:r>
            <w:r>
              <w:rPr>
                <w:sz w:val="22"/>
                <w:lang w:val="en-US"/>
              </w:rPr>
              <w:t>are fine to remove it and leave it to be handled by RAN4.</w:t>
            </w:r>
            <w:bookmarkStart w:id="4" w:name="_GoBack"/>
            <w:bookmarkEnd w:id="4"/>
          </w:p>
        </w:tc>
      </w:tr>
      <w:tr w:rsidR="00670579" w14:paraId="454766EC" w14:textId="77777777" w:rsidTr="00C92CA9">
        <w:trPr>
          <w:trHeight w:val="70"/>
        </w:trPr>
        <w:tc>
          <w:tcPr>
            <w:tcW w:w="1980" w:type="dxa"/>
          </w:tcPr>
          <w:p w14:paraId="53ADA8A4" w14:textId="77777777" w:rsidR="00670579" w:rsidRPr="00131EE6" w:rsidRDefault="00670579" w:rsidP="00670579">
            <w:pPr>
              <w:spacing w:after="0"/>
              <w:jc w:val="both"/>
              <w:rPr>
                <w:rFonts w:eastAsiaTheme="minorEastAsia"/>
                <w:sz w:val="22"/>
              </w:rPr>
            </w:pPr>
          </w:p>
        </w:tc>
        <w:tc>
          <w:tcPr>
            <w:tcW w:w="7982" w:type="dxa"/>
          </w:tcPr>
          <w:p w14:paraId="482B6ED3" w14:textId="77777777" w:rsidR="00670579" w:rsidRPr="00131EE6" w:rsidRDefault="00670579" w:rsidP="00670579">
            <w:pPr>
              <w:spacing w:after="0"/>
              <w:rPr>
                <w:rFonts w:eastAsia="MS PGothic"/>
                <w:szCs w:val="24"/>
                <w:lang w:val="en-US"/>
              </w:rPr>
            </w:pP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8046F" w14:textId="77777777" w:rsidR="00123E5B" w:rsidRDefault="00123E5B">
      <w:r>
        <w:separator/>
      </w:r>
    </w:p>
  </w:endnote>
  <w:endnote w:type="continuationSeparator" w:id="0">
    <w:p w14:paraId="37E6A402" w14:textId="77777777" w:rsidR="00123E5B" w:rsidRDefault="00123E5B">
      <w:r>
        <w:continuationSeparator/>
      </w:r>
    </w:p>
  </w:endnote>
  <w:endnote w:type="continuationNotice" w:id="1">
    <w:p w14:paraId="674B3A48" w14:textId="77777777" w:rsidR="00123E5B" w:rsidRDefault="00123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70204857" w:rsidR="00BF6F3E" w:rsidRPr="00000924" w:rsidRDefault="00BF6F3E">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E3C4E">
      <w:rPr>
        <w:rStyle w:val="af1"/>
        <w:rFonts w:eastAsia="MS Gothic"/>
        <w:noProof/>
      </w:rPr>
      <w:t>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E3C4E">
      <w:rPr>
        <w:rStyle w:val="af1"/>
        <w:rFonts w:eastAsia="MS Gothic"/>
        <w:noProof/>
      </w:rPr>
      <w:t>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C2203" w14:textId="77777777" w:rsidR="00123E5B" w:rsidRDefault="00123E5B">
      <w:r>
        <w:separator/>
      </w:r>
    </w:p>
  </w:footnote>
  <w:footnote w:type="continuationSeparator" w:id="0">
    <w:p w14:paraId="22CAEA44" w14:textId="77777777" w:rsidR="00123E5B" w:rsidRDefault="00123E5B">
      <w:r>
        <w:continuationSeparator/>
      </w:r>
    </w:p>
  </w:footnote>
  <w:footnote w:type="continuationNotice" w:id="1">
    <w:p w14:paraId="0EDD1E0D" w14:textId="77777777" w:rsidR="00123E5B" w:rsidRDefault="00123E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29"/>
  </w:num>
  <w:num w:numId="4">
    <w:abstractNumId w:val="19"/>
  </w:num>
  <w:num w:numId="5">
    <w:abstractNumId w:val="6"/>
  </w:num>
  <w:num w:numId="6">
    <w:abstractNumId w:val="8"/>
  </w:num>
  <w:num w:numId="7">
    <w:abstractNumId w:val="15"/>
  </w:num>
  <w:num w:numId="8">
    <w:abstractNumId w:val="18"/>
  </w:num>
  <w:num w:numId="9">
    <w:abstractNumId w:val="25"/>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2"/>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1"/>
  </w:num>
  <w:num w:numId="25">
    <w:abstractNumId w:val="0"/>
  </w:num>
  <w:num w:numId="26">
    <w:abstractNumId w:val="9"/>
  </w:num>
  <w:num w:numId="27">
    <w:abstractNumId w:val="30"/>
  </w:num>
  <w:num w:numId="28">
    <w:abstractNumId w:val="28"/>
  </w:num>
  <w:num w:numId="29">
    <w:abstractNumId w:val="24"/>
  </w:num>
  <w:num w:numId="30">
    <w:abstractNumId w:val="27"/>
  </w:num>
  <w:num w:numId="31">
    <w:abstractNumId w:val="26"/>
  </w:num>
  <w:num w:numId="32">
    <w:abstractNumId w:val="13"/>
  </w:num>
  <w:num w:numId="33">
    <w:abstractNumId w:val="10"/>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442"/>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E5B"/>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84D"/>
    <w:rsid w:val="0027393A"/>
    <w:rsid w:val="00273A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3E9C"/>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3EF"/>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582"/>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4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9FC"/>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6E"/>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5DCB"/>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66A16-07DA-42A5-B9E8-A7B432ED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77</Words>
  <Characters>17028</Characters>
  <Application>Microsoft Office Word</Application>
  <DocSecurity>0</DocSecurity>
  <Lines>233</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10</cp:revision>
  <cp:lastPrinted>2017-08-09T04:40:00Z</cp:lastPrinted>
  <dcterms:created xsi:type="dcterms:W3CDTF">2020-04-21T05:37:00Z</dcterms:created>
  <dcterms:modified xsi:type="dcterms:W3CDTF">2020-04-22T03:39:00Z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